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股票简称：*ST金洲</w:t>
            </w:r>
          </w:p>
        </w:tc>
        <w:tc>
          <w:tcPr>
            <w:tcW w:type="dxa" w:w="4320"/>
          </w:tcPr>
          <w:p>
            <w:r>
              <w:t>股票代码：000587</w:t>
            </w:r>
          </w:p>
        </w:tc>
      </w:tr>
      <w:tr>
        <w:tc>
          <w:tcPr>
            <w:tcW w:type="dxa" w:w="4320"/>
          </w:tcPr>
          <w:p>
            <w:r>
              <w:t>涨跌幅：1.31  +0.06/+4.80%</w:t>
            </w:r>
          </w:p>
        </w:tc>
        <w:tc>
          <w:tcPr>
            <w:tcW w:type="dxa" w:w="4320"/>
          </w:tcPr>
          <w:p>
            <w:r>
              <w:t>涨停原因：ST板块。14天8板。</w:t>
            </w:r>
          </w:p>
        </w:tc>
      </w:tr>
      <w:tr>
        <w:tc>
          <w:tcPr>
            <w:tcW w:type="dxa" w:w="4320"/>
          </w:tcPr>
          <w:p>
            <w:r>
              <w:t>总股本(股)：21.24亿</w:t>
            </w:r>
          </w:p>
        </w:tc>
        <w:tc>
          <w:tcPr>
            <w:tcW w:type="dxa" w:w="4320"/>
          </w:tcPr>
          <w:p>
            <w:r>
              <w:t>流通比例(%)：57.12</w:t>
            </w:r>
          </w:p>
        </w:tc>
      </w:tr>
      <w:tr>
        <w:tc>
          <w:tcPr>
            <w:tcW w:type="dxa" w:w="4320"/>
          </w:tcPr>
          <w:p>
            <w:r>
              <w:t>总市值(亿元)：27.82</w:t>
            </w:r>
          </w:p>
        </w:tc>
        <w:tc>
          <w:tcPr>
            <w:tcW w:type="dxa" w:w="4320"/>
          </w:tcPr>
          <w:p>
            <w:r>
              <w:t>流通市值(亿元)：15.89</w:t>
            </w:r>
          </w:p>
        </w:tc>
      </w:tr>
      <w:tr>
        <w:tc>
          <w:tcPr>
            <w:tcW w:type="dxa" w:w="4320"/>
          </w:tcPr>
          <w:p>
            <w:r>
              <w:t>市盈率(倍)：-2.2</w:t>
            </w:r>
          </w:p>
        </w:tc>
        <w:tc>
          <w:tcPr>
            <w:tcW w:type="dxa" w:w="4320"/>
          </w:tcPr>
          <w:p>
            <w:r>
              <w:t>市净率(倍)：41.8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-3.16亿</w:t>
            </w:r>
          </w:p>
        </w:tc>
        <w:tc>
          <w:tcPr>
            <w:tcW w:type="dxa" w:w="2160"/>
          </w:tcPr>
          <w:p>
            <w:r>
              <w:t>60.75</w:t>
            </w:r>
          </w:p>
        </w:tc>
        <w:tc>
          <w:tcPr>
            <w:tcW w:type="dxa" w:w="2160"/>
          </w:tcPr>
          <w:p>
            <w:r>
              <w:t>-0.14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-61.87亿</w:t>
            </w:r>
          </w:p>
        </w:tc>
        <w:tc>
          <w:tcPr>
            <w:tcW w:type="dxa" w:w="2160"/>
          </w:tcPr>
          <w:p>
            <w:r>
              <w:t>-120.47</w:t>
            </w:r>
          </w:p>
        </w:tc>
        <w:tc>
          <w:tcPr>
            <w:tcW w:type="dxa" w:w="2160"/>
          </w:tcPr>
          <w:p>
            <w:r>
              <w:t>-2.96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-21.38亿</w:t>
            </w:r>
          </w:p>
        </w:tc>
        <w:tc>
          <w:tcPr>
            <w:tcW w:type="dxa" w:w="2160"/>
          </w:tcPr>
          <w:p>
            <w:r>
              <w:t>-1,169.66</w:t>
            </w:r>
          </w:p>
        </w:tc>
        <w:tc>
          <w:tcPr>
            <w:tcW w:type="dxa" w:w="2160"/>
          </w:tcPr>
          <w:p>
            <w:r>
              <w:t>-1.01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铂金类业务，白银类业务，镶嵌类饰品，18k金饰品，工艺美术品，电解铜，黄金首饰，光明家具，黄金类业务，石油业，油田开发，石油，珠宝，金属，油气，玉石，镶嵌类业务，融资租赁业务，短融业务，保理业务</w:t>
            </w:r>
          </w:p>
        </w:tc>
      </w:tr>
      <w:tr>
        <w:tc>
          <w:tcPr>
            <w:tcW w:type="dxa" w:w="8640"/>
          </w:tcPr>
          <w:p>
            <w:r>
              <w:t>所属概念：黄金租赁，电子商务，振兴东北，融资租赁，小金属概念，黄金概念，ST板块，富时罗素概念股，黑龙江自贸区，商誉减值，一元股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