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股票简称：*ST金钰</w:t>
            </w:r>
          </w:p>
        </w:tc>
        <w:tc>
          <w:tcPr>
            <w:tcW w:type="dxa" w:w="4320"/>
          </w:tcPr>
          <w:p>
            <w:r>
              <w:t>股票代码：600086</w:t>
            </w:r>
          </w:p>
        </w:tc>
      </w:tr>
      <w:tr>
        <w:tc>
          <w:tcPr>
            <w:tcW w:type="dxa" w:w="4320"/>
          </w:tcPr>
          <w:p>
            <w:r>
              <w:t>涨跌幅：1.30  +0.06/+4.84%</w:t>
            </w:r>
          </w:p>
        </w:tc>
        <w:tc>
          <w:tcPr>
            <w:tcW w:type="dxa" w:w="4320"/>
          </w:tcPr>
          <w:p>
            <w:r>
              <w:t>涨停原因：ST板块。10天7板。</w:t>
            </w:r>
          </w:p>
        </w:tc>
      </w:tr>
      <w:tr>
        <w:tc>
          <w:tcPr>
            <w:tcW w:type="dxa" w:w="4320"/>
          </w:tcPr>
          <w:p>
            <w:r>
              <w:t>总股本(股)：13.50亿</w:t>
            </w:r>
          </w:p>
        </w:tc>
        <w:tc>
          <w:tcPr>
            <w:tcW w:type="dxa" w:w="4320"/>
          </w:tcPr>
          <w:p>
            <w:r>
              <w:t>流通比例(%)：78.28</w:t>
            </w:r>
          </w:p>
        </w:tc>
      </w:tr>
      <w:tr>
        <w:tc>
          <w:tcPr>
            <w:tcW w:type="dxa" w:w="4320"/>
          </w:tcPr>
          <w:p>
            <w:r>
              <w:t>总市值(亿元)：17.55</w:t>
            </w:r>
          </w:p>
        </w:tc>
        <w:tc>
          <w:tcPr>
            <w:tcW w:type="dxa" w:w="4320"/>
          </w:tcPr>
          <w:p>
            <w:r>
              <w:t>流通市值(亿元)：13.74</w:t>
            </w:r>
          </w:p>
        </w:tc>
      </w:tr>
      <w:tr>
        <w:tc>
          <w:tcPr>
            <w:tcW w:type="dxa" w:w="4320"/>
          </w:tcPr>
          <w:p>
            <w:r>
              <w:t>市盈率(倍)：-2.04</w:t>
            </w:r>
          </w:p>
        </w:tc>
        <w:tc>
          <w:tcPr>
            <w:tcW w:type="dxa" w:w="4320"/>
          </w:tcPr>
          <w:p>
            <w:r>
              <w:t>市净率(倍)：3.33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-2.15亿</w:t>
            </w:r>
          </w:p>
        </w:tc>
        <w:tc>
          <w:tcPr>
            <w:tcW w:type="dxa" w:w="2160"/>
          </w:tcPr>
          <w:p>
            <w:r>
              <w:t>-33.50</w:t>
            </w:r>
          </w:p>
        </w:tc>
        <w:tc>
          <w:tcPr>
            <w:tcW w:type="dxa" w:w="2160"/>
          </w:tcPr>
          <w:p>
            <w:r>
              <w:t>-0.16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-18.27亿</w:t>
            </w:r>
          </w:p>
        </w:tc>
        <w:tc>
          <w:tcPr>
            <w:tcW w:type="dxa" w:w="2160"/>
          </w:tcPr>
          <w:p>
            <w:r>
              <w:t>-6.34</w:t>
            </w:r>
          </w:p>
        </w:tc>
        <w:tc>
          <w:tcPr>
            <w:tcW w:type="dxa" w:w="2160"/>
          </w:tcPr>
          <w:p>
            <w:r>
              <w:t>-1.35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-5.08亿</w:t>
            </w:r>
          </w:p>
        </w:tc>
        <w:tc>
          <w:tcPr>
            <w:tcW w:type="dxa" w:w="2160"/>
          </w:tcPr>
          <w:p>
            <w:r>
              <w:t>-616.12</w:t>
            </w:r>
          </w:p>
        </w:tc>
        <w:tc>
          <w:tcPr>
            <w:tcW w:type="dxa" w:w="2160"/>
          </w:tcPr>
          <w:p>
            <w:r>
              <w:t>-0.38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主营产品名称：黄金金条及饰品，金钰珠宝，珠宝玉石首饰，黄金饰品，珠宝，玉石，黄金珠宝，珠宝玉石饰品，网络金融服务，翡翠原石，翡翠成品</w:t>
            </w:r>
          </w:p>
        </w:tc>
      </w:tr>
      <w:tr>
        <w:tc>
          <w:tcPr>
            <w:tcW w:type="dxa" w:w="8640"/>
          </w:tcPr>
          <w:p>
            <w:r>
              <w:t>所属概念：黄金租赁，奢侈品，小额贷款，P2P概念，涉矿，翡翠，小金属概念，黄金概念，股权转让，ST板块，互联网，一元股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