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股票简称：*ST金鸿</w:t>
            </w:r>
          </w:p>
        </w:tc>
        <w:tc>
          <w:tcPr>
            <w:tcW w:type="dxa" w:w="4320"/>
          </w:tcPr>
          <w:p>
            <w:r>
              <w:t>股票代码：000669</w:t>
            </w:r>
          </w:p>
        </w:tc>
      </w:tr>
      <w:tr>
        <w:tc>
          <w:tcPr>
            <w:tcW w:type="dxa" w:w="4320"/>
          </w:tcPr>
          <w:p>
            <w:r>
              <w:t>涨跌幅：2.12  +0.10/+4.95%</w:t>
            </w:r>
          </w:p>
        </w:tc>
        <w:tc>
          <w:tcPr>
            <w:tcW w:type="dxa" w:w="4320"/>
          </w:tcPr>
          <w:p>
            <w:r>
              <w:t>涨停原因：ST板块。首板涨停。</w:t>
            </w:r>
          </w:p>
        </w:tc>
      </w:tr>
      <w:tr>
        <w:tc>
          <w:tcPr>
            <w:tcW w:type="dxa" w:w="4320"/>
          </w:tcPr>
          <w:p>
            <w:r>
              <w:t>总股本(股)：6.80亿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总市值(亿元)：14.42</w:t>
            </w:r>
          </w:p>
        </w:tc>
        <w:tc>
          <w:tcPr>
            <w:tcW w:type="dxa" w:w="4320"/>
          </w:tcPr>
          <w:p>
            <w:r>
              <w:t>流通市值(亿元)：14.42</w:t>
            </w:r>
          </w:p>
        </w:tc>
      </w:tr>
      <w:tr>
        <w:tc>
          <w:tcPr>
            <w:tcW w:type="dxa" w:w="4320"/>
          </w:tcPr>
          <w:p>
            <w:r>
              <w:t>市盈率(倍)：-5.34</w:t>
            </w:r>
          </w:p>
        </w:tc>
        <w:tc>
          <w:tcPr>
            <w:tcW w:type="dxa" w:w="4320"/>
          </w:tcPr>
          <w:p>
            <w:r>
              <w:t>市净率(倍)：1.29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-6,754.87万</w:t>
            </w:r>
          </w:p>
        </w:tc>
        <w:tc>
          <w:tcPr>
            <w:tcW w:type="dxa" w:w="2160"/>
          </w:tcPr>
          <w:p>
            <w:r>
              <w:t>10.23</w:t>
            </w:r>
          </w:p>
        </w:tc>
        <w:tc>
          <w:tcPr>
            <w:tcW w:type="dxa" w:w="2160"/>
          </w:tcPr>
          <w:p>
            <w:r>
              <w:t>-0.10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-13.14亿</w:t>
            </w:r>
          </w:p>
        </w:tc>
        <w:tc>
          <w:tcPr>
            <w:tcW w:type="dxa" w:w="2160"/>
          </w:tcPr>
          <w:p>
            <w:r>
              <w:t>17.19</w:t>
            </w:r>
          </w:p>
        </w:tc>
        <w:tc>
          <w:tcPr>
            <w:tcW w:type="dxa" w:w="2160"/>
          </w:tcPr>
          <w:p>
            <w:r>
              <w:t>-1.93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-2.46亿</w:t>
            </w:r>
          </w:p>
        </w:tc>
        <w:tc>
          <w:tcPr>
            <w:tcW w:type="dxa" w:w="2160"/>
          </w:tcPr>
          <w:p>
            <w:r>
              <w:t>-244.40</w:t>
            </w:r>
          </w:p>
        </w:tc>
        <w:tc>
          <w:tcPr>
            <w:tcW w:type="dxa" w:w="2160"/>
          </w:tcPr>
          <w:p>
            <w:r>
              <w:t>-0.36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液化石油气，管道天然气输送服务，入户管道工程安装，环保工程勘察设计，施工及设备，管道(液化)天然气，燃气业务，天然气业务，燃气，天然气，管道（液化）天然气，入户管道工程安装及环保工程勘察设计，施工及设备销售业务</w:t>
            </w:r>
          </w:p>
        </w:tc>
      </w:tr>
      <w:tr>
        <w:tc>
          <w:tcPr>
            <w:tcW w:type="dxa" w:w="8640"/>
          </w:tcPr>
          <w:p>
            <w:r>
              <w:t>所属概念：天然气管道，振兴东北，新能源，天然气，燃料电池，氢能源，ST板块，能源互联网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