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股票简称：星星科技</w:t>
            </w:r>
          </w:p>
        </w:tc>
        <w:tc>
          <w:tcPr>
            <w:tcW w:type="dxa" w:w="4320"/>
          </w:tcPr>
          <w:p>
            <w:r>
              <w:t>股票代码：300256</w:t>
            </w:r>
          </w:p>
        </w:tc>
      </w:tr>
      <w:tr>
        <w:tc>
          <w:tcPr>
            <w:tcW w:type="dxa" w:w="4320"/>
          </w:tcPr>
          <w:p>
            <w:r>
              <w:t>涨跌幅：7.54  +0.69/+10.07%</w:t>
            </w:r>
          </w:p>
        </w:tc>
        <w:tc>
          <w:tcPr>
            <w:tcW w:type="dxa" w:w="4320"/>
          </w:tcPr>
          <w:p>
            <w:r>
              <w:t>涨停原因：OLED。首板涨停。</w:t>
            </w:r>
          </w:p>
        </w:tc>
      </w:tr>
      <w:tr>
        <w:tc>
          <w:tcPr>
            <w:tcW w:type="dxa" w:w="4320"/>
          </w:tcPr>
          <w:p>
            <w:r>
              <w:t>总股本(股)：9.58亿</w:t>
            </w:r>
          </w:p>
        </w:tc>
        <w:tc>
          <w:tcPr>
            <w:tcW w:type="dxa" w:w="4320"/>
          </w:tcPr>
          <w:p>
            <w:r>
              <w:t>流通比例(%)：85.47</w:t>
            </w:r>
          </w:p>
        </w:tc>
      </w:tr>
      <w:tr>
        <w:tc>
          <w:tcPr>
            <w:tcW w:type="dxa" w:w="4320"/>
          </w:tcPr>
          <w:p>
            <w:r>
              <w:t>总市值(亿元)：72.23</w:t>
            </w:r>
          </w:p>
        </w:tc>
        <w:tc>
          <w:tcPr>
            <w:tcW w:type="dxa" w:w="4320"/>
          </w:tcPr>
          <w:p>
            <w:r>
              <w:t>流通市值(亿元)：61.73</w:t>
            </w:r>
          </w:p>
        </w:tc>
      </w:tr>
      <w:tr>
        <w:tc>
          <w:tcPr>
            <w:tcW w:type="dxa" w:w="4320"/>
          </w:tcPr>
          <w:p>
            <w:r>
              <w:t>市盈率(倍)：39.62</w:t>
            </w:r>
          </w:p>
        </w:tc>
        <w:tc>
          <w:tcPr>
            <w:tcW w:type="dxa" w:w="4320"/>
          </w:tcPr>
          <w:p>
            <w:r>
              <w:t>市净率(倍)：3.83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4,557.90万</w:t>
            </w:r>
          </w:p>
        </w:tc>
        <w:tc>
          <w:tcPr>
            <w:tcW w:type="dxa" w:w="2160"/>
          </w:tcPr>
          <w:p>
            <w:r>
              <w:t>156.01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1.74亿</w:t>
            </w:r>
          </w:p>
        </w:tc>
        <w:tc>
          <w:tcPr>
            <w:tcW w:type="dxa" w:w="2160"/>
          </w:tcPr>
          <w:p>
            <w:r>
              <w:t>110.26</w:t>
            </w:r>
          </w:p>
        </w:tc>
        <w:tc>
          <w:tcPr>
            <w:tcW w:type="dxa" w:w="2160"/>
          </w:tcPr>
          <w:p>
            <w:r>
              <w:t>0.18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2,233.97万</w:t>
            </w:r>
          </w:p>
        </w:tc>
        <w:tc>
          <w:tcPr>
            <w:tcW w:type="dxa" w:w="2160"/>
          </w:tcPr>
          <w:p>
            <w:r>
              <w:t>-68.98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电阻式触摸屏，手机盖板，平板盖板等其他盖板，全贴合屏，手机视窗防护屏，电容式触摸屏，诺基亚，强化玻璃，视窗防护屏，触摸屏，防护玻璃，玻璃防护屏，触控屏，汽车电子，机器人，手机结构件，平板电脑结构件，华为vr终端产业链，触控显示类，视窗防护屏类，结构件类</w:t>
            </w:r>
          </w:p>
        </w:tc>
      </w:tr>
      <w:tr>
        <w:tc>
          <w:tcPr>
            <w:tcW w:type="dxa" w:w="8640"/>
          </w:tcPr>
          <w:p>
            <w:r>
              <w:t>所属概念：诺基亚，指纹技术，WIN升级，智能穿戴，触摸屏，虚拟现实，苹果概念，VR设备，3D玻璃，裸眼3D，OLED显示模组，兜底增持，OLED，消费电子，华为概念，柔性屏，地方国资改革，融资融券，股权转让，特斯拉，小米概念，转融券标的，深股通，商誉减值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