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股票简称：汇金股份</w:t>
            </w:r>
          </w:p>
        </w:tc>
        <w:tc>
          <w:tcPr>
            <w:tcW w:type="dxa" w:w="4320"/>
          </w:tcPr>
          <w:p>
            <w:r>
              <w:t>股票代码：300368</w:t>
            </w:r>
          </w:p>
        </w:tc>
      </w:tr>
      <w:tr>
        <w:tc>
          <w:tcPr>
            <w:tcW w:type="dxa" w:w="4320"/>
          </w:tcPr>
          <w:p>
            <w:r>
              <w:t>涨跌幅：12.83  +1.17/+10.03%</w:t>
            </w:r>
          </w:p>
        </w:tc>
        <w:tc>
          <w:tcPr>
            <w:tcW w:type="dxa" w:w="4320"/>
          </w:tcPr>
          <w:p>
            <w:r>
              <w:t>涨停原因：数字货币。2天2板。</w:t>
            </w:r>
          </w:p>
        </w:tc>
      </w:tr>
      <w:tr>
        <w:tc>
          <w:tcPr>
            <w:tcW w:type="dxa" w:w="4320"/>
          </w:tcPr>
          <w:p>
            <w:r>
              <w:t>总股本(股)：5.32亿</w:t>
            </w:r>
          </w:p>
        </w:tc>
        <w:tc>
          <w:tcPr>
            <w:tcW w:type="dxa" w:w="4320"/>
          </w:tcPr>
          <w:p>
            <w:r>
              <w:t>流通比例(%)：89.77</w:t>
            </w:r>
          </w:p>
        </w:tc>
      </w:tr>
      <w:tr>
        <w:tc>
          <w:tcPr>
            <w:tcW w:type="dxa" w:w="4320"/>
          </w:tcPr>
          <w:p>
            <w:r>
              <w:t>总市值(亿元)：68.25</w:t>
            </w:r>
          </w:p>
        </w:tc>
        <w:tc>
          <w:tcPr>
            <w:tcW w:type="dxa" w:w="4320"/>
          </w:tcPr>
          <w:p>
            <w:r>
              <w:t>流通市值(亿元)：61.27</w:t>
            </w:r>
          </w:p>
        </w:tc>
      </w:tr>
      <w:tr>
        <w:tc>
          <w:tcPr>
            <w:tcW w:type="dxa" w:w="4320"/>
          </w:tcPr>
          <w:p>
            <w:r>
              <w:t>市盈率(倍)：-186.62</w:t>
            </w:r>
          </w:p>
        </w:tc>
        <w:tc>
          <w:tcPr>
            <w:tcW w:type="dxa" w:w="4320"/>
          </w:tcPr>
          <w:p>
            <w:r>
              <w:t>市净率(倍)：8.12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-914.28万</w:t>
            </w:r>
          </w:p>
        </w:tc>
        <w:tc>
          <w:tcPr>
            <w:tcW w:type="dxa" w:w="2160"/>
          </w:tcPr>
          <w:p>
            <w:r>
              <w:t>-547.16</w:t>
            </w:r>
          </w:p>
        </w:tc>
        <w:tc>
          <w:tcPr>
            <w:tcW w:type="dxa" w:w="2160"/>
          </w:tcPr>
          <w:p>
            <w:r>
              <w:t>-0.02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4,460.73万</w:t>
            </w:r>
          </w:p>
        </w:tc>
        <w:tc>
          <w:tcPr>
            <w:tcW w:type="dxa" w:w="2160"/>
          </w:tcPr>
          <w:p>
            <w:r>
              <w:t>-6.66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2,591.52万</w:t>
            </w:r>
          </w:p>
        </w:tc>
        <w:tc>
          <w:tcPr>
            <w:tcW w:type="dxa" w:w="2160"/>
          </w:tcPr>
          <w:p>
            <w:r>
              <w:t>-49.67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装订设备，自助系列，软件开发，装订机，捆钞机，捆扎系列产品，装订系列产品，清分机，人民币反假宣传工作站，捆扎设备，现金处理设备，自动化设备，金融机具，系列捆钞机和装订机，自助回单机，自助票据机，人民币清分包装流水线，虚拟柜台，捆钞机和装订机，智能机器人，现金处理及办公类设备，智能自助类终端设备，软件产品开发及销售，工业自动化设备及加工制造，运维服务及配件耗材销售，系列捆钞机，纸币光密度定量检测仪器，微型现钞处理中心(Ⅲ-k)，支付软件</w:t>
            </w:r>
          </w:p>
        </w:tc>
      </w:tr>
      <w:tr>
        <w:tc>
          <w:tcPr>
            <w:tcW w:type="dxa" w:w="8640"/>
          </w:tcPr>
          <w:p>
            <w:r>
              <w:t>所属概念：征信，SDR概念，智慧城市，雄安新区，雄安金融，人民币防伪，新版人民币，金融科技，互联网金融，无人银行，股权转让，地方国资改革，区块链，数字货币，数据中心，联想概念，国产软件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