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股票简称：派思股份</w:t>
            </w:r>
          </w:p>
        </w:tc>
        <w:tc>
          <w:tcPr>
            <w:tcW w:type="dxa" w:w="4320"/>
          </w:tcPr>
          <w:p>
            <w:r>
              <w:t>股票代码：603318</w:t>
            </w:r>
          </w:p>
        </w:tc>
      </w:tr>
      <w:tr>
        <w:tc>
          <w:tcPr>
            <w:tcW w:type="dxa" w:w="4320"/>
          </w:tcPr>
          <w:p>
            <w:r>
              <w:t>涨跌幅：10.53  +0.96/+10.03%</w:t>
            </w:r>
          </w:p>
        </w:tc>
        <w:tc>
          <w:tcPr>
            <w:tcW w:type="dxa" w:w="4320"/>
          </w:tcPr>
          <w:p>
            <w:r>
              <w:t>涨停原因：天然气。首板涨停。</w:t>
            </w:r>
          </w:p>
        </w:tc>
      </w:tr>
      <w:tr>
        <w:tc>
          <w:tcPr>
            <w:tcW w:type="dxa" w:w="4320"/>
          </w:tcPr>
          <w:p>
            <w:r>
              <w:t>总股本(股)：4.02亿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总市值(亿元)：42.35</w:t>
            </w:r>
          </w:p>
        </w:tc>
        <w:tc>
          <w:tcPr>
            <w:tcW w:type="dxa" w:w="4320"/>
          </w:tcPr>
          <w:p>
            <w:r>
              <w:t>流通市值(亿元)：42.35</w:t>
            </w:r>
          </w:p>
        </w:tc>
      </w:tr>
      <w:tr>
        <w:tc>
          <w:tcPr>
            <w:tcW w:type="dxa" w:w="4320"/>
          </w:tcPr>
          <w:p>
            <w:r>
              <w:t>市盈率(倍)：211.12</w:t>
            </w:r>
          </w:p>
        </w:tc>
        <w:tc>
          <w:tcPr>
            <w:tcW w:type="dxa" w:w="4320"/>
          </w:tcPr>
          <w:p>
            <w:r>
              <w:t>市净率(倍)：4.55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1,002.93万</w:t>
            </w:r>
          </w:p>
        </w:tc>
        <w:tc>
          <w:tcPr>
            <w:tcW w:type="dxa" w:w="2160"/>
          </w:tcPr>
          <w:p>
            <w:r>
              <w:t>122.73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-963.65万</w:t>
            </w:r>
          </w:p>
        </w:tc>
        <w:tc>
          <w:tcPr>
            <w:tcW w:type="dxa" w:w="2160"/>
          </w:tcPr>
          <w:p>
            <w:r>
              <w:t>62.38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-1.20亿</w:t>
            </w:r>
          </w:p>
        </w:tc>
        <w:tc>
          <w:tcPr>
            <w:tcW w:type="dxa" w:w="2160"/>
          </w:tcPr>
          <w:p>
            <w:r>
              <w:t>-2,840.92</w:t>
            </w:r>
          </w:p>
        </w:tc>
        <w:tc>
          <w:tcPr>
            <w:tcW w:type="dxa" w:w="2160"/>
          </w:tcPr>
          <w:p>
            <w:r>
              <w:t>-0.30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-6,621.52万</w:t>
            </w:r>
          </w:p>
        </w:tc>
        <w:tc>
          <w:tcPr>
            <w:tcW w:type="dxa" w:w="2160"/>
          </w:tcPr>
          <w:p>
            <w:r>
              <w:t>-717.91</w:t>
            </w:r>
          </w:p>
        </w:tc>
        <w:tc>
          <w:tcPr>
            <w:tcW w:type="dxa" w:w="2160"/>
          </w:tcPr>
          <w:p>
            <w:r>
              <w:t>-0.16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主营产品名称：燃气应用系统，备品备件，燃气输配系统，备品备件类，燃料贸易，燃气设备，分布式能源服务，燃气运营，石墨粉碳微球，lng业务</w:t>
            </w:r>
          </w:p>
        </w:tc>
      </w:tr>
      <w:tr>
        <w:tc>
          <w:tcPr>
            <w:tcW w:type="dxa" w:w="8640"/>
          </w:tcPr>
          <w:p>
            <w:r>
              <w:t>所属概念：天然气，股权转让，地方国资改革，融资融券，山东国资改革，转融券标的，国资驰援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