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股票简称：海南发展</w:t>
            </w:r>
          </w:p>
        </w:tc>
        <w:tc>
          <w:tcPr>
            <w:tcW w:type="dxa" w:w="4320"/>
          </w:tcPr>
          <w:p>
            <w:r>
              <w:t>股票代码：002163</w:t>
            </w:r>
          </w:p>
        </w:tc>
      </w:tr>
      <w:tr>
        <w:tc>
          <w:tcPr>
            <w:tcW w:type="dxa" w:w="4320"/>
          </w:tcPr>
          <w:p>
            <w:r>
              <w:t>涨跌幅：22.84  +2.08/+10.02%</w:t>
            </w:r>
          </w:p>
        </w:tc>
        <w:tc>
          <w:tcPr>
            <w:tcW w:type="dxa" w:w="4320"/>
          </w:tcPr>
          <w:p>
            <w:r>
              <w:t>涨停原因：海南自贸区+玻璃。首板涨停。</w:t>
            </w:r>
          </w:p>
        </w:tc>
      </w:tr>
      <w:tr>
        <w:tc>
          <w:tcPr>
            <w:tcW w:type="dxa" w:w="4320"/>
          </w:tcPr>
          <w:p>
            <w:r>
              <w:t>总股本(股)：8.04亿</w:t>
            </w:r>
          </w:p>
        </w:tc>
        <w:tc>
          <w:tcPr>
            <w:tcW w:type="dxa" w:w="4320"/>
          </w:tcPr>
          <w:p>
            <w:r>
              <w:t>流通比例(%)：99.99</w:t>
            </w:r>
          </w:p>
        </w:tc>
      </w:tr>
      <w:tr>
        <w:tc>
          <w:tcPr>
            <w:tcW w:type="dxa" w:w="4320"/>
          </w:tcPr>
          <w:p>
            <w:r>
              <w:t>总市值(亿元)：183.53</w:t>
            </w:r>
          </w:p>
        </w:tc>
        <w:tc>
          <w:tcPr>
            <w:tcW w:type="dxa" w:w="4320"/>
          </w:tcPr>
          <w:p>
            <w:r>
              <w:t>流通市值(亿元)：183.51</w:t>
            </w:r>
          </w:p>
        </w:tc>
      </w:tr>
      <w:tr>
        <w:tc>
          <w:tcPr>
            <w:tcW w:type="dxa" w:w="4320"/>
          </w:tcPr>
          <w:p>
            <w:r>
              <w:t>市盈率(倍)：685.8</w:t>
            </w:r>
          </w:p>
        </w:tc>
        <w:tc>
          <w:tcPr>
            <w:tcW w:type="dxa" w:w="4320"/>
          </w:tcPr>
          <w:p>
            <w:r>
              <w:t>市净率(倍)：27.19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669.04万</w:t>
            </w:r>
          </w:p>
        </w:tc>
        <w:tc>
          <w:tcPr>
            <w:tcW w:type="dxa" w:w="2160"/>
          </w:tcPr>
          <w:p>
            <w:r>
              <w:t>119.49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5,122.05万</w:t>
            </w:r>
          </w:p>
        </w:tc>
        <w:tc>
          <w:tcPr>
            <w:tcW w:type="dxa" w:w="2160"/>
          </w:tcPr>
          <w:p>
            <w:r>
              <w:t>56.89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410.93万</w:t>
            </w:r>
          </w:p>
        </w:tc>
        <w:tc>
          <w:tcPr>
            <w:tcW w:type="dxa" w:w="2160"/>
          </w:tcPr>
          <w:p>
            <w:r>
              <w:t>108.80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幕墙玻璃制品，家电玻璃制品，幕墙门窗制品，特玻材料，幕墙工程，玻璃，特种玻璃，幕墙业务，节能玻璃，航空材料，幕墙，高端特种玻璃，太阳能玻璃，玻璃制造，光电幕墙，新能源，玻璃幕墙，石墨烯</w:t>
            </w:r>
          </w:p>
        </w:tc>
      </w:tr>
      <w:tr>
        <w:tc>
          <w:tcPr>
            <w:tcW w:type="dxa" w:w="8640"/>
          </w:tcPr>
          <w:p>
            <w:r>
              <w:t>所属概念：工业用地，特种玻璃，股权转让，光伏概念，地方国资改革，海南自贸区，玻璃，光伏玻璃，幕墙，建筑节能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