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股票简称：海天精工</w:t>
            </w:r>
          </w:p>
        </w:tc>
        <w:tc>
          <w:tcPr>
            <w:tcW w:type="dxa" w:w="4320"/>
          </w:tcPr>
          <w:p>
            <w:r>
              <w:t>股票代码：601882</w:t>
            </w:r>
          </w:p>
        </w:tc>
      </w:tr>
      <w:tr>
        <w:tc>
          <w:tcPr>
            <w:tcW w:type="dxa" w:w="4320"/>
          </w:tcPr>
          <w:p>
            <w:r>
              <w:t>涨跌幅：14.49  +1.32/+10.02%</w:t>
            </w:r>
          </w:p>
        </w:tc>
        <w:tc>
          <w:tcPr>
            <w:tcW w:type="dxa" w:w="4320"/>
          </w:tcPr>
          <w:p>
            <w:r>
              <w:t>涨停原因：高端装备。首板涨停。</w:t>
            </w:r>
          </w:p>
        </w:tc>
      </w:tr>
      <w:tr>
        <w:tc>
          <w:tcPr>
            <w:tcW w:type="dxa" w:w="4320"/>
          </w:tcPr>
          <w:p>
            <w:r>
              <w:t>总股本(股)：5.22亿</w:t>
            </w:r>
          </w:p>
        </w:tc>
        <w:tc>
          <w:tcPr>
            <w:tcW w:type="dxa" w:w="4320"/>
          </w:tcPr>
          <w:p>
            <w:r>
              <w:t>流通比例(%)：100</w:t>
            </w:r>
          </w:p>
        </w:tc>
      </w:tr>
      <w:tr>
        <w:tc>
          <w:tcPr>
            <w:tcW w:type="dxa" w:w="4320"/>
          </w:tcPr>
          <w:p>
            <w:r>
              <w:t>总市值(亿元)：75.64</w:t>
            </w:r>
          </w:p>
        </w:tc>
        <w:tc>
          <w:tcPr>
            <w:tcW w:type="dxa" w:w="4320"/>
          </w:tcPr>
          <w:p>
            <w:r>
              <w:t>流通市值(亿元)：75.64</w:t>
            </w:r>
          </w:p>
        </w:tc>
      </w:tr>
      <w:tr>
        <w:tc>
          <w:tcPr>
            <w:tcW w:type="dxa" w:w="4320"/>
          </w:tcPr>
          <w:p>
            <w:r>
              <w:t>市盈率(倍)：164.12</w:t>
            </w:r>
          </w:p>
        </w:tc>
        <w:tc>
          <w:tcPr>
            <w:tcW w:type="dxa" w:w="4320"/>
          </w:tcPr>
          <w:p>
            <w:r>
              <w:t>市净率(倍)：5.83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1,152.16万</w:t>
            </w:r>
          </w:p>
        </w:tc>
        <w:tc>
          <w:tcPr>
            <w:tcW w:type="dxa" w:w="2160"/>
          </w:tcPr>
          <w:p>
            <w:r>
              <w:t>6.67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7,671.84万</w:t>
            </w:r>
          </w:p>
        </w:tc>
        <w:tc>
          <w:tcPr>
            <w:tcW w:type="dxa" w:w="2160"/>
          </w:tcPr>
          <w:p>
            <w:r>
              <w:t>-24.42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5,156.99万</w:t>
            </w:r>
          </w:p>
        </w:tc>
        <w:tc>
          <w:tcPr>
            <w:tcW w:type="dxa" w:w="2160"/>
          </w:tcPr>
          <w:p>
            <w:r>
              <w:t>-37.06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数控龙门加工中心，数控卧式加工中心，数控卧式车床(车铣中心)，数控落地式镗铣加工中心，数控立式车床（车铣磨中心），数控立式加工中心，数控卧式车床，数控落地镗铣加工中心，数控立式车床，塑料机械，油压成型机，工业机器人与自动化设备</w:t>
            </w:r>
          </w:p>
        </w:tc>
      </w:tr>
      <w:tr>
        <w:tc>
          <w:tcPr>
            <w:tcW w:type="dxa" w:w="8640"/>
          </w:tcPr>
          <w:p>
            <w:r>
              <w:t>所属概念：高端装备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