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股票简称：科大智能</w:t>
            </w:r>
          </w:p>
        </w:tc>
        <w:tc>
          <w:tcPr>
            <w:tcW w:type="dxa" w:w="4320"/>
          </w:tcPr>
          <w:p>
            <w:r>
              <w:t>股票代码：300222</w:t>
            </w:r>
          </w:p>
        </w:tc>
      </w:tr>
      <w:tr>
        <w:tc>
          <w:tcPr>
            <w:tcW w:type="dxa" w:w="4320"/>
          </w:tcPr>
          <w:p>
            <w:r>
              <w:t>涨跌幅：11.64  +1.06/+10.02%</w:t>
            </w:r>
          </w:p>
        </w:tc>
        <w:tc>
          <w:tcPr>
            <w:tcW w:type="dxa" w:w="4320"/>
          </w:tcPr>
          <w:p>
            <w:r>
              <w:t>涨停原因：宁德时代概念。4天3板。</w:t>
            </w:r>
          </w:p>
        </w:tc>
      </w:tr>
      <w:tr>
        <w:tc>
          <w:tcPr>
            <w:tcW w:type="dxa" w:w="4320"/>
          </w:tcPr>
          <w:p>
            <w:r>
              <w:t>总股本(股)：7.24亿</w:t>
            </w:r>
          </w:p>
        </w:tc>
        <w:tc>
          <w:tcPr>
            <w:tcW w:type="dxa" w:w="4320"/>
          </w:tcPr>
          <w:p>
            <w:r>
              <w:t>流通比例(%)：75.09</w:t>
            </w:r>
          </w:p>
        </w:tc>
      </w:tr>
      <w:tr>
        <w:tc>
          <w:tcPr>
            <w:tcW w:type="dxa" w:w="4320"/>
          </w:tcPr>
          <w:p>
            <w:r>
              <w:t>总市值(亿元)：84.25</w:t>
            </w:r>
          </w:p>
        </w:tc>
        <w:tc>
          <w:tcPr>
            <w:tcW w:type="dxa" w:w="4320"/>
          </w:tcPr>
          <w:p>
            <w:r>
              <w:t>流通市值(亿元)：63.26</w:t>
            </w:r>
          </w:p>
        </w:tc>
      </w:tr>
      <w:tr>
        <w:tc>
          <w:tcPr>
            <w:tcW w:type="dxa" w:w="4320"/>
          </w:tcPr>
          <w:p>
            <w:r>
              <w:t>市盈率(倍)：106.53</w:t>
            </w:r>
          </w:p>
        </w:tc>
        <w:tc>
          <w:tcPr>
            <w:tcW w:type="dxa" w:w="4320"/>
          </w:tcPr>
          <w:p>
            <w:r>
              <w:t>市净率(倍)：4.45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3,954.16万</w:t>
            </w:r>
          </w:p>
        </w:tc>
        <w:tc>
          <w:tcPr>
            <w:tcW w:type="dxa" w:w="2160"/>
          </w:tcPr>
          <w:p>
            <w:r>
              <w:t>-19.38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-1,734.53万</w:t>
            </w:r>
          </w:p>
        </w:tc>
        <w:tc>
          <w:tcPr>
            <w:tcW w:type="dxa" w:w="2160"/>
          </w:tcPr>
          <w:p>
            <w:r>
              <w:t>-160.60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-26.43亿</w:t>
            </w:r>
          </w:p>
        </w:tc>
        <w:tc>
          <w:tcPr>
            <w:tcW w:type="dxa" w:w="2160"/>
          </w:tcPr>
          <w:p>
            <w:r>
              <w:t>-772.55</w:t>
            </w:r>
          </w:p>
        </w:tc>
        <w:tc>
          <w:tcPr>
            <w:tcW w:type="dxa" w:w="2160"/>
          </w:tcPr>
          <w:p>
            <w:r>
              <w:t>-3.67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458.31万</w:t>
            </w:r>
          </w:p>
        </w:tc>
        <w:tc>
          <w:tcPr>
            <w:tcW w:type="dxa" w:w="2160"/>
          </w:tcPr>
          <w:p>
            <w:r>
              <w:t>-97.95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用电自动化系统，配用电自动化工程与技术服务，数据通信产品，智能装配系统，智能移载系统，智能输送系统，配用电自动化工程，配电自动化系统，工业机器人，机器人，智能制造，智能机器，机器，中压配电载波通信产品，配用电自动化，配电自动化业务，新能源接入控制与节能治理，智能制造及机器人应用产品，配用电及轨交电气自动化，物流与仓储自动化系统，新能源产品，无线通信系统设备终端及配套产品，配用电及轨交电气自动化产品，间接持信系统设备及配件产品，新型机电元件，锂离子电池，智能高压开关，智能电气，智能装备及应用，智能机器人</w:t>
            </w:r>
          </w:p>
        </w:tc>
      </w:tr>
      <w:tr>
        <w:tc>
          <w:tcPr>
            <w:tcW w:type="dxa" w:w="8640"/>
          </w:tcPr>
          <w:p>
            <w:r>
              <w:t>所属概念：工业4.0，深股通，工业机器人，智能电网，工业互联网，物联网感知层，人工智能，智能物流，京东概念，机器人概念，蔚来汽车概念，脑科学，上海金改，融资融券，转融券标的，口罩，电力物联网，物联网，充电桩，宁德时代概念，机器视觉，富时罗素概念，富时罗素概念股，新能源汽车，5G，特斯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