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股票简称：花园生物</w:t>
            </w:r>
          </w:p>
        </w:tc>
        <w:tc>
          <w:tcPr>
            <w:tcW w:type="dxa" w:w="4320"/>
          </w:tcPr>
          <w:p>
            <w:r>
              <w:t>股票代码：300401</w:t>
            </w:r>
          </w:p>
        </w:tc>
      </w:tr>
      <w:tr>
        <w:tc>
          <w:tcPr>
            <w:tcW w:type="dxa" w:w="4320"/>
          </w:tcPr>
          <w:p>
            <w:r>
              <w:t>涨跌幅：17.26  +1.57/+10.01%</w:t>
            </w:r>
          </w:p>
        </w:tc>
        <w:tc>
          <w:tcPr>
            <w:tcW w:type="dxa" w:w="4320"/>
          </w:tcPr>
          <w:p>
            <w:r>
              <w:t>涨停原因：维生素。首板涨停。</w:t>
            </w:r>
          </w:p>
        </w:tc>
      </w:tr>
      <w:tr>
        <w:tc>
          <w:tcPr>
            <w:tcW w:type="dxa" w:w="4320"/>
          </w:tcPr>
          <w:p>
            <w:r>
              <w:t>总股本(股)：5.51亿</w:t>
            </w:r>
          </w:p>
        </w:tc>
        <w:tc>
          <w:tcPr>
            <w:tcW w:type="dxa" w:w="4320"/>
          </w:tcPr>
          <w:p>
            <w:r>
              <w:t>流通比例(%)：83.3</w:t>
            </w:r>
          </w:p>
        </w:tc>
      </w:tr>
      <w:tr>
        <w:tc>
          <w:tcPr>
            <w:tcW w:type="dxa" w:w="4320"/>
          </w:tcPr>
          <w:p>
            <w:r>
              <w:t>总市值(亿元)：95.1</w:t>
            </w:r>
          </w:p>
        </w:tc>
        <w:tc>
          <w:tcPr>
            <w:tcW w:type="dxa" w:w="4320"/>
          </w:tcPr>
          <w:p>
            <w:r>
              <w:t>流通市值(亿元)：79.22</w:t>
            </w:r>
          </w:p>
        </w:tc>
      </w:tr>
      <w:tr>
        <w:tc>
          <w:tcPr>
            <w:tcW w:type="dxa" w:w="4320"/>
          </w:tcPr>
          <w:p>
            <w:r>
              <w:t>市盈率(倍)：29.26</w:t>
            </w:r>
          </w:p>
        </w:tc>
        <w:tc>
          <w:tcPr>
            <w:tcW w:type="dxa" w:w="4320"/>
          </w:tcPr>
          <w:p>
            <w:r>
              <w:t>市净率(倍)：4.99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1.63亿</w:t>
            </w:r>
          </w:p>
        </w:tc>
        <w:tc>
          <w:tcPr>
            <w:tcW w:type="dxa" w:w="2160"/>
          </w:tcPr>
          <w:p>
            <w:r>
              <w:t>-29.23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6,141.84万</w:t>
            </w:r>
          </w:p>
        </w:tc>
        <w:tc>
          <w:tcPr>
            <w:tcW w:type="dxa" w:w="2160"/>
          </w:tcPr>
          <w:p>
            <w:r>
              <w:t>-52.46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3.44亿</w:t>
            </w:r>
          </w:p>
        </w:tc>
        <w:tc>
          <w:tcPr>
            <w:tcW w:type="dxa" w:w="2160"/>
          </w:tcPr>
          <w:p>
            <w:r>
              <w:t>11.81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3.09亿</w:t>
            </w:r>
          </w:p>
        </w:tc>
        <w:tc>
          <w:tcPr>
            <w:tcW w:type="dxa" w:w="2160"/>
          </w:tcPr>
          <w:p>
            <w:r>
              <w:t>37.47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饲料级维生素d3粉，食品医药级维生素d3，胆固醇，羊毛脂衍生品，7-去氢胆固醇，腙，nf级胆固醇，饲料级维生素d3油，维生素d3，维生素，25-羟基维生素d3，精制羊毛脂，25-羟基维生素d3原，nf级胆固醇及精制羊毛脂，羊毛脂，d3类似物</w:t>
            </w:r>
          </w:p>
        </w:tc>
      </w:tr>
      <w:tr>
        <w:tc>
          <w:tcPr>
            <w:tcW w:type="dxa" w:w="8640"/>
          </w:tcPr>
          <w:p>
            <w:r>
              <w:t>所属概念：维生素，深股通，融资融券，人民币贬值受益，转融券标的，养老金持股，富时罗素概念，富时罗素概念股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