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股票简称：融钰集团</w:t>
            </w:r>
          </w:p>
        </w:tc>
        <w:tc>
          <w:tcPr>
            <w:tcW w:type="dxa" w:w="4320"/>
          </w:tcPr>
          <w:p>
            <w:r>
              <w:t>股票代码：002622</w:t>
            </w:r>
          </w:p>
        </w:tc>
      </w:tr>
      <w:tr>
        <w:tc>
          <w:tcPr>
            <w:tcW w:type="dxa" w:w="4320"/>
          </w:tcPr>
          <w:p>
            <w:r>
              <w:t>涨跌幅：3.76  +0.34/+9.94%</w:t>
            </w:r>
          </w:p>
        </w:tc>
        <w:tc>
          <w:tcPr>
            <w:tcW w:type="dxa" w:w="4320"/>
          </w:tcPr>
          <w:p>
            <w:r>
              <w:t>涨停原因：金融科技。首板涨停。</w:t>
            </w:r>
          </w:p>
        </w:tc>
      </w:tr>
      <w:tr>
        <w:tc>
          <w:tcPr>
            <w:tcW w:type="dxa" w:w="4320"/>
          </w:tcPr>
          <w:p>
            <w:r>
              <w:t>总股本(股)：8.40亿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总市值(亿元)：31.58</w:t>
            </w:r>
          </w:p>
        </w:tc>
        <w:tc>
          <w:tcPr>
            <w:tcW w:type="dxa" w:w="4320"/>
          </w:tcPr>
          <w:p>
            <w:r>
              <w:t>流通市值(亿元)：31.58</w:t>
            </w:r>
          </w:p>
        </w:tc>
      </w:tr>
      <w:tr>
        <w:tc>
          <w:tcPr>
            <w:tcW w:type="dxa" w:w="4320"/>
          </w:tcPr>
          <w:p>
            <w:r>
              <w:t>市盈率(倍)：-579.15</w:t>
            </w:r>
          </w:p>
        </w:tc>
        <w:tc>
          <w:tcPr>
            <w:tcW w:type="dxa" w:w="4320"/>
          </w:tcPr>
          <w:p>
            <w:r>
              <w:t>市净率(倍)：2.46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-136.34万</w:t>
            </w:r>
          </w:p>
        </w:tc>
        <w:tc>
          <w:tcPr>
            <w:tcW w:type="dxa" w:w="2160"/>
          </w:tcPr>
          <w:p>
            <w:r>
              <w:t>85.77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744.09万</w:t>
            </w:r>
          </w:p>
        </w:tc>
        <w:tc>
          <w:tcPr>
            <w:tcW w:type="dxa" w:w="2160"/>
          </w:tcPr>
          <w:p>
            <w:r>
              <w:t>-79.80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-1,448.74万</w:t>
            </w:r>
          </w:p>
        </w:tc>
        <w:tc>
          <w:tcPr>
            <w:tcW w:type="dxa" w:w="2160"/>
          </w:tcPr>
          <w:p>
            <w:r>
              <w:t>-174.06</w:t>
            </w:r>
          </w:p>
        </w:tc>
        <w:tc>
          <w:tcPr>
            <w:tcW w:type="dxa" w:w="2160"/>
          </w:tcPr>
          <w:p>
            <w:r>
              <w:t>-0.02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开关柜，电表，交通设施，永磁低压真空断路器，永磁低压交流接触器，电子式电能表，高速公路交通设施，高低压开关成套设备，永磁高压真空断路器，开关，真空永磁开关，永磁开关，高压开关柜，低压开关柜，永磁式户内高压真空断路器，固封极柱系列永磁式户内高压真空断路器，电弧炉专用永磁式高压真空断路器，永磁式户内高压真空断路器（矿用），智能永磁户外交流高压真空柱上开关，万能式低压真空断路器，永磁式高压真空接触器，永磁式低压接触器，变电站综合自动化控制系统，马达控制保护器，电动机保护器，智能操控装置，开关状态控制器，户外箱式变电站，征信大数据软件服务，全渠道数字化零售管理解决方案，保理业务，汽车信息咨询服务，嵌入式系统软件，五金交电，广告服务，咨询服务</w:t>
            </w:r>
          </w:p>
        </w:tc>
      </w:tr>
      <w:tr>
        <w:tc>
          <w:tcPr>
            <w:tcW w:type="dxa" w:w="8640"/>
          </w:tcPr>
          <w:p>
            <w:r>
              <w:t>所属概念：大数据，移动互联网，智能电网，电子商务，债转股，国产软件，华为概念，RCS富媒体通信，蚂蚁金服概念，区块链，金融科技，互联网金融，征信，广告营销，文化传媒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