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股票简称：西部资源</w:t>
            </w:r>
          </w:p>
        </w:tc>
        <w:tc>
          <w:tcPr>
            <w:tcW w:type="dxa" w:w="4320"/>
          </w:tcPr>
          <w:p>
            <w:r>
              <w:t>股票代码：600139</w:t>
            </w:r>
          </w:p>
        </w:tc>
      </w:tr>
      <w:tr>
        <w:tc>
          <w:tcPr>
            <w:tcW w:type="dxa" w:w="4320"/>
          </w:tcPr>
          <w:p>
            <w:r>
              <w:t>涨跌幅：4.13  +0.38/+10.13%</w:t>
            </w:r>
          </w:p>
        </w:tc>
        <w:tc>
          <w:tcPr>
            <w:tcW w:type="dxa" w:w="4320"/>
          </w:tcPr>
          <w:p>
            <w:r>
              <w:t>涨停原因：黄金概念。首板涨停。</w:t>
            </w:r>
          </w:p>
        </w:tc>
      </w:tr>
      <w:tr>
        <w:tc>
          <w:tcPr>
            <w:tcW w:type="dxa" w:w="4320"/>
          </w:tcPr>
          <w:p>
            <w:r>
              <w:t>总股本(股)：6.62亿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总市值(亿元)：27.34</w:t>
            </w:r>
          </w:p>
        </w:tc>
        <w:tc>
          <w:tcPr>
            <w:tcW w:type="dxa" w:w="4320"/>
          </w:tcPr>
          <w:p>
            <w:r>
              <w:t>流通市值(亿元)：27.34</w:t>
            </w:r>
          </w:p>
        </w:tc>
      </w:tr>
      <w:tr>
        <w:tc>
          <w:tcPr>
            <w:tcW w:type="dxa" w:w="4320"/>
          </w:tcPr>
          <w:p>
            <w:r>
              <w:t>市盈率(倍)：-257.49</w:t>
            </w:r>
          </w:p>
        </w:tc>
        <w:tc>
          <w:tcPr>
            <w:tcW w:type="dxa" w:w="4320"/>
          </w:tcPr>
          <w:p>
            <w:r>
              <w:t>市净率(倍)：7.8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-265.41万</w:t>
            </w:r>
          </w:p>
        </w:tc>
        <w:tc>
          <w:tcPr>
            <w:tcW w:type="dxa" w:w="2160"/>
          </w:tcPr>
          <w:p>
            <w:r>
              <w:t>81.95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-7,771.94万</w:t>
            </w:r>
          </w:p>
        </w:tc>
        <w:tc>
          <w:tcPr>
            <w:tcW w:type="dxa" w:w="2160"/>
          </w:tcPr>
          <w:p>
            <w:r>
              <w:t>-2,763.38</w:t>
            </w:r>
          </w:p>
        </w:tc>
        <w:tc>
          <w:tcPr>
            <w:tcW w:type="dxa" w:w="2160"/>
          </w:tcPr>
          <w:p>
            <w:r>
              <w:t>-0.12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-3,898.20万</w:t>
            </w:r>
          </w:p>
        </w:tc>
        <w:tc>
          <w:tcPr>
            <w:tcW w:type="dxa" w:w="2160"/>
          </w:tcPr>
          <w:p>
            <w:r>
              <w:t>-7.64</w:t>
            </w:r>
          </w:p>
        </w:tc>
        <w:tc>
          <w:tcPr>
            <w:tcW w:type="dxa" w:w="2160"/>
          </w:tcPr>
          <w:p>
            <w:r>
              <w:t>-0.06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铁精粉，硫精矿，锰精矿，铅精粉，锌精粉，碳酸锂，尾矿，铜精粉，铅锌矿，银矿，白银，铜精矿，金矿，锂电池，新能源，新能源汽车，新能源客车，新能源电池，电池，新能源汽车锂电池，油气，动力锂电池，锂矿，动力电池，矿产品，融资服务，锂电池及材料</w:t>
            </w:r>
          </w:p>
        </w:tc>
      </w:tr>
      <w:tr>
        <w:tc>
          <w:tcPr>
            <w:tcW w:type="dxa" w:w="8640"/>
          </w:tcPr>
          <w:p>
            <w:r>
              <w:t>所属概念：铜，锂矿，成渝特区，稀有金属，涉矿，融资融券，钴，转融券标的，融资租赁，小金属概念，白银，黄金概念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