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股票简称：越秀金控</w:t>
            </w:r>
          </w:p>
        </w:tc>
        <w:tc>
          <w:tcPr>
            <w:tcW w:type="dxa" w:w="4320"/>
          </w:tcPr>
          <w:p>
            <w:r>
              <w:t>股票代码：000987</w:t>
            </w:r>
          </w:p>
        </w:tc>
      </w:tr>
      <w:tr>
        <w:tc>
          <w:tcPr>
            <w:tcW w:type="dxa" w:w="4320"/>
          </w:tcPr>
          <w:p>
            <w:r>
              <w:t>涨跌幅：24.35  +2.21/+9.98%</w:t>
            </w:r>
          </w:p>
        </w:tc>
        <w:tc>
          <w:tcPr>
            <w:tcW w:type="dxa" w:w="4320"/>
          </w:tcPr>
          <w:p>
            <w:r>
              <w:t>涨停原因：参股券商。首板涨停。</w:t>
            </w:r>
          </w:p>
        </w:tc>
      </w:tr>
      <w:tr>
        <w:tc>
          <w:tcPr>
            <w:tcW w:type="dxa" w:w="4320"/>
          </w:tcPr>
          <w:p>
            <w:r>
              <w:t>总股本(股)：27.53亿</w:t>
            </w:r>
          </w:p>
        </w:tc>
        <w:tc>
          <w:tcPr>
            <w:tcW w:type="dxa" w:w="4320"/>
          </w:tcPr>
          <w:p>
            <w:r>
              <w:t>流通比例(%)：96.89</w:t>
            </w:r>
          </w:p>
        </w:tc>
      </w:tr>
      <w:tr>
        <w:tc>
          <w:tcPr>
            <w:tcW w:type="dxa" w:w="4320"/>
          </w:tcPr>
          <w:p>
            <w:r>
              <w:t>总市值(亿元)：670.33</w:t>
            </w:r>
          </w:p>
        </w:tc>
        <w:tc>
          <w:tcPr>
            <w:tcW w:type="dxa" w:w="4320"/>
          </w:tcPr>
          <w:p>
            <w:r>
              <w:t>流通市值(亿元)：649.48</w:t>
            </w:r>
          </w:p>
        </w:tc>
      </w:tr>
      <w:tr>
        <w:tc>
          <w:tcPr>
            <w:tcW w:type="dxa" w:w="4320"/>
          </w:tcPr>
          <w:p>
            <w:r>
              <w:t>市盈率(倍)：4.75</w:t>
            </w:r>
          </w:p>
        </w:tc>
        <w:tc>
          <w:tcPr>
            <w:tcW w:type="dxa" w:w="4320"/>
          </w:tcPr>
          <w:p>
            <w:r>
              <w:t>市净率(倍)：2.98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35.25亿</w:t>
            </w:r>
          </w:p>
        </w:tc>
        <w:tc>
          <w:tcPr>
            <w:tcW w:type="dxa" w:w="2160"/>
          </w:tcPr>
          <w:p>
            <w:r>
              <w:t>1,209.78</w:t>
            </w:r>
          </w:p>
        </w:tc>
        <w:tc>
          <w:tcPr>
            <w:tcW w:type="dxa" w:w="2160"/>
          </w:tcPr>
          <w:p>
            <w:r>
              <w:t>1.28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11.79亿</w:t>
            </w:r>
          </w:p>
        </w:tc>
        <w:tc>
          <w:tcPr>
            <w:tcW w:type="dxa" w:w="2160"/>
          </w:tcPr>
          <w:p>
            <w:r>
              <w:t>161.98</w:t>
            </w:r>
          </w:p>
        </w:tc>
        <w:tc>
          <w:tcPr>
            <w:tcW w:type="dxa" w:w="2160"/>
          </w:tcPr>
          <w:p>
            <w:r>
              <w:t>0.43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13.41亿</w:t>
            </w:r>
          </w:p>
        </w:tc>
        <w:tc>
          <w:tcPr>
            <w:tcW w:type="dxa" w:w="2160"/>
          </w:tcPr>
          <w:p>
            <w:r>
              <w:t>357.02</w:t>
            </w:r>
          </w:p>
        </w:tc>
        <w:tc>
          <w:tcPr>
            <w:tcW w:type="dxa" w:w="2160"/>
          </w:tcPr>
          <w:p>
            <w:r>
              <w:t>0.49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百货零售，物业租赁，奢侈品，百货，商品销售，百货业务，投资银行业务，融资租赁业务，资产管理业务，经纪业务，自营业务，产业基金业务，担保业务，证券期货业务，不良资产管理业务，资本投资业务</w:t>
            </w:r>
          </w:p>
        </w:tc>
      </w:tr>
      <w:tr>
        <w:tc>
          <w:tcPr>
            <w:tcW w:type="dxa" w:w="8640"/>
          </w:tcPr>
          <w:p>
            <w:r>
              <w:t>所属概念：收入改革，移动购物，深股通，商品新零售，独角兽概念，地方国资改革，广东国资改革，融资融券，转融券标的，小额贷款，寒武纪概念，粤港澳大湾区，富时罗素概念，富时罗素概念股，债转股，半年报预增，参股券商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