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股票简称：金固股份</w:t>
            </w:r>
          </w:p>
        </w:tc>
        <w:tc>
          <w:tcPr>
            <w:tcW w:type="dxa" w:w="4320"/>
          </w:tcPr>
          <w:p>
            <w:r>
              <w:t>股票代码：002488</w:t>
            </w:r>
          </w:p>
        </w:tc>
      </w:tr>
      <w:tr>
        <w:tc>
          <w:tcPr>
            <w:tcW w:type="dxa" w:w="4320"/>
          </w:tcPr>
          <w:p>
            <w:r>
              <w:t>涨跌幅：6.47  +0.59/+10.03%</w:t>
            </w:r>
          </w:p>
        </w:tc>
        <w:tc>
          <w:tcPr>
            <w:tcW w:type="dxa" w:w="4320"/>
          </w:tcPr>
          <w:p>
            <w:r>
              <w:t>涨停原因：数字货币。首板涨停。</w:t>
            </w:r>
          </w:p>
        </w:tc>
      </w:tr>
      <w:tr>
        <w:tc>
          <w:tcPr>
            <w:tcW w:type="dxa" w:w="4320"/>
          </w:tcPr>
          <w:p>
            <w:r>
              <w:t>总股本(股)：10.12亿</w:t>
            </w:r>
          </w:p>
        </w:tc>
        <w:tc>
          <w:tcPr>
            <w:tcW w:type="dxa" w:w="4320"/>
          </w:tcPr>
          <w:p>
            <w:r>
              <w:t>流通比例(%)：81.47</w:t>
            </w:r>
          </w:p>
        </w:tc>
      </w:tr>
      <w:tr>
        <w:tc>
          <w:tcPr>
            <w:tcW w:type="dxa" w:w="4320"/>
          </w:tcPr>
          <w:p>
            <w:r>
              <w:t>总市值(亿元)：65.46</w:t>
            </w:r>
          </w:p>
        </w:tc>
        <w:tc>
          <w:tcPr>
            <w:tcW w:type="dxa" w:w="4320"/>
          </w:tcPr>
          <w:p>
            <w:r>
              <w:t>流通市值(亿元)：53.33</w:t>
            </w:r>
          </w:p>
        </w:tc>
      </w:tr>
      <w:tr>
        <w:tc>
          <w:tcPr>
            <w:tcW w:type="dxa" w:w="4320"/>
          </w:tcPr>
          <w:p>
            <w:r>
              <w:t>市盈率(倍)：-39.58</w:t>
            </w:r>
          </w:p>
        </w:tc>
        <w:tc>
          <w:tcPr>
            <w:tcW w:type="dxa" w:w="4320"/>
          </w:tcPr>
          <w:p>
            <w:r>
              <w:t>市净率(倍)：1.68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-4,134.38万</w:t>
            </w:r>
          </w:p>
        </w:tc>
        <w:tc>
          <w:tcPr>
            <w:tcW w:type="dxa" w:w="2160"/>
          </w:tcPr>
          <w:p>
            <w:r>
              <w:t>-244.02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2,309.71万</w:t>
            </w:r>
          </w:p>
        </w:tc>
        <w:tc>
          <w:tcPr>
            <w:tcW w:type="dxa" w:w="2160"/>
          </w:tcPr>
          <w:p>
            <w:r>
              <w:t>-85.94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7,300.38万</w:t>
            </w:r>
          </w:p>
        </w:tc>
        <w:tc>
          <w:tcPr>
            <w:tcW w:type="dxa" w:w="2160"/>
          </w:tcPr>
          <w:p>
            <w:r>
              <w:t>-42.28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轮胎及装配，轮胎，钢制车轮，金属表面环保处理，车轮，汽车服务，钢轮，环保设备，盲点探测，汽修服务，钢制车轮及组装车轮，汽车后市场互联网业务，分布式光伏发电，汽车后市场业务，高端装备设备，钢制滚型车轮，eps绿色免酸洗金属表面处理设备，汽配供应链专业服务</w:t>
            </w:r>
          </w:p>
        </w:tc>
      </w:tr>
      <w:tr>
        <w:tc>
          <w:tcPr>
            <w:tcW w:type="dxa" w:w="8640"/>
          </w:tcPr>
          <w:p>
            <w:r>
              <w:t>所属概念：深股通，二手车，汽车关税下调，智能汽车，阿里巴巴概念，创投，节能环保，独角兽概念，氢能源，新零售，融资融券，分拆上市意愿，数字货币，区块链，转融券标的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