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股票简称：银轮股份</w:t>
            </w:r>
          </w:p>
        </w:tc>
        <w:tc>
          <w:tcPr>
            <w:tcW w:type="dxa" w:w="4320"/>
          </w:tcPr>
          <w:p>
            <w:r>
              <w:t>股票代码：002126</w:t>
            </w:r>
          </w:p>
        </w:tc>
      </w:tr>
      <w:tr>
        <w:tc>
          <w:tcPr>
            <w:tcW w:type="dxa" w:w="4320"/>
          </w:tcPr>
          <w:p>
            <w:r>
              <w:t>涨跌幅：14.89  +1.35/+9.97%</w:t>
            </w:r>
          </w:p>
        </w:tc>
        <w:tc>
          <w:tcPr>
            <w:tcW w:type="dxa" w:w="4320"/>
          </w:tcPr>
          <w:p>
            <w:r>
              <w:t>涨停原因：特斯拉。首板涨停。</w:t>
            </w:r>
          </w:p>
        </w:tc>
      </w:tr>
      <w:tr>
        <w:tc>
          <w:tcPr>
            <w:tcW w:type="dxa" w:w="4320"/>
          </w:tcPr>
          <w:p>
            <w:r>
              <w:t>总股本(股)：7.92亿</w:t>
            </w:r>
          </w:p>
        </w:tc>
        <w:tc>
          <w:tcPr>
            <w:tcW w:type="dxa" w:w="4320"/>
          </w:tcPr>
          <w:p>
            <w:r>
              <w:t>流通比例(%)：95.65</w:t>
            </w:r>
          </w:p>
        </w:tc>
      </w:tr>
      <w:tr>
        <w:tc>
          <w:tcPr>
            <w:tcW w:type="dxa" w:w="4320"/>
          </w:tcPr>
          <w:p>
            <w:r>
              <w:t>总市值(亿元)：117.94</w:t>
            </w:r>
          </w:p>
        </w:tc>
        <w:tc>
          <w:tcPr>
            <w:tcW w:type="dxa" w:w="4320"/>
          </w:tcPr>
          <w:p>
            <w:r>
              <w:t>流通市值(亿元)：112.81</w:t>
            </w:r>
          </w:p>
        </w:tc>
      </w:tr>
      <w:tr>
        <w:tc>
          <w:tcPr>
            <w:tcW w:type="dxa" w:w="4320"/>
          </w:tcPr>
          <w:p>
            <w:r>
              <w:t>市盈率(倍)：28.97</w:t>
            </w:r>
          </w:p>
        </w:tc>
        <w:tc>
          <w:tcPr>
            <w:tcW w:type="dxa" w:w="4320"/>
          </w:tcPr>
          <w:p>
            <w:r>
              <w:t>市净率(倍)：3.04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2.04亿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9,305.22万</w:t>
            </w:r>
          </w:p>
        </w:tc>
        <w:tc>
          <w:tcPr>
            <w:tcW w:type="dxa" w:w="2160"/>
          </w:tcPr>
          <w:p>
            <w:r>
              <w:t>-14.56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3.18亿</w:t>
            </w:r>
          </w:p>
        </w:tc>
        <w:tc>
          <w:tcPr>
            <w:tcW w:type="dxa" w:w="2160"/>
          </w:tcPr>
          <w:p>
            <w:r>
              <w:t>-9.01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2.56亿</w:t>
            </w:r>
          </w:p>
        </w:tc>
        <w:tc>
          <w:tcPr>
            <w:tcW w:type="dxa" w:w="2160"/>
          </w:tcPr>
          <w:p>
            <w:r>
              <w:t>-9.84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中冷器，冷却器总成，管翅式冷却器，封条式冷却器，铝冷却器，冷却器，不锈钢冷却器，尾气治理，尾气处理，空气治理，机油冷却器，节能产品，汽车热交换器，汽车，卡车，汽车冷却器，柴油轿车，乘用车前端模块，热交换器，工程机械，后处理系统，余热发电，螺杆膨胀发电机，节能环保，环保业务，车用空调，贸易</w:t>
            </w:r>
          </w:p>
        </w:tc>
      </w:tr>
      <w:tr>
        <w:tc>
          <w:tcPr>
            <w:tcW w:type="dxa" w:w="8640"/>
          </w:tcPr>
          <w:p>
            <w:r>
              <w:t>所属概念：小额贷款，废气处理，智能汽车，尾气治理，独角兽概念，新能源汽车，超级高铁，量子通信，特斯拉，宁德时代概念，国六标准、国六排放、国六，工业互联网，创投，深股通，养老金持股，标普道琼斯A股，透明工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