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DUOC UC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Metro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Cultural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 + Cultura (Web + Móvil)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rtl w:val="0"/>
              </w:rPr>
              <w:t xml:space="preserve">26/08/2025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Extranjeros y usuarios del metro de Santiago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Fernando Gonzalo Herrera Francesconi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Felipe Gallardo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El proyecto tiene como propósito diseñar y desarrollar una plataforma tecnológica que centralice y difunda información cultural (eventos, museos, ferias, teatros, etc.) asociada a las estaciones del Metro de Santiago.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La justificación radica en la falta de acceso a información cultural en un solo canal confiable y georreferenciado, lo que dificulta la participación ciudadana. La solución aportará valor social, fomentará el acceso a la cultura y permitirá aplicar competencias profesionales en desarrollo de software, bases de datos y gestión de proyectos.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Aplicación móvil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: búsqueda de eventos culturales por estación o ubicación, visualización en mapa y favoritos.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Plataforma web administrativa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: gestión de estaciones, eventos y usuarios, con roles diferenciados.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Base de datos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: soporte de usuarios, eventos, estaciones y favoritos.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Integración con API externa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: Google Maps/Places API para georreferenciación y cálculo de distancias.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Documentación completa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: requisitos, arquitectura, modelo de datos, pruebas, manuales y acta de cierre.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Entregables principales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Documento de requisitos.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Base de datos implementada.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Plataforma web (CRUD de eventos, usuarios, estaciones).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Aplicación móvil (usuarios Metro).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Integración con API externa.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Documentación técnica y manual de usuario.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Informe de cierre del proyecto.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bookmarkStart w:colFirst="0" w:colLast="0" w:name="_heading=h.u2xnwir3ottz" w:id="4"/>
      <w:bookmarkEnd w:id="4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Objetivos</w:t>
      </w:r>
    </w:p>
    <w:tbl>
      <w:tblPr>
        <w:tblStyle w:val="Table4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5"/>
        <w:gridCol w:w="3375"/>
        <w:tblGridChange w:id="0">
          <w:tblGrid>
            <w:gridCol w:w="6045"/>
            <w:gridCol w:w="3375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Desarrollar una plataforma web y móvil para usuarios del Metro que centralice información cultural.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Aplicación funcional disponible para pruebas al cierre del semestre.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Diseñar e implementar una base de datos relacional para la gestión de usuarios, estaciones y eventos.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BD implementada y validada con casos de prueba.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Implementar un panel web administrativo con roles y funciones de gestión de eventos.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Panel funcionando con CRUD validado en pruebas.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Desarrollar una aplicación móvil que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permite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 consulta de eventos y visualización en mapas.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Aplicación instalada y probada en dispositivos móviles.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Integrar API externa (Google Maps/Places) para georreferenciación.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Eventos mostrados con ubicación en mapa y cálculo de distancias.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Investigación y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Diseño de Interfaz de Usuario (UI)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Desarrollo del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Desarrollo del Back-End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Integración de APIs y Geolocalización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Pruebas Funcionales y Validación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Despliegue en Producción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Desarrollador Back-End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Desarrollador Front-End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Diseñador UI/UX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Tester/Documentador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8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Herramientas de desarrollo (por ejemplo, IDEs, frameworks):</w:t>
              <w:br w:type="textWrapping"/>
              <w:t xml:space="preserve">API de Google Maps y Places: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Plataforma de hosting :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Herramientas de colaboración (Trello, GitHub, etc.):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realizarán pruebas funcionales y de usabilidad en diferentes etapas del desarrollo. Las pruebas se basarán en escenarios de usuarios reales para asegurar que la aplicación sea fácil de usar y funcione correctamente en distintas 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desarrollo se llevará a cabo utilizando metodologías ágiles Scrum, lo que permitirá entregar un producto funcional de forma continua y realizar mejoras basadas en el feedback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código será revisado regularmente para asegurar que siga las mejores prácticas de desarrollo y se cumpla con los estándares de calidad requeridos. Además de llevar un control de versiones con Git.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diseño de la aplicación tendrá en cuenta la escalabilidad, permitiendo que en el futuro se pueda expandir a otras ciudades o regiones con una estructura similar.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bookmarkStart w:colFirst="0" w:colLast="0" w:name="_heading=h.kpe2csbpkfe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bookmarkStart w:colFirst="0" w:colLast="0" w:name="_heading=h.xl2bkyyil928" w:id="6"/>
      <w:bookmarkEnd w:id="6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Limitaciones en el uso de APIs gratuitas (cuotas de acceso).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Retrasos en el desarrollo por falta de coordinación del equipo.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Problemas de compatibilidad en app móvil según dispositivos.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Posible falta de información cultural actualizada (si no existe API oficial).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spacing w:after="280" w:before="280" w:lineRule="auto"/>
        <w:ind w:left="-1.9999999999999998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2"/>
        <w:gridCol w:w="2920"/>
        <w:tblGridChange w:id="0">
          <w:tblGrid>
            <w:gridCol w:w="4872"/>
            <w:gridCol w:w="2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Entrega de requisitos y modelo de datos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60.0" w:type="dxa"/>
              <w:jc w:val="left"/>
              <w:tblLayout w:type="fixed"/>
              <w:tblLook w:val="0400"/>
            </w:tblPr>
            <w:tblGrid>
              <w:gridCol w:w="1030"/>
              <w:gridCol w:w="1030"/>
              <w:tblGridChange w:id="0">
                <w:tblGrid>
                  <w:gridCol w:w="1030"/>
                  <w:gridCol w:w="1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ind w:left="0" w:firstLine="0"/>
                    <w:rPr>
                      <w:rFonts w:ascii="Lato" w:cs="Lato" w:eastAsia="Lato" w:hAnsi="Lato"/>
                      <w:color w:val="000000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000000"/>
                      <w:rtl w:val="0"/>
                    </w:rPr>
                    <w:t xml:space="preserve">Semanas   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spacing w:after="0" w:line="240" w:lineRule="auto"/>
                    <w:ind w:left="0" w:firstLine="0"/>
                    <w:rPr>
                      <w:rFonts w:ascii="Lato" w:cs="Lato" w:eastAsia="Lato" w:hAnsi="Lato"/>
                      <w:color w:val="000000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000000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Prototipo web (CRUD básico)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Semanas   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Prototipo app móvil (búsqueda de eventos)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Semanas   11</w:t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Integración API externa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Semanas   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Entrega final y presentación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Semanas   17</w:t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1t3h5sf" w:id="7"/>
      <w:bookmarkEnd w:id="7"/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Presupuesto inicial asignado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Google Maps API Servicio para integrar mapas y geolocalización.</w:t>
              <w:tab/>
              <w:t xml:space="preserve">$60.000 CLP mensuales.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Supabase (Base de datos)</w:t>
              <w:tab/>
              <w:t xml:space="preserve">Plataforma de base de datos para gestionar la información cultural.  $40.000 CLP mensuales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Hosting  Servicio de hosting para la app y la base de datos.</w:t>
              <w:tab/>
              <w:t xml:space="preserve">$50.000 CLP mensuales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Licencias de Software Herramientas de desarrollo (IDE, frameworks, etc.).</w:t>
              <w:tab/>
              <w:t xml:space="preserve">$50.000 CLP (dependiendo de la herramienta)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Herramientas de diseño (Figma, Adobe XD) Herramientas para el diseño de la interfaz de usuario. $20.000 CLP mensuales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Plataformas de control de versiones GitHub, GitLab o Bitbucket para colaboración.</w:t>
              <w:tab/>
              <w:t xml:space="preserve">$0 (para repositorios públicos) a  $10.000 CLP mensuales (repositorios privados)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Lista de Interesados (stakeholders)</w:t>
      </w:r>
    </w:p>
    <w:tbl>
      <w:tblPr>
        <w:tblStyle w:val="Table9"/>
        <w:tblW w:w="8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3165"/>
        <w:gridCol w:w="2400"/>
        <w:tblGridChange w:id="0">
          <w:tblGrid>
            <w:gridCol w:w="2775"/>
            <w:gridCol w:w="3165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.0000000000001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Entidades Culturales Locales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Director de Instituciones Culturales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Museos, Centros Culturales, Galerías, Teatros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7.9999999999998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1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20"/>
              <w:tblGridChange w:id="0">
                <w:tblGrid>
                  <w:gridCol w:w="212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ind w:hanging="2"/>
                    <w:jc w:val="center"/>
                    <w:rPr>
                      <w:rFonts w:ascii="Lato" w:cs="Lato" w:eastAsia="Lato" w:hAnsi="Lato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1"/>
                      <w:rtl w:val="0"/>
                    </w:rPr>
                    <w:t xml:space="preserve">Metro de Santiago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spacing w:after="0" w:line="240" w:lineRule="auto"/>
              <w:ind w:hanging="2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5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tblGridChange w:id="0">
                <w:tblGrid>
                  <w:gridCol w:w="25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ind w:hanging="2"/>
                    <w:jc w:val="left"/>
                    <w:rPr>
                      <w:rFonts w:ascii="Lato" w:cs="Lato" w:eastAsia="Lato" w:hAnsi="La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1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20"/>
              <w:tblGridChange w:id="0">
                <w:tblGrid>
                  <w:gridCol w:w="212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ind w:hanging="2"/>
                    <w:jc w:val="left"/>
                    <w:rPr>
                      <w:rFonts w:ascii="Lato" w:cs="Lato" w:eastAsia="Lato" w:hAnsi="Lato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rtl w:val="0"/>
                    </w:rPr>
                    <w:t xml:space="preserve">Director /Gerente General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ind w:hanging="2"/>
                    <w:rPr>
                      <w:rFonts w:ascii="Lato" w:cs="Lato" w:eastAsia="Lato" w:hAnsi="La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Empresa Metropolitana de Transportes de Santiago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2s8eyo1" w:id="8"/>
      <w:bookmarkEnd w:id="8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96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Gerente de proyecto</w:t>
      </w:r>
    </w:p>
    <w:tbl>
      <w:tblPr>
        <w:tblStyle w:val="Table14"/>
        <w:tblW w:w="82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3555"/>
        <w:gridCol w:w="2565"/>
        <w:tblGridChange w:id="0">
          <w:tblGrid>
            <w:gridCol w:w="2130"/>
            <w:gridCol w:w="3555"/>
            <w:gridCol w:w="2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Felipe Gallardo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Scrum Master / Gestor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Departamento 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bookmarkStart w:colFirst="0" w:colLast="0" w:name="_heading=h.17dp8vu" w:id="9"/>
      <w:bookmarkEnd w:id="9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Scrum Master/Gestor del Proyecto tiene la autoridad para decidir la asignación de tareas dentro del equipo. Sin embargo, las decisiones sobre contrataciones externas o cambios de personal pueden requerir la aprobación del coordinador del proyecto o de los responsables de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Scrum Master/Gestor tiene un control limitado sobre el presupuesto. Cualquier ajuste en el presupuesto o gastos fuera de lo presupuestado debe ser aprobado por los patrocinadores del proyecto o el comité de dirección.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Scrum Master/Gestor del Proyecto no toma decisiones técnicas directas, pero coordina con los desarrolladores y diseñadores para asegurar que las decisiones técnicas se alineen con los objetivos del proyecto y se cumplan las mejores prácticas.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6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Scrum Master/Gestor del Proyecto tiene la autoridad para mediar y resolver conflictos dentro del equipo, garantizando que las decisiones se tomen de manera colaborativa. En caso de conflictos importantes, puede escalar a los superiores.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Scrum Master/Gestor tiene la autoridad para resolver problemas dentro del equipo y escalar problemas más allá de su alcance (técnicos, presupuestarios o de personal) al patrocinador del proyecto o gerencia. Las limitaciones incluyen decisiones que afectan los recursos o presupuesto a gran escala.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Personal y recursos preasignados</w:t>
      </w:r>
    </w:p>
    <w:tbl>
      <w:tblPr>
        <w:tblStyle w:val="Table16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Supabase (Base de Datos)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Departamento de Desarrollo de Software /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Herramientas de Desarrollo (VS Code, 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Departamento de Desarrollo de Software / Herramientas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API Google Maps/Places (versión gratuita)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Plataforma de Hosting (Vercel, Netlify,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Departamento de Desarrollo de Software / Infraestructura y 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Gestión de Proyectos / Herramientas de Gestión Ágil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c7y3wzgae6g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04/09/2025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spacing w:after="280" w:before="280" w:lineRule="auto"/>
        <w:ind w:left="0" w:hanging="2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360.6299212598435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jj9XsKlpcZe/eoLGZwB8Dr+Fw==">CgMxLjAyCGguZ2pkZ3hzMgloLjMwajB6bGwyCWguMWZvYjl0ZTIJaC4zem55c2g3Mg5oLnUyeG53aXIzb3R0ejIOaC5rcGUyY3NicGtmZW8yDmgueGwyYmt5eWlsOTI4MgloLjF0M2g1c2YyCWguMnM4ZXlvMTIJaC4xN2RwOHZ1Mg5oLmM3eTN3emdhZTZnNTgAciExX2UtOFNpZkhGN1ROV1UydVZEWWdEVm90VjJOZWJKVUw=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