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2240" w:h="15840"/>
          <w:pgMar w:left="0" w:right="0" w:gutter="0" w:header="0" w:top="0" w:footer="0" w:bottom="0"/>
          <w:pgNumType w:fmt="decimal"/>
          <w:formProt w:val="false"/>
          <w:textDirection w:val="lrTb"/>
          <w:docGrid w:type="default" w:linePitch="360" w:charSpace="0"/>
        </w:sectPr>
        <w:pStyle w:val="Normal"/>
        <w:spacing w:lineRule="auto" w:line="240" w:before="0" w:after="0"/>
        <w:jc w:val="center"/>
        <w:rPr/>
      </w:pPr>
      <w:r>
        <w:rPr/>
        <w:drawing>
          <wp:inline distT="0" distB="0" distL="0" distR="0">
            <wp:extent cx="7772400" cy="9985375"/>
            <wp:effectExtent l="0" t="0" r="0" b="0"/>
            <wp:docPr id="1" name="Picture 1" descr="Image: image1.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7772400" cy="9985375"/>
                    </a:xfrm>
                    <a:prstGeom prst="rect">
                      <a:avLst/>
                    </a:prstGeom>
                    <a:noFill/>
                  </pic:spPr>
                </pic:pic>
              </a:graphicData>
            </a:graphic>
          </wp:inline>
        </w:drawing>
      </w:r>
    </w:p>
    <w:p>
      <w:pPr>
        <w:pStyle w:val="Eyebrow"/>
        <w:jc w:val="center"/>
        <w:rPr/>
      </w:pPr>
      <w:r>
        <w:rPr/>
        <w:t>FOUNDATIONAL BLUEPRINT</w:t>
      </w:r>
    </w:p>
    <w:p>
      <w:pPr>
        <w:pStyle w:val="Normal"/>
        <w:jc w:val="center"/>
        <w:rPr/>
      </w:pPr>
      <w:r>
        <w:rPr>
          <w:rFonts w:ascii="Inter Display" w:hAnsi="Inter Display"/>
          <w:b/>
          <w:color w:val="0D1C32"/>
          <w:sz w:val="68"/>
        </w:rPr>
        <w:t>PRISMATIK</w:t>
      </w:r>
    </w:p>
    <w:p>
      <w:pPr>
        <w:pStyle w:val="ExecutiveSubtitle"/>
        <w:jc w:val="center"/>
        <w:rPr/>
      </w:pPr>
      <w:r>
        <w:rPr/>
        <w:t>Enterprise Trading Intelligence Platform</w:t>
      </w:r>
    </w:p>
    <w:p>
      <w:pPr>
        <w:pStyle w:val="Lead"/>
        <w:jc w:val="center"/>
        <w:rPr/>
      </w:pPr>
      <w:r>
        <w:rPr/>
        <w:t>Executive Product Vision, Granular Architecture, Security Doctrine, and Phased Implementation Plan</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8B5CF6"/>
            </w:tcBorders>
            <w:shd w:fill="F2EDFF"/>
          </w:tcPr>
          <w:p>
            <w:pPr>
              <w:pStyle w:val="Normal"/>
              <w:widowControl/>
              <w:bidi w:val="0"/>
              <w:spacing w:lineRule="auto" w:line="259" w:before="0" w:after="100"/>
              <w:jc w:val="start"/>
              <w:rPr/>
            </w:pPr>
            <w:r>
              <w:rPr>
                <w:rFonts w:ascii="Inter Display" w:hAnsi="Inter Display"/>
                <w:b/>
                <w:color w:val="8B5CF6"/>
                <w:sz w:val="16"/>
              </w:rPr>
              <w:t xml:space="preserve">CORNERSTONE INTENT  </w:t>
            </w:r>
            <w:r>
              <w:rPr>
                <w:color w:val="172236"/>
                <w:sz w:val="18"/>
              </w:rPr>
              <w:t>This document is designed to function as the durable north-star blueprint for product, engineering, security, quantitative research, operations, partnerships, and future fundraising. It integrates the complete v0.1 product architecture with the build-ready v0.2 evolution contracts without discarding the underlying technical detail.</w:t>
            </w:r>
          </w:p>
        </w:tc>
      </w:tr>
    </w:tbl>
    <w:p>
      <w:pPr>
        <w:pStyle w:val="Normal"/>
        <w:spacing w:before="0" w:after="0"/>
        <w:rPr/>
      </w:pPr>
      <w:r>
        <w:rPr/>
      </w:r>
    </w:p>
    <w:p>
      <w:pPr>
        <w:pStyle w:val="Heading2"/>
        <w:pageBreakBefore w:val="false"/>
        <w:rPr/>
      </w:pPr>
      <w:bookmarkStart w:id="0" w:name="__RefHeading___Toc6720_2150751134"/>
      <w:bookmarkEnd w:id="0"/>
      <w:r>
        <w:rPr/>
        <w:t>DOCUMENT CONTROL</w:t>
      </w:r>
    </w:p>
    <w:tbl>
      <w:tblPr>
        <w:tblW w:w="10310" w:type="dxa"/>
        <w:jc w:val="center"/>
        <w:tblInd w:w="0" w:type="dxa"/>
        <w:tblLayout w:type="fixed"/>
        <w:tblCellMar>
          <w:top w:w="90" w:type="dxa"/>
          <w:start w:w="100" w:type="dxa"/>
          <w:bottom w:w="90" w:type="dxa"/>
          <w:end w:w="100" w:type="dxa"/>
        </w:tblCellMar>
        <w:tblLook w:val="04a0" w:noHBand="0" w:noVBand="1" w:firstColumn="1" w:lastRow="0" w:lastColumn="0" w:firstRow="1"/>
      </w:tblPr>
      <w:tblGrid>
        <w:gridCol w:w="5155"/>
        <w:gridCol w:w="5154"/>
      </w:tblGrid>
      <w:tr>
        <w:trPr>
          <w:tblHeader/>
          <w:cantSplit/>
        </w:trPr>
        <w:tc>
          <w:tcPr>
            <w:tcW w:w="5155" w:type="dxa"/>
            <w:tcBorders>
              <w:top w:val="single" w:sz="4" w:space="0" w:color="D9E2EC"/>
              <w:start w:val="single" w:sz="4" w:space="0" w:color="D9E2EC"/>
              <w:bottom w:val="single" w:sz="4" w:space="0" w:color="D9E2EC"/>
              <w:end w:val="single" w:sz="4" w:space="0" w:color="D9E2EC"/>
            </w:tcBorders>
            <w:shd w:fill="0D1C32"/>
          </w:tcPr>
          <w:p>
            <w:pPr>
              <w:pStyle w:val="Normal"/>
              <w:widowControl/>
              <w:bidi w:val="0"/>
              <w:spacing w:lineRule="auto" w:line="259" w:before="0" w:after="100"/>
              <w:jc w:val="start"/>
              <w:rPr/>
            </w:pPr>
            <w:r>
              <w:rPr>
                <w:rFonts w:ascii="Inter Display" w:hAnsi="Inter Display"/>
                <w:b/>
                <w:color w:val="33C7F2"/>
                <w:sz w:val="15"/>
              </w:rPr>
              <w:t>DOCUMENT</w:t>
            </w:r>
          </w:p>
        </w:tc>
        <w:tc>
          <w:tcPr>
            <w:tcW w:w="5154" w:type="dxa"/>
            <w:tcBorders>
              <w:top w:val="single" w:sz="4" w:space="0" w:color="D9E2EC"/>
              <w:start w:val="single" w:sz="4" w:space="0" w:color="D9E2EC"/>
              <w:bottom w:val="single" w:sz="4" w:space="0" w:color="D9E2EC"/>
              <w:end w:val="single" w:sz="4" w:space="0" w:color="D9E2EC"/>
            </w:tcBorders>
            <w:shd w:fill="F3F6FA"/>
          </w:tcPr>
          <w:p>
            <w:pPr>
              <w:pStyle w:val="Normal"/>
              <w:widowControl/>
              <w:bidi w:val="0"/>
              <w:spacing w:lineRule="auto" w:line="259" w:before="0" w:after="100"/>
              <w:jc w:val="start"/>
              <w:rPr/>
            </w:pPr>
            <w:r>
              <w:rPr>
                <w:color w:val="172236"/>
                <w:sz w:val="16"/>
              </w:rPr>
              <w:t>PRISMATIK Cornerstone Product, Architecture, Security &amp; Implementation Blueprint</w:t>
            </w:r>
          </w:p>
        </w:tc>
      </w:tr>
      <w:tr>
        <w:trPr>
          <w:cantSplit/>
        </w:trPr>
        <w:tc>
          <w:tcPr>
            <w:tcW w:w="5155" w:type="dxa"/>
            <w:tcBorders>
              <w:top w:val="single" w:sz="4" w:space="0" w:color="D9E2EC"/>
              <w:start w:val="single" w:sz="4" w:space="0" w:color="D9E2EC"/>
              <w:bottom w:val="single" w:sz="4" w:space="0" w:color="D9E2EC"/>
              <w:end w:val="single" w:sz="4" w:space="0" w:color="D9E2EC"/>
            </w:tcBorders>
            <w:shd w:fill="0D1C32"/>
          </w:tcPr>
          <w:p>
            <w:pPr>
              <w:pStyle w:val="Normal"/>
              <w:widowControl/>
              <w:bidi w:val="0"/>
              <w:spacing w:lineRule="auto" w:line="259" w:before="0" w:after="100"/>
              <w:jc w:val="start"/>
              <w:rPr/>
            </w:pPr>
            <w:r>
              <w:rPr>
                <w:rFonts w:ascii="Inter Display" w:hAnsi="Inter Display"/>
                <w:b/>
                <w:color w:val="33C7F2"/>
                <w:sz w:val="15"/>
              </w:rPr>
              <w:t>ORGANIZATION</w:t>
            </w:r>
          </w:p>
        </w:tc>
        <w:tc>
          <w:tcPr>
            <w:tcW w:w="5154" w:type="dxa"/>
            <w:tcBorders>
              <w:top w:val="single" w:sz="4" w:space="0" w:color="D9E2EC"/>
              <w:start w:val="single" w:sz="4" w:space="0" w:color="D9E2EC"/>
              <w:bottom w:val="single" w:sz="4" w:space="0" w:color="D9E2EC"/>
              <w:end w:val="single" w:sz="4" w:space="0" w:color="D9E2EC"/>
            </w:tcBorders>
            <w:shd w:fill="F3F6FA"/>
          </w:tcPr>
          <w:p>
            <w:pPr>
              <w:pStyle w:val="Normal"/>
              <w:widowControl/>
              <w:bidi w:val="0"/>
              <w:spacing w:lineRule="auto" w:line="259" w:before="0" w:after="100"/>
              <w:jc w:val="start"/>
              <w:rPr/>
            </w:pPr>
            <w:r>
              <w:rPr>
                <w:color w:val="172236"/>
                <w:sz w:val="16"/>
              </w:rPr>
              <w:t>Mythos Systems</w:t>
            </w:r>
          </w:p>
        </w:tc>
      </w:tr>
      <w:tr>
        <w:trPr>
          <w:cantSplit/>
        </w:trPr>
        <w:tc>
          <w:tcPr>
            <w:tcW w:w="5155" w:type="dxa"/>
            <w:tcBorders>
              <w:top w:val="single" w:sz="4" w:space="0" w:color="D9E2EC"/>
              <w:start w:val="single" w:sz="4" w:space="0" w:color="D9E2EC"/>
              <w:bottom w:val="single" w:sz="4" w:space="0" w:color="D9E2EC"/>
              <w:end w:val="single" w:sz="4" w:space="0" w:color="D9E2EC"/>
            </w:tcBorders>
            <w:shd w:fill="0D1C32"/>
          </w:tcPr>
          <w:p>
            <w:pPr>
              <w:pStyle w:val="Normal"/>
              <w:widowControl/>
              <w:bidi w:val="0"/>
              <w:spacing w:lineRule="auto" w:line="259" w:before="0" w:after="100"/>
              <w:jc w:val="start"/>
              <w:rPr/>
            </w:pPr>
            <w:r>
              <w:rPr>
                <w:rFonts w:ascii="Inter Display" w:hAnsi="Inter Display"/>
                <w:b/>
                <w:color w:val="33C7F2"/>
                <w:sz w:val="15"/>
              </w:rPr>
              <w:t>AUTHOR</w:t>
            </w:r>
          </w:p>
        </w:tc>
        <w:tc>
          <w:tcPr>
            <w:tcW w:w="5154" w:type="dxa"/>
            <w:tcBorders>
              <w:top w:val="single" w:sz="4" w:space="0" w:color="D9E2EC"/>
              <w:start w:val="single" w:sz="4" w:space="0" w:color="D9E2EC"/>
              <w:bottom w:val="single" w:sz="4" w:space="0" w:color="D9E2EC"/>
              <w:end w:val="single" w:sz="4" w:space="0" w:color="D9E2EC"/>
            </w:tcBorders>
            <w:shd w:fill="F3F6FA"/>
          </w:tcPr>
          <w:p>
            <w:pPr>
              <w:pStyle w:val="Normal"/>
              <w:widowControl/>
              <w:bidi w:val="0"/>
              <w:spacing w:lineRule="auto" w:line="259" w:before="0" w:after="100"/>
              <w:jc w:val="start"/>
              <w:rPr/>
            </w:pPr>
            <w:r>
              <w:rPr>
                <w:color w:val="172236"/>
                <w:sz w:val="16"/>
              </w:rPr>
              <w:t>Aaron Stovall</w:t>
            </w:r>
          </w:p>
        </w:tc>
      </w:tr>
      <w:tr>
        <w:trPr>
          <w:cantSplit/>
        </w:trPr>
        <w:tc>
          <w:tcPr>
            <w:tcW w:w="5155" w:type="dxa"/>
            <w:tcBorders>
              <w:top w:val="single" w:sz="4" w:space="0" w:color="D9E2EC"/>
              <w:start w:val="single" w:sz="4" w:space="0" w:color="D9E2EC"/>
              <w:bottom w:val="single" w:sz="4" w:space="0" w:color="D9E2EC"/>
              <w:end w:val="single" w:sz="4" w:space="0" w:color="D9E2EC"/>
            </w:tcBorders>
            <w:shd w:fill="0D1C32"/>
          </w:tcPr>
          <w:p>
            <w:pPr>
              <w:pStyle w:val="Normal"/>
              <w:widowControl/>
              <w:bidi w:val="0"/>
              <w:spacing w:lineRule="auto" w:line="259" w:before="0" w:after="100"/>
              <w:jc w:val="start"/>
              <w:rPr/>
            </w:pPr>
            <w:r>
              <w:rPr>
                <w:rFonts w:ascii="Inter Display" w:hAnsi="Inter Display"/>
                <w:b/>
                <w:color w:val="33C7F2"/>
                <w:sz w:val="15"/>
              </w:rPr>
              <w:t>YEAR</w:t>
            </w:r>
          </w:p>
        </w:tc>
        <w:tc>
          <w:tcPr>
            <w:tcW w:w="5154" w:type="dxa"/>
            <w:tcBorders>
              <w:top w:val="single" w:sz="4" w:space="0" w:color="D9E2EC"/>
              <w:start w:val="single" w:sz="4" w:space="0" w:color="D9E2EC"/>
              <w:bottom w:val="single" w:sz="4" w:space="0" w:color="D9E2EC"/>
              <w:end w:val="single" w:sz="4" w:space="0" w:color="D9E2EC"/>
            </w:tcBorders>
            <w:shd w:fill="F3F6FA"/>
          </w:tcPr>
          <w:p>
            <w:pPr>
              <w:pStyle w:val="Normal"/>
              <w:widowControl/>
              <w:bidi w:val="0"/>
              <w:spacing w:lineRule="auto" w:line="259" w:before="0" w:after="100"/>
              <w:jc w:val="start"/>
              <w:rPr/>
            </w:pPr>
            <w:r>
              <w:rPr>
                <w:color w:val="172236"/>
                <w:sz w:val="16"/>
              </w:rPr>
              <w:t>2026</w:t>
            </w:r>
          </w:p>
        </w:tc>
      </w:tr>
      <w:tr>
        <w:trPr>
          <w:cantSplit/>
        </w:trPr>
        <w:tc>
          <w:tcPr>
            <w:tcW w:w="5155" w:type="dxa"/>
            <w:tcBorders>
              <w:top w:val="single" w:sz="4" w:space="0" w:color="D9E2EC"/>
              <w:start w:val="single" w:sz="4" w:space="0" w:color="D9E2EC"/>
              <w:bottom w:val="single" w:sz="4" w:space="0" w:color="D9E2EC"/>
              <w:end w:val="single" w:sz="4" w:space="0" w:color="D9E2EC"/>
            </w:tcBorders>
            <w:shd w:fill="0D1C32"/>
          </w:tcPr>
          <w:p>
            <w:pPr>
              <w:pStyle w:val="Normal"/>
              <w:widowControl/>
              <w:bidi w:val="0"/>
              <w:spacing w:lineRule="auto" w:line="259" w:before="0" w:after="100"/>
              <w:jc w:val="start"/>
              <w:rPr/>
            </w:pPr>
            <w:r>
              <w:rPr>
                <w:rFonts w:ascii="Inter Display" w:hAnsi="Inter Display"/>
                <w:b/>
                <w:color w:val="33C7F2"/>
                <w:sz w:val="15"/>
              </w:rPr>
              <w:t>STATUS</w:t>
            </w:r>
          </w:p>
        </w:tc>
        <w:tc>
          <w:tcPr>
            <w:tcW w:w="5154" w:type="dxa"/>
            <w:tcBorders>
              <w:top w:val="single" w:sz="4" w:space="0" w:color="D9E2EC"/>
              <w:start w:val="single" w:sz="4" w:space="0" w:color="D9E2EC"/>
              <w:bottom w:val="single" w:sz="4" w:space="0" w:color="D9E2EC"/>
              <w:end w:val="single" w:sz="4" w:space="0" w:color="D9E2EC"/>
            </w:tcBorders>
            <w:shd w:fill="F3F6FA"/>
          </w:tcPr>
          <w:p>
            <w:pPr>
              <w:pStyle w:val="Normal"/>
              <w:widowControl/>
              <w:bidi w:val="0"/>
              <w:spacing w:lineRule="auto" w:line="259" w:before="0" w:after="100"/>
              <w:jc w:val="start"/>
              <w:rPr/>
            </w:pPr>
            <w:r>
              <w:rPr>
                <w:color w:val="172236"/>
                <w:sz w:val="16"/>
              </w:rPr>
              <w:t>Foundational Blueprint / Executive Architecture Deep Dive</w:t>
            </w:r>
          </w:p>
        </w:tc>
      </w:tr>
      <w:tr>
        <w:trPr>
          <w:cantSplit/>
        </w:trPr>
        <w:tc>
          <w:tcPr>
            <w:tcW w:w="5155" w:type="dxa"/>
            <w:tcBorders>
              <w:top w:val="single" w:sz="4" w:space="0" w:color="D9E2EC"/>
              <w:start w:val="single" w:sz="4" w:space="0" w:color="D9E2EC"/>
              <w:bottom w:val="single" w:sz="4" w:space="0" w:color="D9E2EC"/>
              <w:end w:val="single" w:sz="4" w:space="0" w:color="D9E2EC"/>
            </w:tcBorders>
            <w:shd w:fill="0D1C32"/>
          </w:tcPr>
          <w:p>
            <w:pPr>
              <w:pStyle w:val="Normal"/>
              <w:widowControl/>
              <w:bidi w:val="0"/>
              <w:spacing w:lineRule="auto" w:line="259" w:before="0" w:after="100"/>
              <w:jc w:val="start"/>
              <w:rPr/>
            </w:pPr>
            <w:r>
              <w:rPr>
                <w:rFonts w:ascii="Inter Display" w:hAnsi="Inter Display"/>
                <w:b/>
                <w:color w:val="33C7F2"/>
                <w:sz w:val="15"/>
              </w:rPr>
              <w:t>INTEGRATED SOURCES</w:t>
            </w:r>
          </w:p>
        </w:tc>
        <w:tc>
          <w:tcPr>
            <w:tcW w:w="5154" w:type="dxa"/>
            <w:tcBorders>
              <w:top w:val="single" w:sz="4" w:space="0" w:color="D9E2EC"/>
              <w:start w:val="single" w:sz="4" w:space="0" w:color="D9E2EC"/>
              <w:bottom w:val="single" w:sz="4" w:space="0" w:color="D9E2EC"/>
              <w:end w:val="single" w:sz="4" w:space="0" w:color="D9E2EC"/>
            </w:tcBorders>
            <w:shd w:fill="F3F6FA"/>
          </w:tcPr>
          <w:p>
            <w:pPr>
              <w:pStyle w:val="Normal"/>
              <w:widowControl/>
              <w:bidi w:val="0"/>
              <w:spacing w:lineRule="auto" w:line="259" w:before="0" w:after="100"/>
              <w:jc w:val="start"/>
              <w:rPr/>
            </w:pPr>
            <w:r>
              <w:rPr>
                <w:color w:val="172236"/>
                <w:sz w:val="16"/>
              </w:rPr>
              <w:t>PRISMATIK Overview v0.1 and Architecture Evolution v0.2</w:t>
            </w:r>
          </w:p>
        </w:tc>
      </w:tr>
      <w:tr>
        <w:trPr>
          <w:cantSplit/>
        </w:trPr>
        <w:tc>
          <w:tcPr>
            <w:tcW w:w="5155" w:type="dxa"/>
            <w:tcBorders>
              <w:top w:val="single" w:sz="4" w:space="0" w:color="D9E2EC"/>
              <w:start w:val="single" w:sz="4" w:space="0" w:color="D9E2EC"/>
              <w:bottom w:val="single" w:sz="4" w:space="0" w:color="D9E2EC"/>
              <w:end w:val="single" w:sz="4" w:space="0" w:color="D9E2EC"/>
            </w:tcBorders>
            <w:shd w:fill="0D1C32"/>
          </w:tcPr>
          <w:p>
            <w:pPr>
              <w:pStyle w:val="Normal"/>
              <w:widowControl/>
              <w:bidi w:val="0"/>
              <w:spacing w:lineRule="auto" w:line="259" w:before="0" w:after="100"/>
              <w:jc w:val="start"/>
              <w:rPr/>
            </w:pPr>
            <w:r>
              <w:rPr>
                <w:rFonts w:ascii="Inter Display" w:hAnsi="Inter Display"/>
                <w:b/>
                <w:color w:val="33C7F2"/>
                <w:sz w:val="15"/>
              </w:rPr>
              <w:t>INTENDED AUDIENCE</w:t>
            </w:r>
          </w:p>
        </w:tc>
        <w:tc>
          <w:tcPr>
            <w:tcW w:w="5154" w:type="dxa"/>
            <w:tcBorders>
              <w:top w:val="single" w:sz="4" w:space="0" w:color="D9E2EC"/>
              <w:start w:val="single" w:sz="4" w:space="0" w:color="D9E2EC"/>
              <w:bottom w:val="single" w:sz="4" w:space="0" w:color="D9E2EC"/>
              <w:end w:val="single" w:sz="4" w:space="0" w:color="D9E2EC"/>
            </w:tcBorders>
            <w:shd w:fill="F3F6FA"/>
          </w:tcPr>
          <w:p>
            <w:pPr>
              <w:pStyle w:val="Normal"/>
              <w:widowControl/>
              <w:bidi w:val="0"/>
              <w:spacing w:lineRule="auto" w:line="259" w:before="0" w:after="100"/>
              <w:jc w:val="start"/>
              <w:rPr/>
            </w:pPr>
            <w:r>
              <w:rPr>
                <w:color w:val="172236"/>
                <w:sz w:val="16"/>
              </w:rPr>
              <w:t>Founders, engineering leadership, quantitative research, security, product, investors, partners, and future implementation teams</w:t>
            </w:r>
          </w:p>
        </w:tc>
      </w:tr>
    </w:tbl>
    <w:p>
      <w:pPr>
        <w:pStyle w:val="Normal"/>
        <w:rPr/>
      </w:pPr>
      <w:r>
        <w:rPr/>
      </w:r>
    </w:p>
    <w:p>
      <w:pPr>
        <w:pStyle w:val="Heading2"/>
        <w:pageBreakBefore w:val="false"/>
        <w:rPr/>
      </w:pPr>
      <w:bookmarkStart w:id="1" w:name="__RefHeading___Toc6722_2150751134"/>
      <w:bookmarkEnd w:id="1"/>
      <w:r>
        <w:rPr/>
        <w:t>EXECUTIVE THESIS</w:t>
      </w:r>
    </w:p>
    <w:p>
      <w:pPr>
        <w:pStyle w:val="Lead"/>
        <w:rPr/>
      </w:pPr>
      <w:r>
        <w:rPr>
          <w:color w:val="172236"/>
          <w:sz w:val="19"/>
        </w:rPr>
        <w:t xml:space="preserve">PRISMATIK is a multi-asset market intelligence operating system built to convert fragmented data into </w:t>
      </w:r>
      <w:r>
        <w:rPr>
          <w:b/>
          <w:color w:val="172236"/>
          <w:sz w:val="19"/>
        </w:rPr>
        <w:t>evidence-backed, probabilistic, reproducible, and risk-aware decisions</w:t>
      </w:r>
      <w:r>
        <w:rPr>
          <w:color w:val="172236"/>
          <w:sz w:val="19"/>
        </w:rPr>
        <w:t>. It begins with a powerful crypto intelligence foundation through CoinGecko, expands into U.S. equity, institutional, filing, macro, and options intelligence, and matures into a governed research-to-execution platform.</w:t>
      </w:r>
    </w:p>
    <w:tbl>
      <w:tblPr>
        <w:tblW w:w="10310" w:type="dxa"/>
        <w:jc w:val="center"/>
        <w:tblInd w:w="0" w:type="dxa"/>
        <w:tblLayout w:type="fixed"/>
        <w:tblCellMar>
          <w:top w:w="170" w:type="dxa"/>
          <w:start w:w="180" w:type="dxa"/>
          <w:bottom w:w="170" w:type="dxa"/>
          <w:end w:w="180" w:type="dxa"/>
        </w:tblCellMar>
        <w:tblLook w:val="04a0" w:noHBand="0" w:noVBand="1" w:firstColumn="1" w:lastRow="0" w:lastColumn="0" w:firstRow="1"/>
      </w:tblPr>
      <w:tblGrid>
        <w:gridCol w:w="5155"/>
        <w:gridCol w:w="5154"/>
      </w:tblGrid>
      <w:tr>
        <w:trPr>
          <w:tblHeader/>
          <w:cantSplit/>
        </w:trPr>
        <w:tc>
          <w:tcPr>
            <w:tcW w:w="5155" w:type="dxa"/>
            <w:tcBorders>
              <w:top w:val="single" w:sz="8" w:space="0" w:color="33C7F2"/>
              <w:start w:val="single" w:sz="4" w:space="0" w:color="D8E0EA"/>
              <w:bottom w:val="single" w:sz="4" w:space="0" w:color="D8E0EA"/>
              <w:end w:val="single" w:sz="4" w:space="0" w:color="D8E0EA"/>
            </w:tcBorders>
            <w:shd w:fill="E9FBFF"/>
          </w:tcPr>
          <w:p>
            <w:pPr>
              <w:pStyle w:val="Normal"/>
              <w:rPr/>
            </w:pPr>
            <w:r>
              <w:rPr>
                <w:rFonts w:ascii="Inter Display" w:hAnsi="Inter Display"/>
                <w:b/>
                <w:color w:val="33C7F2"/>
                <w:sz w:val="18"/>
              </w:rPr>
              <w:t>CORE WEDGE</w:t>
            </w:r>
          </w:p>
          <w:p>
            <w:pPr>
              <w:pStyle w:val="Normal"/>
              <w:spacing w:before="0" w:after="0"/>
              <w:rPr/>
            </w:pPr>
            <w:r>
              <w:rPr>
                <w:color w:val="172236"/>
                <w:sz w:val="17"/>
              </w:rPr>
              <w:t>Event-aware options opportunity intelligence informed by flow, volatility, institutional activity, market regime, and quantitative validation.</w:t>
            </w:r>
          </w:p>
        </w:tc>
        <w:tc>
          <w:tcPr>
            <w:tcW w:w="5154" w:type="dxa"/>
            <w:tcBorders>
              <w:top w:val="single" w:sz="8" w:space="0" w:color="8B5CF6"/>
              <w:start w:val="single" w:sz="4" w:space="0" w:color="D8E0EA"/>
              <w:bottom w:val="single" w:sz="4" w:space="0" w:color="D8E0EA"/>
              <w:end w:val="single" w:sz="4" w:space="0" w:color="D8E0EA"/>
            </w:tcBorders>
            <w:shd w:fill="F2EDFF"/>
          </w:tcPr>
          <w:p>
            <w:pPr>
              <w:pStyle w:val="Normal"/>
              <w:rPr/>
            </w:pPr>
            <w:r>
              <w:rPr>
                <w:rFonts w:ascii="Inter Display" w:hAnsi="Inter Display"/>
                <w:b/>
                <w:color w:val="8B5CF6"/>
                <w:sz w:val="18"/>
              </w:rPr>
              <w:t>PRIMARY FOUNDATION</w:t>
            </w:r>
          </w:p>
          <w:p>
            <w:pPr>
              <w:pStyle w:val="Normal"/>
              <w:spacing w:before="0" w:after="0"/>
              <w:rPr/>
            </w:pPr>
            <w:r>
              <w:rPr>
                <w:color w:val="172236"/>
                <w:sz w:val="17"/>
              </w:rPr>
              <w:t>CoinGecko-powered crypto intelligence delivered through a provider-neutral Rust data gateway with provenance, caching, and rate governance.</w:t>
            </w:r>
          </w:p>
        </w:tc>
      </w:tr>
      <w:tr>
        <w:trPr>
          <w:cantSplit/>
        </w:trPr>
        <w:tc>
          <w:tcPr>
            <w:tcW w:w="5155" w:type="dxa"/>
            <w:tcBorders>
              <w:top w:val="single" w:sz="8" w:space="0" w:color="32D296"/>
              <w:start w:val="single" w:sz="4" w:space="0" w:color="D8E0EA"/>
              <w:bottom w:val="single" w:sz="4" w:space="0" w:color="D8E0EA"/>
              <w:end w:val="single" w:sz="4" w:space="0" w:color="D8E0EA"/>
            </w:tcBorders>
            <w:shd w:fill="E8FBF3"/>
          </w:tcPr>
          <w:p>
            <w:pPr>
              <w:pStyle w:val="Normal"/>
              <w:rPr/>
            </w:pPr>
            <w:r>
              <w:rPr>
                <w:rFonts w:ascii="Inter Display" w:hAnsi="Inter Display"/>
                <w:b/>
                <w:color w:val="32D296"/>
                <w:sz w:val="18"/>
              </w:rPr>
              <w:t>TRUST MODEL</w:t>
            </w:r>
          </w:p>
          <w:p>
            <w:pPr>
              <w:pStyle w:val="Normal"/>
              <w:spacing w:before="0" w:after="0"/>
              <w:rPr/>
            </w:pPr>
            <w:r>
              <w:rPr>
                <w:color w:val="172236"/>
                <w:sz w:val="17"/>
              </w:rPr>
              <w:t>Evidence before conclusion, probability instead of prophecy, deterministic controls, explainable models, and secure local or enterprise deployment.</w:t>
            </w:r>
          </w:p>
        </w:tc>
        <w:tc>
          <w:tcPr>
            <w:tcW w:w="5154" w:type="dxa"/>
            <w:tcBorders>
              <w:top w:val="single" w:sz="8" w:space="0" w:color="FFB547"/>
              <w:start w:val="single" w:sz="4" w:space="0" w:color="D8E0EA"/>
              <w:bottom w:val="single" w:sz="4" w:space="0" w:color="D8E0EA"/>
              <w:end w:val="single" w:sz="4" w:space="0" w:color="D8E0EA"/>
            </w:tcBorders>
            <w:shd w:fill="FFF6E8"/>
          </w:tcPr>
          <w:p>
            <w:pPr>
              <w:pStyle w:val="Normal"/>
              <w:rPr/>
            </w:pPr>
            <w:r>
              <w:rPr>
                <w:rFonts w:ascii="Inter Display" w:hAnsi="Inter Display"/>
                <w:b/>
                <w:color w:val="FFB547"/>
                <w:sz w:val="18"/>
              </w:rPr>
              <w:t>DELIVERY MODEL</w:t>
            </w:r>
          </w:p>
          <w:p>
            <w:pPr>
              <w:pStyle w:val="Normal"/>
              <w:spacing w:before="0" w:after="0"/>
              <w:rPr/>
            </w:pPr>
            <w:r>
              <w:rPr>
                <w:color w:val="172236"/>
                <w:sz w:val="17"/>
              </w:rPr>
              <w:t>A phased journey from crypto MVP to options, quant, simulation, paper trading, controlled execution, enterprise, and a signed ecosystem.</w:t>
            </w:r>
          </w:p>
        </w:tc>
      </w:tr>
    </w:tbl>
    <w:p>
      <w:pPr>
        <w:pStyle w:val="Normal"/>
        <w:spacing w:before="0" w:after="0"/>
        <w:rPr/>
      </w:pPr>
      <w:r>
        <w:rPr/>
      </w:r>
    </w:p>
    <w:p>
      <w:pPr>
        <w:pStyle w:val="Normal"/>
        <w:spacing w:before="140" w:after="20"/>
        <w:jc w:val="center"/>
        <w:rPr/>
      </w:pPr>
      <w:r>
        <w:rPr/>
        <w:drawing>
          <wp:inline distT="0" distB="0" distL="0" distR="0">
            <wp:extent cx="6172200" cy="3529965"/>
            <wp:effectExtent l="0" t="0" r="0" b="0"/>
            <wp:docPr id="2" name="Picture 2" descr="Image: image2.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3"/>
                    <a:stretch>
                      <a:fillRect/>
                    </a:stretch>
                  </pic:blipFill>
                  <pic:spPr bwMode="auto">
                    <a:xfrm>
                      <a:off x="0" y="0"/>
                      <a:ext cx="6172200" cy="3529965"/>
                    </a:xfrm>
                    <a:prstGeom prst="rect">
                      <a:avLst/>
                    </a:prstGeom>
                    <a:noFill/>
                  </pic:spPr>
                </pic:pic>
              </a:graphicData>
            </a:graphic>
          </wp:inline>
        </w:drawing>
      </w:r>
    </w:p>
    <w:p>
      <w:pPr>
        <w:pStyle w:val="CaptionCustom"/>
        <w:rPr/>
      </w:pPr>
      <w:r>
        <w:rPr/>
        <w:t>Figure 1 - PRISMATIK north-star system: evidence, quantitative validation, risk, security, and learning converge in one decision platform.</w:t>
      </w:r>
    </w:p>
    <w:p>
      <w:pPr>
        <w:pStyle w:val="Normal"/>
        <w:spacing w:before="140" w:after="20"/>
        <w:jc w:val="center"/>
        <w:rPr/>
      </w:pPr>
      <w:r>
        <w:rPr/>
        <w:drawing>
          <wp:inline distT="0" distB="0" distL="0" distR="0">
            <wp:extent cx="5166360" cy="5166360"/>
            <wp:effectExtent l="0" t="0" r="0" b="0"/>
            <wp:docPr id="3" name="Picture 3" descr="Image: image3.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4"/>
                    <a:stretch>
                      <a:fillRect/>
                    </a:stretch>
                  </pic:blipFill>
                  <pic:spPr bwMode="auto">
                    <a:xfrm>
                      <a:off x="0" y="0"/>
                      <a:ext cx="5166360" cy="5166360"/>
                    </a:xfrm>
                    <a:prstGeom prst="rect">
                      <a:avLst/>
                    </a:prstGeom>
                    <a:noFill/>
                  </pic:spPr>
                </pic:pic>
              </a:graphicData>
            </a:graphic>
          </wp:inline>
        </w:drawing>
      </w:r>
    </w:p>
    <w:p>
      <w:pPr>
        <w:pStyle w:val="CaptionCustom"/>
        <w:rPr/>
      </w:pPr>
      <w:r>
        <w:rPr/>
        <w:t>Figure 2 - The PRISMATIK intelligence loop: discover, explain, test, simulate, decide, and learn.</w:t>
      </w:r>
    </w:p>
    <w:p>
      <w:pPr>
        <w:pStyle w:val="Normal"/>
        <w:rPr/>
      </w:pPr>
      <w:r>
        <w:rPr/>
      </w:r>
      <w:r>
        <w:br w:type="page"/>
      </w:r>
    </w:p>
    <w:p>
      <w:pPr>
        <w:pStyle w:val="Eyebrow"/>
        <w:spacing w:before="0" w:after="80"/>
        <w:jc w:val="center"/>
        <w:rPr/>
      </w:pPr>
      <w:r>
        <w:rPr/>
        <w:t>CONTENTS</w:t>
      </w:r>
    </w:p>
    <w:p>
      <w:pPr>
        <w:pStyle w:val="Heading1"/>
        <w:pageBreakBefore w:val="false"/>
        <w:jc w:val="center"/>
        <w:rPr/>
      </w:pPr>
      <w:bookmarkStart w:id="2" w:name="__RefHeading___Toc6724_2150751134"/>
      <w:bookmarkEnd w:id="2"/>
      <w:r>
        <w:rPr/>
        <w:t>Table of Contents</w:t>
      </w:r>
    </w:p>
    <w:sdt>
      <w:sdtPr>
        <w:docPartObj>
          <w:docPartGallery w:val="Table of Contents"/>
          <w:docPartUnique w:val="true"/>
        </w:docPartObj>
      </w:sdtPr>
      <w:sdtContent>
        <w:p>
          <w:pPr>
            <w:pStyle w:val="TOC2"/>
            <w:tabs>
              <w:tab w:val="clear" w:pos="11957"/>
              <w:tab w:val="right" w:pos="1030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720_2150751134">
            <w:r>
              <w:rPr>
                <w:webHidden/>
                <w:rStyle w:val="IndexLink"/>
              </w:rPr>
              <w:t>DOCUMENT CONTROL</w:t>
              <w:tab/>
              <w:t>2</w:t>
            </w:r>
          </w:hyperlink>
        </w:p>
        <w:p>
          <w:pPr>
            <w:pStyle w:val="TOC2"/>
            <w:tabs>
              <w:tab w:val="clear" w:pos="11957"/>
              <w:tab w:val="right" w:pos="10309" w:leader="dot"/>
            </w:tabs>
            <w:rPr/>
          </w:pPr>
          <w:hyperlink w:anchor="__RefHeading___Toc6722_2150751134">
            <w:r>
              <w:rPr>
                <w:webHidden/>
                <w:rStyle w:val="IndexLink"/>
              </w:rPr>
              <w:t>EXECUTIVE THESIS</w:t>
              <w:tab/>
              <w:t>2</w:t>
            </w:r>
          </w:hyperlink>
        </w:p>
        <w:p>
          <w:pPr>
            <w:pStyle w:val="TOC1"/>
            <w:tabs>
              <w:tab w:val="clear" w:pos="12240"/>
              <w:tab w:val="right" w:pos="10309" w:leader="dot"/>
            </w:tabs>
            <w:rPr/>
          </w:pPr>
          <w:hyperlink w:anchor="__RefHeading___Toc6724_2150751134">
            <w:r>
              <w:rPr>
                <w:webHidden/>
                <w:rStyle w:val="IndexLink"/>
              </w:rPr>
              <w:t>Table of Contents</w:t>
              <w:tab/>
              <w:t>5</w:t>
            </w:r>
          </w:hyperlink>
        </w:p>
        <w:p>
          <w:pPr>
            <w:pStyle w:val="TOC1"/>
            <w:tabs>
              <w:tab w:val="clear" w:pos="12240"/>
              <w:tab w:val="right" w:pos="10309" w:leader="dot"/>
            </w:tabs>
            <w:rPr/>
          </w:pPr>
          <w:hyperlink w:anchor="__RefHeading___Toc6726_2150751134">
            <w:r>
              <w:rPr>
                <w:webHidden/>
                <w:rStyle w:val="IndexLink"/>
              </w:rPr>
              <w:t>DOCUMENT CONVENTIONS</w:t>
              <w:tab/>
              <w:t>14</w:t>
            </w:r>
          </w:hyperlink>
        </w:p>
        <w:p>
          <w:pPr>
            <w:pStyle w:val="TOC2"/>
            <w:tabs>
              <w:tab w:val="clear" w:pos="11957"/>
              <w:tab w:val="right" w:pos="10309" w:leader="dot"/>
            </w:tabs>
            <w:rPr/>
          </w:pPr>
          <w:hyperlink w:anchor="__RefHeading___Toc6728_2150751134">
            <w:r>
              <w:rPr>
                <w:webHidden/>
                <w:rStyle w:val="IndexLink"/>
              </w:rPr>
              <w:t>How to Use This Report</w:t>
              <w:tab/>
              <w:t>14</w:t>
            </w:r>
          </w:hyperlink>
        </w:p>
        <w:p>
          <w:pPr>
            <w:pStyle w:val="TOC1"/>
            <w:tabs>
              <w:tab w:val="clear" w:pos="12240"/>
              <w:tab w:val="right" w:pos="10309" w:leader="dot"/>
            </w:tabs>
            <w:rPr/>
          </w:pPr>
          <w:hyperlink w:anchor="__RefHeading___Toc6730_2150751134">
            <w:r>
              <w:rPr>
                <w:webHidden/>
                <w:rStyle w:val="IndexLink"/>
              </w:rPr>
              <w:t>1. Executive Summary</w:t>
              <w:tab/>
              <w:t>16</w:t>
            </w:r>
          </w:hyperlink>
        </w:p>
        <w:p>
          <w:pPr>
            <w:pStyle w:val="TOC1"/>
            <w:tabs>
              <w:tab w:val="clear" w:pos="12240"/>
              <w:tab w:val="right" w:pos="10309" w:leader="dot"/>
            </w:tabs>
            <w:rPr/>
          </w:pPr>
          <w:hyperlink w:anchor="__RefHeading___Toc6732_2150751134">
            <w:r>
              <w:rPr>
                <w:webHidden/>
                <w:rStyle w:val="IndexLink"/>
              </w:rPr>
              <w:t>2. Product Mission, Positioning, and Guardrails</w:t>
              <w:tab/>
              <w:t>17</w:t>
            </w:r>
          </w:hyperlink>
        </w:p>
        <w:p>
          <w:pPr>
            <w:pStyle w:val="TOC2"/>
            <w:tabs>
              <w:tab w:val="clear" w:pos="11957"/>
              <w:tab w:val="right" w:pos="10309" w:leader="dot"/>
            </w:tabs>
            <w:rPr/>
          </w:pPr>
          <w:hyperlink w:anchor="__RefHeading___Toc6734_2150751134">
            <w:r>
              <w:rPr>
                <w:webHidden/>
                <w:rStyle w:val="IndexLink"/>
              </w:rPr>
              <w:t>2.1 Mission</w:t>
              <w:tab/>
              <w:t>17</w:t>
            </w:r>
          </w:hyperlink>
        </w:p>
        <w:p>
          <w:pPr>
            <w:pStyle w:val="TOC2"/>
            <w:tabs>
              <w:tab w:val="clear" w:pos="11957"/>
              <w:tab w:val="right" w:pos="10309" w:leader="dot"/>
            </w:tabs>
            <w:rPr/>
          </w:pPr>
          <w:hyperlink w:anchor="__RefHeading___Toc6736_2150751134">
            <w:r>
              <w:rPr>
                <w:webHidden/>
                <w:rStyle w:val="IndexLink"/>
              </w:rPr>
              <w:t>2.2 Positioning</w:t>
              <w:tab/>
              <w:t>17</w:t>
            </w:r>
          </w:hyperlink>
        </w:p>
        <w:p>
          <w:pPr>
            <w:pStyle w:val="TOC2"/>
            <w:tabs>
              <w:tab w:val="clear" w:pos="11957"/>
              <w:tab w:val="right" w:pos="10309" w:leader="dot"/>
            </w:tabs>
            <w:rPr/>
          </w:pPr>
          <w:hyperlink w:anchor="__RefHeading___Toc6738_2150751134">
            <w:r>
              <w:rPr>
                <w:webHidden/>
                <w:rStyle w:val="IndexLink"/>
              </w:rPr>
              <w:t>2.3 Initial Market Wedge</w:t>
              <w:tab/>
              <w:t>17</w:t>
            </w:r>
          </w:hyperlink>
        </w:p>
        <w:p>
          <w:pPr>
            <w:pStyle w:val="TOC2"/>
            <w:tabs>
              <w:tab w:val="clear" w:pos="11957"/>
              <w:tab w:val="right" w:pos="10309" w:leader="dot"/>
            </w:tabs>
            <w:rPr/>
          </w:pPr>
          <w:hyperlink w:anchor="__RefHeading___Toc6740_2150751134">
            <w:r>
              <w:rPr>
                <w:webHidden/>
                <w:rStyle w:val="IndexLink"/>
              </w:rPr>
              <w:t>2.4 Product Guardrails</w:t>
              <w:tab/>
              <w:t>17</w:t>
            </w:r>
          </w:hyperlink>
        </w:p>
        <w:p>
          <w:pPr>
            <w:pStyle w:val="TOC1"/>
            <w:tabs>
              <w:tab w:val="clear" w:pos="12240"/>
              <w:tab w:val="right" w:pos="10309" w:leader="dot"/>
            </w:tabs>
            <w:rPr/>
          </w:pPr>
          <w:hyperlink w:anchor="__RefHeading___Toc6742_2150751134">
            <w:r>
              <w:rPr>
                <w:webHidden/>
                <w:rStyle w:val="IndexLink"/>
              </w:rPr>
              <w:t>3. User Personas and Primary Jobs to Be Done</w:t>
              <w:tab/>
              <w:t>18</w:t>
            </w:r>
          </w:hyperlink>
        </w:p>
        <w:p>
          <w:pPr>
            <w:pStyle w:val="TOC2"/>
            <w:tabs>
              <w:tab w:val="clear" w:pos="11957"/>
              <w:tab w:val="right" w:pos="10309" w:leader="dot"/>
            </w:tabs>
            <w:rPr/>
          </w:pPr>
          <w:hyperlink w:anchor="__RefHeading___Toc6744_2150751134">
            <w:r>
              <w:rPr>
                <w:webHidden/>
                <w:rStyle w:val="IndexLink"/>
              </w:rPr>
              <w:t>3.1 Advanced Retail Options Trader</w:t>
              <w:tab/>
              <w:t>18</w:t>
            </w:r>
          </w:hyperlink>
        </w:p>
        <w:p>
          <w:pPr>
            <w:pStyle w:val="TOC2"/>
            <w:tabs>
              <w:tab w:val="clear" w:pos="11957"/>
              <w:tab w:val="right" w:pos="10309" w:leader="dot"/>
            </w:tabs>
            <w:rPr/>
          </w:pPr>
          <w:hyperlink w:anchor="__RefHeading___Toc6746_2150751134">
            <w:r>
              <w:rPr>
                <w:webHidden/>
                <w:rStyle w:val="IndexLink"/>
              </w:rPr>
              <w:t>3.2 Quantitative Researcher</w:t>
              <w:tab/>
              <w:t>18</w:t>
            </w:r>
          </w:hyperlink>
        </w:p>
        <w:p>
          <w:pPr>
            <w:pStyle w:val="TOC2"/>
            <w:tabs>
              <w:tab w:val="clear" w:pos="11957"/>
              <w:tab w:val="right" w:pos="10309" w:leader="dot"/>
            </w:tabs>
            <w:rPr/>
          </w:pPr>
          <w:hyperlink w:anchor="__RefHeading___Toc6748_2150751134">
            <w:r>
              <w:rPr>
                <w:webHidden/>
                <w:rStyle w:val="IndexLink"/>
              </w:rPr>
              <w:t>3.3 Crypto Trader</w:t>
              <w:tab/>
              <w:t>18</w:t>
            </w:r>
          </w:hyperlink>
        </w:p>
        <w:p>
          <w:pPr>
            <w:pStyle w:val="TOC2"/>
            <w:tabs>
              <w:tab w:val="clear" w:pos="11957"/>
              <w:tab w:val="right" w:pos="10309" w:leader="dot"/>
            </w:tabs>
            <w:rPr/>
          </w:pPr>
          <w:hyperlink w:anchor="__RefHeading___Toc6750_2150751134">
            <w:r>
              <w:rPr>
                <w:webHidden/>
                <w:rStyle w:val="IndexLink"/>
              </w:rPr>
              <w:t>3.4 Long-Term Investor</w:t>
              <w:tab/>
              <w:t>18</w:t>
            </w:r>
          </w:hyperlink>
        </w:p>
        <w:p>
          <w:pPr>
            <w:pStyle w:val="TOC2"/>
            <w:tabs>
              <w:tab w:val="clear" w:pos="11957"/>
              <w:tab w:val="right" w:pos="10309" w:leader="dot"/>
            </w:tabs>
            <w:rPr/>
          </w:pPr>
          <w:hyperlink w:anchor="__RefHeading___Toc6752_2150751134">
            <w:r>
              <w:rPr>
                <w:webHidden/>
                <w:rStyle w:val="IndexLink"/>
              </w:rPr>
              <w:t>3.5 Risk Manager or Trading Team Lead</w:t>
              <w:tab/>
              <w:t>18</w:t>
            </w:r>
          </w:hyperlink>
        </w:p>
        <w:p>
          <w:pPr>
            <w:pStyle w:val="TOC2"/>
            <w:tabs>
              <w:tab w:val="clear" w:pos="11957"/>
              <w:tab w:val="right" w:pos="10309" w:leader="dot"/>
            </w:tabs>
            <w:rPr/>
          </w:pPr>
          <w:hyperlink w:anchor="__RefHeading___Toc6754_2150751134">
            <w:r>
              <w:rPr>
                <w:webHidden/>
                <w:rStyle w:val="IndexLink"/>
              </w:rPr>
              <w:t>3.6 Platform Administrator</w:t>
              <w:tab/>
              <w:t>19</w:t>
            </w:r>
          </w:hyperlink>
        </w:p>
        <w:p>
          <w:pPr>
            <w:pStyle w:val="TOC1"/>
            <w:tabs>
              <w:tab w:val="clear" w:pos="12240"/>
              <w:tab w:val="right" w:pos="10309" w:leader="dot"/>
            </w:tabs>
            <w:rPr/>
          </w:pPr>
          <w:hyperlink w:anchor="__RefHeading___Toc6756_2150751134">
            <w:r>
              <w:rPr>
                <w:webHidden/>
                <w:rStyle w:val="IndexLink"/>
              </w:rPr>
              <w:t>4. Product Principles</w:t>
              <w:tab/>
              <w:t>20</w:t>
            </w:r>
          </w:hyperlink>
        </w:p>
        <w:p>
          <w:pPr>
            <w:pStyle w:val="TOC2"/>
            <w:tabs>
              <w:tab w:val="clear" w:pos="11957"/>
              <w:tab w:val="right" w:pos="10309" w:leader="dot"/>
            </w:tabs>
            <w:rPr/>
          </w:pPr>
          <w:hyperlink w:anchor="__RefHeading___Toc6758_2150751134">
            <w:r>
              <w:rPr>
                <w:webHidden/>
                <w:rStyle w:val="IndexLink"/>
              </w:rPr>
              <w:t>4.1 Evidence Before Conclusion</w:t>
              <w:tab/>
              <w:t>20</w:t>
            </w:r>
          </w:hyperlink>
        </w:p>
        <w:p>
          <w:pPr>
            <w:pStyle w:val="TOC2"/>
            <w:tabs>
              <w:tab w:val="clear" w:pos="11957"/>
              <w:tab w:val="right" w:pos="10309" w:leader="dot"/>
            </w:tabs>
            <w:rPr/>
          </w:pPr>
          <w:hyperlink w:anchor="__RefHeading___Toc6760_2150751134">
            <w:r>
              <w:rPr>
                <w:webHidden/>
                <w:rStyle w:val="IndexLink"/>
              </w:rPr>
              <w:t>4.2 Probability, Not Prophecy</w:t>
              <w:tab/>
              <w:t>20</w:t>
            </w:r>
          </w:hyperlink>
        </w:p>
        <w:p>
          <w:pPr>
            <w:pStyle w:val="TOC2"/>
            <w:tabs>
              <w:tab w:val="clear" w:pos="11957"/>
              <w:tab w:val="right" w:pos="10309" w:leader="dot"/>
            </w:tabs>
            <w:rPr/>
          </w:pPr>
          <w:hyperlink w:anchor="__RefHeading___Toc6762_2150751134">
            <w:r>
              <w:rPr>
                <w:webHidden/>
                <w:rStyle w:val="IndexLink"/>
              </w:rPr>
              <w:t>4.3 Provider Independence</w:t>
              <w:tab/>
              <w:t>20</w:t>
            </w:r>
          </w:hyperlink>
        </w:p>
        <w:p>
          <w:pPr>
            <w:pStyle w:val="TOC2"/>
            <w:tabs>
              <w:tab w:val="clear" w:pos="11957"/>
              <w:tab w:val="right" w:pos="10309" w:leader="dot"/>
            </w:tabs>
            <w:rPr/>
          </w:pPr>
          <w:hyperlink w:anchor="__RefHeading___Toc6764_2150751134">
            <w:r>
              <w:rPr>
                <w:webHidden/>
                <w:rStyle w:val="IndexLink"/>
              </w:rPr>
              <w:t>4.4 Local-First Where Valuable</w:t>
              <w:tab/>
              <w:t>20</w:t>
            </w:r>
          </w:hyperlink>
        </w:p>
        <w:p>
          <w:pPr>
            <w:pStyle w:val="TOC2"/>
            <w:tabs>
              <w:tab w:val="clear" w:pos="11957"/>
              <w:tab w:val="right" w:pos="10309" w:leader="dot"/>
            </w:tabs>
            <w:rPr/>
          </w:pPr>
          <w:hyperlink w:anchor="__RefHeading___Toc6766_2150751134">
            <w:r>
              <w:rPr>
                <w:webHidden/>
                <w:rStyle w:val="IndexLink"/>
              </w:rPr>
              <w:t>4.5 Security as Architecture</w:t>
              <w:tab/>
              <w:t>20</w:t>
            </w:r>
          </w:hyperlink>
        </w:p>
        <w:p>
          <w:pPr>
            <w:pStyle w:val="TOC2"/>
            <w:tabs>
              <w:tab w:val="clear" w:pos="11957"/>
              <w:tab w:val="right" w:pos="10309" w:leader="dot"/>
            </w:tabs>
            <w:rPr/>
          </w:pPr>
          <w:hyperlink w:anchor="__RefHeading___Toc6768_2150751134">
            <w:r>
              <w:rPr>
                <w:webHidden/>
                <w:rStyle w:val="IndexLink"/>
              </w:rPr>
              <w:t>4.6 Professional Density Without Confusion</w:t>
              <w:tab/>
              <w:t>20</w:t>
            </w:r>
          </w:hyperlink>
        </w:p>
        <w:p>
          <w:pPr>
            <w:pStyle w:val="TOC2"/>
            <w:tabs>
              <w:tab w:val="clear" w:pos="11957"/>
              <w:tab w:val="right" w:pos="10309" w:leader="dot"/>
            </w:tabs>
            <w:rPr/>
          </w:pPr>
          <w:hyperlink w:anchor="__RefHeading___Toc6770_2150751134">
            <w:r>
              <w:rPr>
                <w:webHidden/>
                <w:rStyle w:val="IndexLink"/>
              </w:rPr>
              <w:t>4.7 Reproducibility</w:t>
              <w:tab/>
              <w:t>20</w:t>
            </w:r>
          </w:hyperlink>
        </w:p>
        <w:p>
          <w:pPr>
            <w:pStyle w:val="TOC2"/>
            <w:tabs>
              <w:tab w:val="clear" w:pos="11957"/>
              <w:tab w:val="right" w:pos="10309" w:leader="dot"/>
            </w:tabs>
            <w:rPr/>
          </w:pPr>
          <w:hyperlink w:anchor="__RefHeading___Toc6772_2150751134">
            <w:r>
              <w:rPr>
                <w:webHidden/>
                <w:rStyle w:val="IndexLink"/>
              </w:rPr>
              <w:t>4.8 Graceful Degradation</w:t>
              <w:tab/>
              <w:t>20</w:t>
            </w:r>
          </w:hyperlink>
        </w:p>
        <w:p>
          <w:pPr>
            <w:pStyle w:val="TOC1"/>
            <w:tabs>
              <w:tab w:val="clear" w:pos="12240"/>
              <w:tab w:val="right" w:pos="10309" w:leader="dot"/>
            </w:tabs>
            <w:rPr/>
          </w:pPr>
          <w:hyperlink w:anchor="__RefHeading___Toc6774_2150751134">
            <w:r>
              <w:rPr>
                <w:webHidden/>
                <w:rStyle w:val="IndexLink"/>
              </w:rPr>
              <w:t>5. Scope and Asset Coverage</w:t>
              <w:tab/>
              <w:t>21</w:t>
            </w:r>
          </w:hyperlink>
        </w:p>
        <w:p>
          <w:pPr>
            <w:pStyle w:val="TOC2"/>
            <w:tabs>
              <w:tab w:val="clear" w:pos="11957"/>
              <w:tab w:val="right" w:pos="10309" w:leader="dot"/>
            </w:tabs>
            <w:rPr/>
          </w:pPr>
          <w:hyperlink w:anchor="__RefHeading___Toc6776_2150751134">
            <w:r>
              <w:rPr>
                <w:webHidden/>
                <w:rStyle w:val="IndexLink"/>
              </w:rPr>
              <w:t>5.1 Phase-One Asset Classes</w:t>
              <w:tab/>
              <w:t>21</w:t>
            </w:r>
          </w:hyperlink>
        </w:p>
        <w:p>
          <w:pPr>
            <w:pStyle w:val="TOC2"/>
            <w:tabs>
              <w:tab w:val="clear" w:pos="11957"/>
              <w:tab w:val="right" w:pos="10309" w:leader="dot"/>
            </w:tabs>
            <w:rPr/>
          </w:pPr>
          <w:hyperlink w:anchor="__RefHeading___Toc6778_2150751134">
            <w:r>
              <w:rPr>
                <w:webHidden/>
                <w:rStyle w:val="IndexLink"/>
              </w:rPr>
              <w:t>5.2 Later Asset Classes</w:t>
              <w:tab/>
              <w:t>21</w:t>
            </w:r>
          </w:hyperlink>
        </w:p>
        <w:p>
          <w:pPr>
            <w:pStyle w:val="TOC2"/>
            <w:tabs>
              <w:tab w:val="clear" w:pos="11957"/>
              <w:tab w:val="right" w:pos="10309" w:leader="dot"/>
            </w:tabs>
            <w:rPr/>
          </w:pPr>
          <w:hyperlink w:anchor="__RefHeading___Toc6780_2150751134">
            <w:r>
              <w:rPr>
                <w:webHidden/>
                <w:rStyle w:val="IndexLink"/>
              </w:rPr>
              <w:t>5.3 Data Rights and Entitlements</w:t>
              <w:tab/>
              <w:t>21</w:t>
            </w:r>
          </w:hyperlink>
        </w:p>
        <w:p>
          <w:pPr>
            <w:pStyle w:val="TOC1"/>
            <w:tabs>
              <w:tab w:val="clear" w:pos="12240"/>
              <w:tab w:val="right" w:pos="10309" w:leader="dot"/>
            </w:tabs>
            <w:rPr/>
          </w:pPr>
          <w:hyperlink w:anchor="__RefHeading___Toc6782_2150751134">
            <w:r>
              <w:rPr>
                <w:webHidden/>
                <w:rStyle w:val="IndexLink"/>
              </w:rPr>
              <w:t>6. Experience and Visual Design System</w:t>
              <w:tab/>
              <w:t>22</w:t>
            </w:r>
          </w:hyperlink>
        </w:p>
        <w:p>
          <w:pPr>
            <w:pStyle w:val="TOC2"/>
            <w:tabs>
              <w:tab w:val="clear" w:pos="11957"/>
              <w:tab w:val="right" w:pos="10309" w:leader="dot"/>
            </w:tabs>
            <w:rPr/>
          </w:pPr>
          <w:hyperlink w:anchor="__RefHeading___Toc6784_2150751134">
            <w:r>
              <w:rPr>
                <w:webHidden/>
                <w:rStyle w:val="IndexLink"/>
              </w:rPr>
              <w:t>6.1 Design Vision</w:t>
              <w:tab/>
              <w:t>22</w:t>
            </w:r>
          </w:hyperlink>
        </w:p>
        <w:p>
          <w:pPr>
            <w:pStyle w:val="TOC2"/>
            <w:tabs>
              <w:tab w:val="clear" w:pos="11957"/>
              <w:tab w:val="right" w:pos="10309" w:leader="dot"/>
            </w:tabs>
            <w:rPr/>
          </w:pPr>
          <w:hyperlink w:anchor="__RefHeading___Toc6786_2150751134">
            <w:r>
              <w:rPr>
                <w:webHidden/>
                <w:rStyle w:val="IndexLink"/>
              </w:rPr>
              <w:t>6.2 Visual Characteristics</w:t>
              <w:tab/>
              <w:t>22</w:t>
            </w:r>
          </w:hyperlink>
        </w:p>
        <w:p>
          <w:pPr>
            <w:pStyle w:val="TOC2"/>
            <w:tabs>
              <w:tab w:val="clear" w:pos="11957"/>
              <w:tab w:val="right" w:pos="10309" w:leader="dot"/>
            </w:tabs>
            <w:rPr/>
          </w:pPr>
          <w:hyperlink w:anchor="__RefHeading___Toc6788_2150751134">
            <w:r>
              <w:rPr>
                <w:webHidden/>
                <w:rStyle w:val="IndexLink"/>
              </w:rPr>
              <w:t>6.3 Motion System</w:t>
              <w:tab/>
              <w:t>22</w:t>
            </w:r>
          </w:hyperlink>
        </w:p>
        <w:p>
          <w:pPr>
            <w:pStyle w:val="TOC2"/>
            <w:tabs>
              <w:tab w:val="clear" w:pos="11957"/>
              <w:tab w:val="right" w:pos="10309" w:leader="dot"/>
            </w:tabs>
            <w:rPr/>
          </w:pPr>
          <w:hyperlink w:anchor="__RefHeading___Toc6790_2150751134">
            <w:r>
              <w:rPr>
                <w:webHidden/>
                <w:rStyle w:val="IndexLink"/>
              </w:rPr>
              <w:t>6.4 Workspace Model</w:t>
              <w:tab/>
              <w:t>22</w:t>
            </w:r>
          </w:hyperlink>
        </w:p>
        <w:p>
          <w:pPr>
            <w:pStyle w:val="TOC2"/>
            <w:tabs>
              <w:tab w:val="clear" w:pos="11957"/>
              <w:tab w:val="right" w:pos="10309" w:leader="dot"/>
            </w:tabs>
            <w:rPr/>
          </w:pPr>
          <w:hyperlink w:anchor="__RefHeading___Toc6792_2150751134">
            <w:r>
              <w:rPr>
                <w:webHidden/>
                <w:rStyle w:val="IndexLink"/>
              </w:rPr>
              <w:t>6.5 Primary Navigation</w:t>
              <w:tab/>
              <w:t>23</w:t>
            </w:r>
          </w:hyperlink>
        </w:p>
        <w:p>
          <w:pPr>
            <w:pStyle w:val="TOC1"/>
            <w:tabs>
              <w:tab w:val="clear" w:pos="12240"/>
              <w:tab w:val="right" w:pos="10309" w:leader="dot"/>
            </w:tabs>
            <w:rPr/>
          </w:pPr>
          <w:hyperlink w:anchor="__RefHeading___Toc6794_2150751134">
            <w:r>
              <w:rPr>
                <w:webHidden/>
                <w:rStyle w:val="IndexLink"/>
              </w:rPr>
              <w:t>7. Functional Capability Map</w:t>
              <w:tab/>
              <w:t>24</w:t>
            </w:r>
          </w:hyperlink>
        </w:p>
        <w:p>
          <w:pPr>
            <w:pStyle w:val="TOC2"/>
            <w:tabs>
              <w:tab w:val="clear" w:pos="11957"/>
              <w:tab w:val="right" w:pos="10309" w:leader="dot"/>
            </w:tabs>
            <w:rPr/>
          </w:pPr>
          <w:hyperlink w:anchor="__RefHeading___Toc6796_2150751134">
            <w:r>
              <w:rPr>
                <w:webHidden/>
                <w:rStyle w:val="IndexLink"/>
              </w:rPr>
              <w:t>7.1 Market Command Center</w:t>
              <w:tab/>
              <w:t>24</w:t>
            </w:r>
          </w:hyperlink>
        </w:p>
        <w:p>
          <w:pPr>
            <w:pStyle w:val="TOC2"/>
            <w:tabs>
              <w:tab w:val="clear" w:pos="11957"/>
              <w:tab w:val="right" w:pos="10309" w:leader="dot"/>
            </w:tabs>
            <w:rPr/>
          </w:pPr>
          <w:hyperlink w:anchor="__RefHeading___Toc6798_2150751134">
            <w:r>
              <w:rPr>
                <w:webHidden/>
                <w:rStyle w:val="IndexLink"/>
              </w:rPr>
              <w:t>7.2 Opportunity Engine</w:t>
              <w:tab/>
              <w:t>24</w:t>
            </w:r>
          </w:hyperlink>
        </w:p>
        <w:p>
          <w:pPr>
            <w:pStyle w:val="TOC2"/>
            <w:tabs>
              <w:tab w:val="clear" w:pos="11957"/>
              <w:tab w:val="right" w:pos="10309" w:leader="dot"/>
            </w:tabs>
            <w:rPr/>
          </w:pPr>
          <w:hyperlink w:anchor="__RefHeading___Toc6800_2150751134">
            <w:r>
              <w:rPr>
                <w:webHidden/>
                <w:rStyle w:val="IndexLink"/>
              </w:rPr>
              <w:t>7.3 Options Intelligence</w:t>
              <w:tab/>
              <w:t>25</w:t>
            </w:r>
          </w:hyperlink>
        </w:p>
        <w:p>
          <w:pPr>
            <w:pStyle w:val="TOC2"/>
            <w:tabs>
              <w:tab w:val="clear" w:pos="11957"/>
              <w:tab w:val="right" w:pos="10309" w:leader="dot"/>
            </w:tabs>
            <w:rPr/>
          </w:pPr>
          <w:hyperlink w:anchor="__RefHeading___Toc6802_2150751134">
            <w:r>
              <w:rPr>
                <w:webHidden/>
                <w:rStyle w:val="IndexLink"/>
              </w:rPr>
              <w:t>7.4 Institutional Intelligence</w:t>
              <w:tab/>
              <w:t>25</w:t>
            </w:r>
          </w:hyperlink>
        </w:p>
        <w:p>
          <w:pPr>
            <w:pStyle w:val="TOC2"/>
            <w:tabs>
              <w:tab w:val="clear" w:pos="11957"/>
              <w:tab w:val="right" w:pos="10309" w:leader="dot"/>
            </w:tabs>
            <w:rPr/>
          </w:pPr>
          <w:hyperlink w:anchor="__RefHeading___Toc6804_2150751134">
            <w:r>
              <w:rPr>
                <w:webHidden/>
                <w:rStyle w:val="IndexLink"/>
              </w:rPr>
              <w:t>7.5 Crypto Intelligence</w:t>
              <w:tab/>
              <w:t>25</w:t>
            </w:r>
          </w:hyperlink>
        </w:p>
        <w:p>
          <w:pPr>
            <w:pStyle w:val="TOC2"/>
            <w:tabs>
              <w:tab w:val="clear" w:pos="11957"/>
              <w:tab w:val="right" w:pos="10309" w:leader="dot"/>
            </w:tabs>
            <w:rPr/>
          </w:pPr>
          <w:hyperlink w:anchor="__RefHeading___Toc6806_2150751134">
            <w:r>
              <w:rPr>
                <w:webHidden/>
                <w:rStyle w:val="IndexLink"/>
              </w:rPr>
              <w:t>7.6 Research and Quant Lab</w:t>
              <w:tab/>
              <w:t>25</w:t>
            </w:r>
          </w:hyperlink>
        </w:p>
        <w:p>
          <w:pPr>
            <w:pStyle w:val="TOC2"/>
            <w:tabs>
              <w:tab w:val="clear" w:pos="11957"/>
              <w:tab w:val="right" w:pos="10309" w:leader="dot"/>
            </w:tabs>
            <w:rPr/>
          </w:pPr>
          <w:hyperlink w:anchor="__RefHeading___Toc6808_2150751134">
            <w:r>
              <w:rPr>
                <w:webHidden/>
                <w:rStyle w:val="IndexLink"/>
              </w:rPr>
              <w:t>7.7 Risk and Portfolio</w:t>
              <w:tab/>
              <w:t>26</w:t>
            </w:r>
          </w:hyperlink>
        </w:p>
        <w:p>
          <w:pPr>
            <w:pStyle w:val="TOC2"/>
            <w:tabs>
              <w:tab w:val="clear" w:pos="11957"/>
              <w:tab w:val="right" w:pos="10309" w:leader="dot"/>
            </w:tabs>
            <w:rPr/>
          </w:pPr>
          <w:hyperlink w:anchor="__RefHeading___Toc6810_2150751134">
            <w:r>
              <w:rPr>
                <w:webHidden/>
                <w:rStyle w:val="IndexLink"/>
              </w:rPr>
              <w:t>7.8 Journal and Learning</w:t>
              <w:tab/>
              <w:t>26</w:t>
            </w:r>
          </w:hyperlink>
        </w:p>
        <w:p>
          <w:pPr>
            <w:pStyle w:val="TOC2"/>
            <w:tabs>
              <w:tab w:val="clear" w:pos="11957"/>
              <w:tab w:val="right" w:pos="10309" w:leader="dot"/>
            </w:tabs>
            <w:rPr/>
          </w:pPr>
          <w:hyperlink w:anchor="__RefHeading___Toc6812_2150751134">
            <w:r>
              <w:rPr>
                <w:webHidden/>
                <w:rStyle w:val="IndexLink"/>
              </w:rPr>
              <w:t>7.9 Automation</w:t>
              <w:tab/>
              <w:t>26</w:t>
            </w:r>
          </w:hyperlink>
        </w:p>
        <w:p>
          <w:pPr>
            <w:pStyle w:val="TOC1"/>
            <w:tabs>
              <w:tab w:val="clear" w:pos="12240"/>
              <w:tab w:val="right" w:pos="10309" w:leader="dot"/>
            </w:tabs>
            <w:rPr/>
          </w:pPr>
          <w:hyperlink w:anchor="__RefHeading___Toc6814_2150751134">
            <w:r>
              <w:rPr>
                <w:webHidden/>
                <w:rStyle w:val="IndexLink"/>
              </w:rPr>
              <w:t>8. Detailed Feature Design</w:t>
              <w:tab/>
              <w:t>28</w:t>
            </w:r>
          </w:hyperlink>
        </w:p>
        <w:p>
          <w:pPr>
            <w:pStyle w:val="TOC2"/>
            <w:tabs>
              <w:tab w:val="clear" w:pos="11957"/>
              <w:tab w:val="right" w:pos="10309" w:leader="dot"/>
            </w:tabs>
            <w:rPr/>
          </w:pPr>
          <w:hyperlink w:anchor="__RefHeading___Toc6816_2150751134">
            <w:r>
              <w:rPr>
                <w:webHidden/>
                <w:rStyle w:val="IndexLink"/>
              </w:rPr>
              <w:t>8.1 Command Center</w:t>
              <w:tab/>
              <w:t>28</w:t>
            </w:r>
          </w:hyperlink>
        </w:p>
        <w:p>
          <w:pPr>
            <w:pStyle w:val="TOC3"/>
            <w:tabs>
              <w:tab w:val="clear" w:pos="11673"/>
              <w:tab w:val="right" w:pos="10309" w:leader="dot"/>
            </w:tabs>
            <w:rPr/>
          </w:pPr>
          <w:hyperlink w:anchor="__RefHeading___Toc6818_2150751134">
            <w:r>
              <w:rPr>
                <w:webHidden/>
                <w:rStyle w:val="IndexLink"/>
              </w:rPr>
              <w:t>Functional Design</w:t>
              <w:tab/>
              <w:t>28</w:t>
            </w:r>
          </w:hyperlink>
        </w:p>
        <w:p>
          <w:pPr>
            <w:pStyle w:val="TOC3"/>
            <w:tabs>
              <w:tab w:val="clear" w:pos="11673"/>
              <w:tab w:val="right" w:pos="10309" w:leader="dot"/>
            </w:tabs>
            <w:rPr/>
          </w:pPr>
          <w:hyperlink w:anchor="__RefHeading___Toc6820_2150751134">
            <w:r>
              <w:rPr>
                <w:webHidden/>
                <w:rStyle w:val="IndexLink"/>
              </w:rPr>
              <w:t>Advanced Enhancement</w:t>
              <w:tab/>
              <w:t>28</w:t>
            </w:r>
          </w:hyperlink>
        </w:p>
        <w:p>
          <w:pPr>
            <w:pStyle w:val="TOC2"/>
            <w:tabs>
              <w:tab w:val="clear" w:pos="11957"/>
              <w:tab w:val="right" w:pos="10309" w:leader="dot"/>
            </w:tabs>
            <w:rPr/>
          </w:pPr>
          <w:hyperlink w:anchor="__RefHeading___Toc6822_2150751134">
            <w:r>
              <w:rPr>
                <w:webHidden/>
                <w:rStyle w:val="IndexLink"/>
              </w:rPr>
              <w:t>8.2 Universal Instrument Workspace</w:t>
              <w:tab/>
              <w:t>28</w:t>
            </w:r>
          </w:hyperlink>
        </w:p>
        <w:p>
          <w:pPr>
            <w:pStyle w:val="TOC2"/>
            <w:tabs>
              <w:tab w:val="clear" w:pos="11957"/>
              <w:tab w:val="right" w:pos="10309" w:leader="dot"/>
            </w:tabs>
            <w:rPr/>
          </w:pPr>
          <w:hyperlink w:anchor="__RefHeading___Toc6824_2150751134">
            <w:r>
              <w:rPr>
                <w:webHidden/>
                <w:rStyle w:val="IndexLink"/>
              </w:rPr>
              <w:t>8.3 Advanced Charting</w:t>
              <w:tab/>
              <w:t>29</w:t>
            </w:r>
          </w:hyperlink>
        </w:p>
        <w:p>
          <w:pPr>
            <w:pStyle w:val="TOC3"/>
            <w:tabs>
              <w:tab w:val="clear" w:pos="11673"/>
              <w:tab w:val="right" w:pos="10309" w:leader="dot"/>
            </w:tabs>
            <w:rPr/>
          </w:pPr>
          <w:hyperlink w:anchor="__RefHeading___Toc6826_2150751134">
            <w:r>
              <w:rPr>
                <w:webHidden/>
                <w:rStyle w:val="IndexLink"/>
              </w:rPr>
              <w:t>Required Capabilities</w:t>
              <w:tab/>
              <w:t>29</w:t>
            </w:r>
          </w:hyperlink>
        </w:p>
        <w:p>
          <w:pPr>
            <w:pStyle w:val="TOC3"/>
            <w:tabs>
              <w:tab w:val="clear" w:pos="11673"/>
              <w:tab w:val="right" w:pos="10309" w:leader="dot"/>
            </w:tabs>
            <w:rPr/>
          </w:pPr>
          <w:hyperlink w:anchor="__RefHeading___Toc6828_2150751134">
            <w:r>
              <w:rPr>
                <w:webHidden/>
                <w:rStyle w:val="IndexLink"/>
              </w:rPr>
              <w:t>Chart Data Integrity</w:t>
              <w:tab/>
              <w:t>29</w:t>
            </w:r>
          </w:hyperlink>
        </w:p>
        <w:p>
          <w:pPr>
            <w:pStyle w:val="TOC2"/>
            <w:tabs>
              <w:tab w:val="clear" w:pos="11957"/>
              <w:tab w:val="right" w:pos="10309" w:leader="dot"/>
            </w:tabs>
            <w:rPr/>
          </w:pPr>
          <w:hyperlink w:anchor="__RefHeading___Toc6830_2150751134">
            <w:r>
              <w:rPr>
                <w:webHidden/>
                <w:rStyle w:val="IndexLink"/>
              </w:rPr>
              <w:t>8.4 Market Scanner</w:t>
              <w:tab/>
              <w:t>29</w:t>
            </w:r>
          </w:hyperlink>
        </w:p>
        <w:p>
          <w:pPr>
            <w:pStyle w:val="TOC2"/>
            <w:tabs>
              <w:tab w:val="clear" w:pos="11957"/>
              <w:tab w:val="right" w:pos="10309" w:leader="dot"/>
            </w:tabs>
            <w:rPr/>
          </w:pPr>
          <w:hyperlink w:anchor="__RefHeading___Toc6832_2150751134">
            <w:r>
              <w:rPr>
                <w:webHidden/>
                <w:rStyle w:val="IndexLink"/>
              </w:rPr>
              <w:t>8.5 Event and Catalyst Engine</w:t>
              <w:tab/>
              <w:t>30</w:t>
            </w:r>
          </w:hyperlink>
        </w:p>
        <w:p>
          <w:pPr>
            <w:pStyle w:val="TOC2"/>
            <w:tabs>
              <w:tab w:val="clear" w:pos="11957"/>
              <w:tab w:val="right" w:pos="10309" w:leader="dot"/>
            </w:tabs>
            <w:rPr/>
          </w:pPr>
          <w:hyperlink w:anchor="__RefHeading___Toc6834_2150751134">
            <w:r>
              <w:rPr>
                <w:webHidden/>
                <w:rStyle w:val="IndexLink"/>
              </w:rPr>
              <w:t>8.6 Opportunity Card</w:t>
              <w:tab/>
              <w:t>30</w:t>
            </w:r>
          </w:hyperlink>
        </w:p>
        <w:p>
          <w:pPr>
            <w:pStyle w:val="TOC2"/>
            <w:tabs>
              <w:tab w:val="clear" w:pos="11957"/>
              <w:tab w:val="right" w:pos="10309" w:leader="dot"/>
            </w:tabs>
            <w:rPr/>
          </w:pPr>
          <w:hyperlink w:anchor="__RefHeading___Toc6836_2150751134">
            <w:r>
              <w:rPr>
                <w:webHidden/>
                <w:rStyle w:val="IndexLink"/>
              </w:rPr>
              <w:t>8.7 Historical Analog Engine</w:t>
              <w:tab/>
              <w:t>31</w:t>
            </w:r>
          </w:hyperlink>
        </w:p>
        <w:p>
          <w:pPr>
            <w:pStyle w:val="TOC2"/>
            <w:tabs>
              <w:tab w:val="clear" w:pos="11957"/>
              <w:tab w:val="right" w:pos="10309" w:leader="dot"/>
            </w:tabs>
            <w:rPr/>
          </w:pPr>
          <w:hyperlink w:anchor="__RefHeading___Toc6838_2150751134">
            <w:r>
              <w:rPr>
                <w:webHidden/>
                <w:rStyle w:val="IndexLink"/>
              </w:rPr>
              <w:t>8.8 Alerting</w:t>
              <w:tab/>
              <w:t>31</w:t>
            </w:r>
          </w:hyperlink>
        </w:p>
        <w:p>
          <w:pPr>
            <w:pStyle w:val="TOC1"/>
            <w:tabs>
              <w:tab w:val="clear" w:pos="12240"/>
              <w:tab w:val="right" w:pos="10309" w:leader="dot"/>
            </w:tabs>
            <w:rPr/>
          </w:pPr>
          <w:hyperlink w:anchor="__RefHeading___Toc6840_2150751134">
            <w:r>
              <w:rPr>
                <w:webHidden/>
                <w:rStyle w:val="IndexLink"/>
              </w:rPr>
              <w:t>9. Data Provider and API Strategy</w:t>
              <w:tab/>
              <w:t>33</w:t>
            </w:r>
          </w:hyperlink>
        </w:p>
        <w:p>
          <w:pPr>
            <w:pStyle w:val="TOC2"/>
            <w:tabs>
              <w:tab w:val="clear" w:pos="11957"/>
              <w:tab w:val="right" w:pos="10309" w:leader="dot"/>
            </w:tabs>
            <w:rPr/>
          </w:pPr>
          <w:hyperlink w:anchor="__RefHeading___Toc6842_2150751134">
            <w:r>
              <w:rPr>
                <w:webHidden/>
                <w:rStyle w:val="IndexLink"/>
              </w:rPr>
              <w:t>9.1 Provider Philosophy</w:t>
              <w:tab/>
              <w:t>33</w:t>
            </w:r>
          </w:hyperlink>
        </w:p>
        <w:p>
          <w:pPr>
            <w:pStyle w:val="TOC2"/>
            <w:tabs>
              <w:tab w:val="clear" w:pos="11957"/>
              <w:tab w:val="right" w:pos="10309" w:leader="dot"/>
            </w:tabs>
            <w:rPr/>
          </w:pPr>
          <w:hyperlink w:anchor="__RefHeading___Toc6844_2150751134">
            <w:r>
              <w:rPr>
                <w:webHidden/>
                <w:rStyle w:val="IndexLink"/>
              </w:rPr>
              <w:t>9.2 CoinGecko — Primary Crypto Aggregation Provider</w:t>
              <w:tab/>
              <w:t>33</w:t>
            </w:r>
          </w:hyperlink>
        </w:p>
        <w:p>
          <w:pPr>
            <w:pStyle w:val="TOC3"/>
            <w:tabs>
              <w:tab w:val="clear" w:pos="11673"/>
              <w:tab w:val="right" w:pos="10309" w:leader="dot"/>
            </w:tabs>
            <w:rPr/>
          </w:pPr>
          <w:hyperlink w:anchor="__RefHeading___Toc6846_2150751134">
            <w:r>
              <w:rPr>
                <w:webHidden/>
                <w:rStyle w:val="IndexLink"/>
              </w:rPr>
              <w:t>Intended Uses</w:t>
              <w:tab/>
              <w:t>33</w:t>
            </w:r>
          </w:hyperlink>
        </w:p>
        <w:p>
          <w:pPr>
            <w:pStyle w:val="TOC3"/>
            <w:tabs>
              <w:tab w:val="clear" w:pos="11673"/>
              <w:tab w:val="right" w:pos="10309" w:leader="dot"/>
            </w:tabs>
            <w:rPr/>
          </w:pPr>
          <w:hyperlink w:anchor="__RefHeading___Toc6848_2150751134">
            <w:r>
              <w:rPr>
                <w:webHidden/>
                <w:rStyle w:val="IndexLink"/>
              </w:rPr>
              <w:t>Architecture Requirements</w:t>
              <w:tab/>
              <w:t>34</w:t>
            </w:r>
          </w:hyperlink>
        </w:p>
        <w:p>
          <w:pPr>
            <w:pStyle w:val="TOC3"/>
            <w:tabs>
              <w:tab w:val="clear" w:pos="11673"/>
              <w:tab w:val="right" w:pos="10309" w:leader="dot"/>
            </w:tabs>
            <w:rPr/>
          </w:pPr>
          <w:hyperlink w:anchor="__RefHeading___Toc6850_2150751134">
            <w:r>
              <w:rPr>
                <w:webHidden/>
                <w:rStyle w:val="IndexLink"/>
              </w:rPr>
              <w:t>CoinGecko Functional Modules</w:t>
              <w:tab/>
              <w:t>34</w:t>
            </w:r>
          </w:hyperlink>
        </w:p>
        <w:p>
          <w:pPr>
            <w:pStyle w:val="TOC2"/>
            <w:tabs>
              <w:tab w:val="clear" w:pos="11957"/>
              <w:tab w:val="right" w:pos="10309" w:leader="dot"/>
            </w:tabs>
            <w:rPr/>
          </w:pPr>
          <w:hyperlink w:anchor="__RefHeading___Toc6852_2150751134">
            <w:r>
              <w:rPr>
                <w:webHidden/>
                <w:rStyle w:val="IndexLink"/>
              </w:rPr>
              <w:t>9.3 Unusual Whales — Equity and Options Intelligence</w:t>
              <w:tab/>
              <w:t>34</w:t>
            </w:r>
          </w:hyperlink>
        </w:p>
        <w:p>
          <w:pPr>
            <w:pStyle w:val="TOC3"/>
            <w:tabs>
              <w:tab w:val="clear" w:pos="11673"/>
              <w:tab w:val="right" w:pos="10309" w:leader="dot"/>
            </w:tabs>
            <w:rPr/>
          </w:pPr>
          <w:hyperlink w:anchor="__RefHeading___Toc6854_2150751134">
            <w:r>
              <w:rPr>
                <w:webHidden/>
                <w:rStyle w:val="IndexLink"/>
              </w:rPr>
              <w:t>Intended Uses</w:t>
              <w:tab/>
              <w:t>34</w:t>
            </w:r>
          </w:hyperlink>
        </w:p>
        <w:p>
          <w:pPr>
            <w:pStyle w:val="TOC3"/>
            <w:tabs>
              <w:tab w:val="clear" w:pos="11673"/>
              <w:tab w:val="right" w:pos="10309" w:leader="dot"/>
            </w:tabs>
            <w:rPr/>
          </w:pPr>
          <w:hyperlink w:anchor="__RefHeading___Toc6856_2150751134">
            <w:r>
              <w:rPr>
                <w:webHidden/>
                <w:rStyle w:val="IndexLink"/>
              </w:rPr>
              <w:t>Design Requirements</w:t>
              <w:tab/>
              <w:t>35</w:t>
            </w:r>
          </w:hyperlink>
        </w:p>
        <w:p>
          <w:pPr>
            <w:pStyle w:val="TOC2"/>
            <w:tabs>
              <w:tab w:val="clear" w:pos="11957"/>
              <w:tab w:val="right" w:pos="10309" w:leader="dot"/>
            </w:tabs>
            <w:rPr/>
          </w:pPr>
          <w:hyperlink w:anchor="__RefHeading___Toc6858_2150751134">
            <w:r>
              <w:rPr>
                <w:webHidden/>
                <w:rStyle w:val="IndexLink"/>
              </w:rPr>
              <w:t>9.4 SEC EDGAR — Regulatory and Filing Intelligence</w:t>
              <w:tab/>
              <w:t>35</w:t>
            </w:r>
          </w:hyperlink>
        </w:p>
        <w:p>
          <w:pPr>
            <w:pStyle w:val="TOC3"/>
            <w:tabs>
              <w:tab w:val="clear" w:pos="11673"/>
              <w:tab w:val="right" w:pos="10309" w:leader="dot"/>
            </w:tabs>
            <w:rPr/>
          </w:pPr>
          <w:hyperlink w:anchor="__RefHeading___Toc6860_2150751134">
            <w:r>
              <w:rPr>
                <w:webHidden/>
                <w:rStyle w:val="IndexLink"/>
              </w:rPr>
              <w:t>Intended Uses</w:t>
              <w:tab/>
              <w:t>35</w:t>
            </w:r>
          </w:hyperlink>
        </w:p>
        <w:p>
          <w:pPr>
            <w:pStyle w:val="TOC3"/>
            <w:tabs>
              <w:tab w:val="clear" w:pos="11673"/>
              <w:tab w:val="right" w:pos="10309" w:leader="dot"/>
            </w:tabs>
            <w:rPr/>
          </w:pPr>
          <w:hyperlink w:anchor="__RefHeading___Toc6862_2150751134">
            <w:r>
              <w:rPr>
                <w:webHidden/>
                <w:rStyle w:val="IndexLink"/>
              </w:rPr>
              <w:t>Design Requirements</w:t>
              <w:tab/>
              <w:t>35</w:t>
            </w:r>
          </w:hyperlink>
        </w:p>
        <w:p>
          <w:pPr>
            <w:pStyle w:val="TOC2"/>
            <w:tabs>
              <w:tab w:val="clear" w:pos="11957"/>
              <w:tab w:val="right" w:pos="10309" w:leader="dot"/>
            </w:tabs>
            <w:rPr/>
          </w:pPr>
          <w:hyperlink w:anchor="__RefHeading___Toc6864_2150751134">
            <w:r>
              <w:rPr>
                <w:webHidden/>
                <w:rStyle w:val="IndexLink"/>
              </w:rPr>
              <w:t>9.5 CFTC Public Reporting Environment — Commitments of Traders</w:t>
              <w:tab/>
              <w:t>35</w:t>
            </w:r>
          </w:hyperlink>
        </w:p>
        <w:p>
          <w:pPr>
            <w:pStyle w:val="TOC3"/>
            <w:tabs>
              <w:tab w:val="clear" w:pos="11673"/>
              <w:tab w:val="right" w:pos="10309" w:leader="dot"/>
            </w:tabs>
            <w:rPr/>
          </w:pPr>
          <w:hyperlink w:anchor="__RefHeading___Toc6866_2150751134">
            <w:r>
              <w:rPr>
                <w:webHidden/>
                <w:rStyle w:val="IndexLink"/>
              </w:rPr>
              <w:t>Intended Uses</w:t>
              <w:tab/>
              <w:t>35</w:t>
            </w:r>
          </w:hyperlink>
        </w:p>
        <w:p>
          <w:pPr>
            <w:pStyle w:val="TOC3"/>
            <w:tabs>
              <w:tab w:val="clear" w:pos="11673"/>
              <w:tab w:val="right" w:pos="10309" w:leader="dot"/>
            </w:tabs>
            <w:rPr/>
          </w:pPr>
          <w:hyperlink w:anchor="__RefHeading___Toc6868_2150751134">
            <w:r>
              <w:rPr>
                <w:webHidden/>
                <w:rStyle w:val="IndexLink"/>
              </w:rPr>
              <w:t>Feature Design</w:t>
              <w:tab/>
              <w:t>35</w:t>
            </w:r>
          </w:hyperlink>
        </w:p>
        <w:p>
          <w:pPr>
            <w:pStyle w:val="TOC2"/>
            <w:tabs>
              <w:tab w:val="clear" w:pos="11957"/>
              <w:tab w:val="right" w:pos="10309" w:leader="dot"/>
            </w:tabs>
            <w:rPr/>
          </w:pPr>
          <w:hyperlink w:anchor="__RefHeading___Toc6870_2150751134">
            <w:r>
              <w:rPr>
                <w:webHidden/>
                <w:rStyle w:val="IndexLink"/>
              </w:rPr>
              <w:t>9.6 FRED — Macroeconomic Data</w:t>
              <w:tab/>
              <w:t>36</w:t>
            </w:r>
          </w:hyperlink>
        </w:p>
        <w:p>
          <w:pPr>
            <w:pStyle w:val="TOC2"/>
            <w:tabs>
              <w:tab w:val="clear" w:pos="11957"/>
              <w:tab w:val="right" w:pos="10309" w:leader="dot"/>
            </w:tabs>
            <w:rPr/>
          </w:pPr>
          <w:hyperlink w:anchor="__RefHeading___Toc6872_2150751134">
            <w:r>
              <w:rPr>
                <w:webHidden/>
                <w:rStyle w:val="IndexLink"/>
              </w:rPr>
              <w:t>9.7 Additional Recommended Providers</w:t>
              <w:tab/>
              <w:t>36</w:t>
            </w:r>
          </w:hyperlink>
        </w:p>
        <w:p>
          <w:pPr>
            <w:pStyle w:val="TOC3"/>
            <w:tabs>
              <w:tab w:val="clear" w:pos="11673"/>
              <w:tab w:val="right" w:pos="10309" w:leader="dot"/>
            </w:tabs>
            <w:rPr/>
          </w:pPr>
          <w:hyperlink w:anchor="__RefHeading___Toc6874_2150751134">
            <w:r>
              <w:rPr>
                <w:webHidden/>
                <w:rStyle w:val="IndexLink"/>
              </w:rPr>
              <w:t>Public or Government</w:t>
              <w:tab/>
              <w:t>36</w:t>
            </w:r>
          </w:hyperlink>
        </w:p>
        <w:p>
          <w:pPr>
            <w:pStyle w:val="TOC3"/>
            <w:tabs>
              <w:tab w:val="clear" w:pos="11673"/>
              <w:tab w:val="right" w:pos="10309" w:leader="dot"/>
            </w:tabs>
            <w:rPr/>
          </w:pPr>
          <w:hyperlink w:anchor="__RefHeading___Toc6876_2150751134">
            <w:r>
              <w:rPr>
                <w:webHidden/>
                <w:rStyle w:val="IndexLink"/>
              </w:rPr>
              <w:t>Optional Paid/Commercial</w:t>
              <w:tab/>
              <w:t>36</w:t>
            </w:r>
          </w:hyperlink>
        </w:p>
        <w:p>
          <w:pPr>
            <w:pStyle w:val="TOC3"/>
            <w:tabs>
              <w:tab w:val="clear" w:pos="11673"/>
              <w:tab w:val="right" w:pos="10309" w:leader="dot"/>
            </w:tabs>
            <w:rPr/>
          </w:pPr>
          <w:hyperlink w:anchor="__RefHeading___Toc6878_2150751134">
            <w:r>
              <w:rPr>
                <w:webHidden/>
                <w:rStyle w:val="IndexLink"/>
              </w:rPr>
              <w:t>Critical Principle</w:t>
              <w:tab/>
              <w:t>36</w:t>
            </w:r>
          </w:hyperlink>
        </w:p>
        <w:p>
          <w:pPr>
            <w:pStyle w:val="TOC1"/>
            <w:tabs>
              <w:tab w:val="clear" w:pos="12240"/>
              <w:tab w:val="right" w:pos="10309" w:leader="dot"/>
            </w:tabs>
            <w:rPr/>
          </w:pPr>
          <w:hyperlink w:anchor="__RefHeading___Toc6880_2150751134">
            <w:r>
              <w:rPr>
                <w:webHidden/>
                <w:rStyle w:val="IndexLink"/>
              </w:rPr>
              <w:t>10. Unified Market Data Architecture</w:t>
              <w:tab/>
              <w:t>37</w:t>
            </w:r>
          </w:hyperlink>
        </w:p>
        <w:p>
          <w:pPr>
            <w:pStyle w:val="TOC2"/>
            <w:tabs>
              <w:tab w:val="clear" w:pos="11957"/>
              <w:tab w:val="right" w:pos="10309" w:leader="dot"/>
            </w:tabs>
            <w:rPr/>
          </w:pPr>
          <w:hyperlink w:anchor="__RefHeading___Toc6882_2150751134">
            <w:r>
              <w:rPr>
                <w:webHidden/>
                <w:rStyle w:val="IndexLink"/>
              </w:rPr>
              <w:t>10.1 Canonical Data Layers</w:t>
              <w:tab/>
              <w:t>37</w:t>
            </w:r>
          </w:hyperlink>
        </w:p>
        <w:p>
          <w:pPr>
            <w:pStyle w:val="TOC2"/>
            <w:tabs>
              <w:tab w:val="clear" w:pos="11957"/>
              <w:tab w:val="right" w:pos="10309" w:leader="dot"/>
            </w:tabs>
            <w:rPr/>
          </w:pPr>
          <w:hyperlink w:anchor="__RefHeading___Toc6884_2150751134">
            <w:r>
              <w:rPr>
                <w:webHidden/>
                <w:rStyle w:val="IndexLink"/>
              </w:rPr>
              <w:t>10.2 Provider Port Example</w:t>
              <w:tab/>
              <w:t>37</w:t>
            </w:r>
          </w:hyperlink>
        </w:p>
        <w:p>
          <w:pPr>
            <w:pStyle w:val="TOC2"/>
            <w:tabs>
              <w:tab w:val="clear" w:pos="11957"/>
              <w:tab w:val="right" w:pos="10309" w:leader="dot"/>
            </w:tabs>
            <w:rPr/>
          </w:pPr>
          <w:hyperlink w:anchor="__RefHeading___Toc6886_2150751134">
            <w:r>
              <w:rPr>
                <w:webHidden/>
                <w:rStyle w:val="IndexLink"/>
              </w:rPr>
              <w:t>10.3 Canonical Identity Service</w:t>
              <w:tab/>
              <w:t>38</w:t>
            </w:r>
          </w:hyperlink>
        </w:p>
        <w:p>
          <w:pPr>
            <w:pStyle w:val="TOC2"/>
            <w:tabs>
              <w:tab w:val="clear" w:pos="11957"/>
              <w:tab w:val="right" w:pos="10309" w:leader="dot"/>
            </w:tabs>
            <w:rPr/>
          </w:pPr>
          <w:hyperlink w:anchor="__RefHeading___Toc6888_2150751134">
            <w:r>
              <w:rPr>
                <w:webHidden/>
                <w:rStyle w:val="IndexLink"/>
              </w:rPr>
              <w:t>10.4 Data Quality Score</w:t>
              <w:tab/>
              <w:t>38</w:t>
            </w:r>
          </w:hyperlink>
        </w:p>
        <w:p>
          <w:pPr>
            <w:pStyle w:val="TOC2"/>
            <w:tabs>
              <w:tab w:val="clear" w:pos="11957"/>
              <w:tab w:val="right" w:pos="10309" w:leader="dot"/>
            </w:tabs>
            <w:rPr/>
          </w:pPr>
          <w:hyperlink w:anchor="__RefHeading___Toc6890_2150751134">
            <w:r>
              <w:rPr>
                <w:webHidden/>
                <w:rStyle w:val="IndexLink"/>
              </w:rPr>
              <w:t>10.5 Rate-Limit and Budget Governor</w:t>
              <w:tab/>
              <w:t>38</w:t>
            </w:r>
          </w:hyperlink>
        </w:p>
        <w:p>
          <w:pPr>
            <w:pStyle w:val="TOC1"/>
            <w:tabs>
              <w:tab w:val="clear" w:pos="12240"/>
              <w:tab w:val="right" w:pos="10309" w:leader="dot"/>
            </w:tabs>
            <w:rPr/>
          </w:pPr>
          <w:hyperlink w:anchor="__RefHeading___Toc6892_2150751134">
            <w:r>
              <w:rPr>
                <w:webHidden/>
                <w:rStyle w:val="IndexLink"/>
              </w:rPr>
              <w:t>11. Quantitative Research and Simulation Architecture</w:t>
              <w:tab/>
              <w:t>40</w:t>
            </w:r>
          </w:hyperlink>
        </w:p>
        <w:p>
          <w:pPr>
            <w:pStyle w:val="TOC2"/>
            <w:tabs>
              <w:tab w:val="clear" w:pos="11957"/>
              <w:tab w:val="right" w:pos="10309" w:leader="dot"/>
            </w:tabs>
            <w:rPr/>
          </w:pPr>
          <w:hyperlink w:anchor="__RefHeading___Toc6894_2150751134">
            <w:r>
              <w:rPr>
                <w:webHidden/>
                <w:rStyle w:val="IndexLink"/>
              </w:rPr>
              <w:t>11.1 Strategy Definition Modes</w:t>
              <w:tab/>
              <w:t>40</w:t>
            </w:r>
          </w:hyperlink>
        </w:p>
        <w:p>
          <w:pPr>
            <w:pStyle w:val="TOC3"/>
            <w:tabs>
              <w:tab w:val="clear" w:pos="11673"/>
              <w:tab w:val="right" w:pos="10309" w:leader="dot"/>
            </w:tabs>
            <w:rPr/>
          </w:pPr>
          <w:hyperlink w:anchor="__RefHeading___Toc6896_2150751134">
            <w:r>
              <w:rPr>
                <w:webHidden/>
                <w:rStyle w:val="IndexLink"/>
              </w:rPr>
              <w:t>Visual Builder</w:t>
              <w:tab/>
              <w:t>40</w:t>
            </w:r>
          </w:hyperlink>
        </w:p>
        <w:p>
          <w:pPr>
            <w:pStyle w:val="TOC3"/>
            <w:tabs>
              <w:tab w:val="clear" w:pos="11673"/>
              <w:tab w:val="right" w:pos="10309" w:leader="dot"/>
            </w:tabs>
            <w:rPr/>
          </w:pPr>
          <w:hyperlink w:anchor="__RefHeading___Toc6898_2150751134">
            <w:r>
              <w:rPr>
                <w:webHidden/>
                <w:rStyle w:val="IndexLink"/>
              </w:rPr>
              <w:t>Strategy DSL</w:t>
              <w:tab/>
              <w:t>40</w:t>
            </w:r>
          </w:hyperlink>
        </w:p>
        <w:p>
          <w:pPr>
            <w:pStyle w:val="TOC3"/>
            <w:tabs>
              <w:tab w:val="clear" w:pos="11673"/>
              <w:tab w:val="right" w:pos="10309" w:leader="dot"/>
            </w:tabs>
            <w:rPr/>
          </w:pPr>
          <w:hyperlink w:anchor="__RefHeading___Toc6900_2150751134">
            <w:r>
              <w:rPr>
                <w:webHidden/>
                <w:rStyle w:val="IndexLink"/>
              </w:rPr>
              <w:t>Python</w:t>
              <w:tab/>
              <w:t>40</w:t>
            </w:r>
          </w:hyperlink>
        </w:p>
        <w:p>
          <w:pPr>
            <w:pStyle w:val="TOC3"/>
            <w:tabs>
              <w:tab w:val="clear" w:pos="11673"/>
              <w:tab w:val="right" w:pos="10309" w:leader="dot"/>
            </w:tabs>
            <w:rPr/>
          </w:pPr>
          <w:hyperlink w:anchor="__RefHeading___Toc6902_2150751134">
            <w:r>
              <w:rPr>
                <w:webHidden/>
                <w:rStyle w:val="IndexLink"/>
              </w:rPr>
              <w:t>Rust SDK</w:t>
              <w:tab/>
              <w:t>40</w:t>
            </w:r>
          </w:hyperlink>
        </w:p>
        <w:p>
          <w:pPr>
            <w:pStyle w:val="TOC2"/>
            <w:tabs>
              <w:tab w:val="clear" w:pos="11957"/>
              <w:tab w:val="right" w:pos="10309" w:leader="dot"/>
            </w:tabs>
            <w:rPr/>
          </w:pPr>
          <w:hyperlink w:anchor="__RefHeading___Toc6904_2150751134">
            <w:r>
              <w:rPr>
                <w:webHidden/>
                <w:rStyle w:val="IndexLink"/>
              </w:rPr>
              <w:t>11.2 Backtesting Engine</w:t>
              <w:tab/>
              <w:t>41</w:t>
            </w:r>
          </w:hyperlink>
        </w:p>
        <w:p>
          <w:pPr>
            <w:pStyle w:val="TOC2"/>
            <w:tabs>
              <w:tab w:val="clear" w:pos="11957"/>
              <w:tab w:val="right" w:pos="10309" w:leader="dot"/>
            </w:tabs>
            <w:rPr/>
          </w:pPr>
          <w:hyperlink w:anchor="__RefHeading___Toc6906_2150751134">
            <w:r>
              <w:rPr>
                <w:webHidden/>
                <w:rStyle w:val="IndexLink"/>
              </w:rPr>
              <w:t>11.3 Validation Modes</w:t>
              <w:tab/>
              <w:t>41</w:t>
            </w:r>
          </w:hyperlink>
        </w:p>
        <w:p>
          <w:pPr>
            <w:pStyle w:val="TOC2"/>
            <w:tabs>
              <w:tab w:val="clear" w:pos="11957"/>
              <w:tab w:val="right" w:pos="10309" w:leader="dot"/>
            </w:tabs>
            <w:rPr/>
          </w:pPr>
          <w:hyperlink w:anchor="__RefHeading___Toc6908_2150751134">
            <w:r>
              <w:rPr>
                <w:webHidden/>
                <w:rStyle w:val="IndexLink"/>
              </w:rPr>
              <w:t>11.4 Metrics</w:t>
              <w:tab/>
              <w:t>41</w:t>
            </w:r>
          </w:hyperlink>
        </w:p>
        <w:p>
          <w:pPr>
            <w:pStyle w:val="TOC2"/>
            <w:tabs>
              <w:tab w:val="clear" w:pos="11957"/>
              <w:tab w:val="right" w:pos="10309" w:leader="dot"/>
            </w:tabs>
            <w:rPr/>
          </w:pPr>
          <w:hyperlink w:anchor="__RefHeading___Toc6910_2150751134">
            <w:r>
              <w:rPr>
                <w:webHidden/>
                <w:rStyle w:val="IndexLink"/>
              </w:rPr>
              <w:t>11.5 Monte Carlo Lab</w:t>
              <w:tab/>
              <w:t>42</w:t>
            </w:r>
          </w:hyperlink>
        </w:p>
        <w:p>
          <w:pPr>
            <w:pStyle w:val="TOC1"/>
            <w:tabs>
              <w:tab w:val="clear" w:pos="12240"/>
              <w:tab w:val="right" w:pos="10309" w:leader="dot"/>
            </w:tabs>
            <w:rPr/>
          </w:pPr>
          <w:hyperlink w:anchor="__RefHeading___Toc6912_2150751134">
            <w:r>
              <w:rPr>
                <w:webHidden/>
                <w:rStyle w:val="IndexLink"/>
              </w:rPr>
              <w:t>12. Predictive Intelligence Architecture</w:t>
              <w:tab/>
              <w:t>43</w:t>
            </w:r>
          </w:hyperlink>
        </w:p>
        <w:p>
          <w:pPr>
            <w:pStyle w:val="TOC2"/>
            <w:tabs>
              <w:tab w:val="clear" w:pos="11957"/>
              <w:tab w:val="right" w:pos="10309" w:leader="dot"/>
            </w:tabs>
            <w:rPr/>
          </w:pPr>
          <w:hyperlink w:anchor="__RefHeading___Toc6914_2150751134">
            <w:r>
              <w:rPr>
                <w:webHidden/>
                <w:rStyle w:val="IndexLink"/>
              </w:rPr>
              <w:t>12.1 Forecast Types</w:t>
              <w:tab/>
              <w:t>43</w:t>
            </w:r>
          </w:hyperlink>
        </w:p>
        <w:p>
          <w:pPr>
            <w:pStyle w:val="TOC2"/>
            <w:tabs>
              <w:tab w:val="clear" w:pos="11957"/>
              <w:tab w:val="right" w:pos="10309" w:leader="dot"/>
            </w:tabs>
            <w:rPr/>
          </w:pPr>
          <w:hyperlink w:anchor="__RefHeading___Toc6916_2150751134">
            <w:r>
              <w:rPr>
                <w:webHidden/>
                <w:rStyle w:val="IndexLink"/>
              </w:rPr>
              <w:t>12.2 Model Hierarchy</w:t>
              <w:tab/>
              <w:t>43</w:t>
            </w:r>
          </w:hyperlink>
        </w:p>
        <w:p>
          <w:pPr>
            <w:pStyle w:val="TOC2"/>
            <w:tabs>
              <w:tab w:val="clear" w:pos="11957"/>
              <w:tab w:val="right" w:pos="10309" w:leader="dot"/>
            </w:tabs>
            <w:rPr/>
          </w:pPr>
          <w:hyperlink w:anchor="__RefHeading___Toc6918_2150751134">
            <w:r>
              <w:rPr>
                <w:webHidden/>
                <w:rStyle w:val="IndexLink"/>
              </w:rPr>
              <w:t>12.3 Feature Families</w:t>
              <w:tab/>
              <w:t>43</w:t>
            </w:r>
          </w:hyperlink>
        </w:p>
        <w:p>
          <w:pPr>
            <w:pStyle w:val="TOC2"/>
            <w:tabs>
              <w:tab w:val="clear" w:pos="11957"/>
              <w:tab w:val="right" w:pos="10309" w:leader="dot"/>
            </w:tabs>
            <w:rPr/>
          </w:pPr>
          <w:hyperlink w:anchor="__RefHeading___Toc6920_2150751134">
            <w:r>
              <w:rPr>
                <w:webHidden/>
                <w:rStyle w:val="IndexLink"/>
              </w:rPr>
              <w:t>12.4 Explainability</w:t>
              <w:tab/>
              <w:t>43</w:t>
            </w:r>
          </w:hyperlink>
        </w:p>
        <w:p>
          <w:pPr>
            <w:pStyle w:val="TOC2"/>
            <w:tabs>
              <w:tab w:val="clear" w:pos="11957"/>
              <w:tab w:val="right" w:pos="10309" w:leader="dot"/>
            </w:tabs>
            <w:rPr/>
          </w:pPr>
          <w:hyperlink w:anchor="__RefHeading___Toc6922_2150751134">
            <w:r>
              <w:rPr>
                <w:webHidden/>
                <w:rStyle w:val="IndexLink"/>
              </w:rPr>
              <w:t>12.5 Model Governance</w:t>
              <w:tab/>
              <w:t>44</w:t>
            </w:r>
          </w:hyperlink>
        </w:p>
        <w:p>
          <w:pPr>
            <w:pStyle w:val="TOC2"/>
            <w:tabs>
              <w:tab w:val="clear" w:pos="11957"/>
              <w:tab w:val="right" w:pos="10309" w:leader="dot"/>
            </w:tabs>
            <w:rPr/>
          </w:pPr>
          <w:hyperlink w:anchor="__RefHeading___Toc6924_2150751134">
            <w:r>
              <w:rPr>
                <w:webHidden/>
                <w:rStyle w:val="IndexLink"/>
              </w:rPr>
              <w:t>12.6 Avoiding False Precision</w:t>
              <w:tab/>
              <w:t>44</w:t>
            </w:r>
          </w:hyperlink>
        </w:p>
        <w:p>
          <w:pPr>
            <w:pStyle w:val="TOC1"/>
            <w:tabs>
              <w:tab w:val="clear" w:pos="12240"/>
              <w:tab w:val="right" w:pos="10309" w:leader="dot"/>
            </w:tabs>
            <w:rPr/>
          </w:pPr>
          <w:hyperlink w:anchor="__RefHeading___Toc6926_2150751134">
            <w:r>
              <w:rPr>
                <w:webHidden/>
                <w:rStyle w:val="IndexLink"/>
              </w:rPr>
              <w:t>13. Options Intelligence Architecture</w:t>
              <w:tab/>
              <w:t>45</w:t>
            </w:r>
          </w:hyperlink>
        </w:p>
        <w:p>
          <w:pPr>
            <w:pStyle w:val="TOC2"/>
            <w:tabs>
              <w:tab w:val="clear" w:pos="11957"/>
              <w:tab w:val="right" w:pos="10309" w:leader="dot"/>
            </w:tabs>
            <w:rPr/>
          </w:pPr>
          <w:hyperlink w:anchor="__RefHeading___Toc6928_2150751134">
            <w:r>
              <w:rPr>
                <w:webHidden/>
                <w:rStyle w:val="IndexLink"/>
              </w:rPr>
              <w:t>13.1 Chain Explorer</w:t>
              <w:tab/>
              <w:t>45</w:t>
            </w:r>
          </w:hyperlink>
        </w:p>
        <w:p>
          <w:pPr>
            <w:pStyle w:val="TOC2"/>
            <w:tabs>
              <w:tab w:val="clear" w:pos="11957"/>
              <w:tab w:val="right" w:pos="10309" w:leader="dot"/>
            </w:tabs>
            <w:rPr/>
          </w:pPr>
          <w:hyperlink w:anchor="__RefHeading___Toc6930_2150751134">
            <w:r>
              <w:rPr>
                <w:webHidden/>
                <w:rStyle w:val="IndexLink"/>
              </w:rPr>
              <w:t>13.2 Flow Classification</w:t>
              <w:tab/>
              <w:t>45</w:t>
            </w:r>
          </w:hyperlink>
        </w:p>
        <w:p>
          <w:pPr>
            <w:pStyle w:val="TOC2"/>
            <w:tabs>
              <w:tab w:val="clear" w:pos="11957"/>
              <w:tab w:val="right" w:pos="10309" w:leader="dot"/>
            </w:tabs>
            <w:rPr/>
          </w:pPr>
          <w:hyperlink w:anchor="__RefHeading___Toc6932_2150751134">
            <w:r>
              <w:rPr>
                <w:webHidden/>
                <w:rStyle w:val="IndexLink"/>
              </w:rPr>
              <w:t>13.3 Flow Clustering</w:t>
              <w:tab/>
              <w:t>45</w:t>
            </w:r>
          </w:hyperlink>
        </w:p>
        <w:p>
          <w:pPr>
            <w:pStyle w:val="TOC2"/>
            <w:tabs>
              <w:tab w:val="clear" w:pos="11957"/>
              <w:tab w:val="right" w:pos="10309" w:leader="dot"/>
            </w:tabs>
            <w:rPr/>
          </w:pPr>
          <w:hyperlink w:anchor="__RefHeading___Toc6934_2150751134">
            <w:r>
              <w:rPr>
                <w:webHidden/>
                <w:rStyle w:val="IndexLink"/>
              </w:rPr>
              <w:t>13.4 Volatility Lab</w:t>
              <w:tab/>
              <w:t>46</w:t>
            </w:r>
          </w:hyperlink>
        </w:p>
        <w:p>
          <w:pPr>
            <w:pStyle w:val="TOC2"/>
            <w:tabs>
              <w:tab w:val="clear" w:pos="11957"/>
              <w:tab w:val="right" w:pos="10309" w:leader="dot"/>
            </w:tabs>
            <w:rPr/>
          </w:pPr>
          <w:hyperlink w:anchor="__RefHeading___Toc6936_2150751134">
            <w:r>
              <w:rPr>
                <w:webHidden/>
                <w:rStyle w:val="IndexLink"/>
              </w:rPr>
              <w:t>13.5 Strategy Constructor</w:t>
              <w:tab/>
              <w:t>46</w:t>
            </w:r>
          </w:hyperlink>
        </w:p>
        <w:p>
          <w:pPr>
            <w:pStyle w:val="TOC2"/>
            <w:tabs>
              <w:tab w:val="clear" w:pos="11957"/>
              <w:tab w:val="right" w:pos="10309" w:leader="dot"/>
            </w:tabs>
            <w:rPr/>
          </w:pPr>
          <w:hyperlink w:anchor="__RefHeading___Toc6938_2150751134">
            <w:r>
              <w:rPr>
                <w:webHidden/>
                <w:rStyle w:val="IndexLink"/>
              </w:rPr>
              <w:t>13.6 Trade Quality Score</w:t>
              <w:tab/>
              <w:t>46</w:t>
            </w:r>
          </w:hyperlink>
        </w:p>
        <w:p>
          <w:pPr>
            <w:pStyle w:val="TOC2"/>
            <w:tabs>
              <w:tab w:val="clear" w:pos="11957"/>
              <w:tab w:val="right" w:pos="10309" w:leader="dot"/>
            </w:tabs>
            <w:rPr/>
          </w:pPr>
          <w:hyperlink w:anchor="__RefHeading___Toc6940_2150751134">
            <w:r>
              <w:rPr>
                <w:webHidden/>
                <w:rStyle w:val="IndexLink"/>
              </w:rPr>
              <w:t>13.7 Dealer Exposure</w:t>
              <w:tab/>
              <w:t>47</w:t>
            </w:r>
          </w:hyperlink>
        </w:p>
        <w:p>
          <w:pPr>
            <w:pStyle w:val="TOC1"/>
            <w:tabs>
              <w:tab w:val="clear" w:pos="12240"/>
              <w:tab w:val="right" w:pos="10309" w:leader="dot"/>
            </w:tabs>
            <w:rPr/>
          </w:pPr>
          <w:hyperlink w:anchor="__RefHeading___Toc6942_2150751134">
            <w:r>
              <w:rPr>
                <w:webHidden/>
                <w:rStyle w:val="IndexLink"/>
              </w:rPr>
              <w:t>14. Institutional and Regulatory Intelligence</w:t>
              <w:tab/>
              <w:t>48</w:t>
            </w:r>
          </w:hyperlink>
        </w:p>
        <w:p>
          <w:pPr>
            <w:pStyle w:val="TOC2"/>
            <w:tabs>
              <w:tab w:val="clear" w:pos="11957"/>
              <w:tab w:val="right" w:pos="10309" w:leader="dot"/>
            </w:tabs>
            <w:rPr/>
          </w:pPr>
          <w:hyperlink w:anchor="__RefHeading___Toc6944_2150751134">
            <w:r>
              <w:rPr>
                <w:webHidden/>
                <w:rStyle w:val="IndexLink"/>
              </w:rPr>
              <w:t>14.1 13F Intelligence</w:t>
              <w:tab/>
              <w:t>48</w:t>
            </w:r>
          </w:hyperlink>
        </w:p>
        <w:p>
          <w:pPr>
            <w:pStyle w:val="TOC2"/>
            <w:tabs>
              <w:tab w:val="clear" w:pos="11957"/>
              <w:tab w:val="right" w:pos="10309" w:leader="dot"/>
            </w:tabs>
            <w:rPr/>
          </w:pPr>
          <w:hyperlink w:anchor="__RefHeading___Toc6946_2150751134">
            <w:r>
              <w:rPr>
                <w:webHidden/>
                <w:rStyle w:val="IndexLink"/>
              </w:rPr>
              <w:t>14.2 Ownership Intelligence</w:t>
              <w:tab/>
              <w:t>48</w:t>
            </w:r>
          </w:hyperlink>
        </w:p>
        <w:p>
          <w:pPr>
            <w:pStyle w:val="TOC2"/>
            <w:tabs>
              <w:tab w:val="clear" w:pos="11957"/>
              <w:tab w:val="right" w:pos="10309" w:leader="dot"/>
            </w:tabs>
            <w:rPr/>
          </w:pPr>
          <w:hyperlink w:anchor="__RefHeading___Toc6948_2150751134">
            <w:r>
              <w:rPr>
                <w:webHidden/>
                <w:rStyle w:val="IndexLink"/>
              </w:rPr>
              <w:t>14.3 Insider Intelligence</w:t>
              <w:tab/>
              <w:t>48</w:t>
            </w:r>
          </w:hyperlink>
        </w:p>
        <w:p>
          <w:pPr>
            <w:pStyle w:val="TOC2"/>
            <w:tabs>
              <w:tab w:val="clear" w:pos="11957"/>
              <w:tab w:val="right" w:pos="10309" w:leader="dot"/>
            </w:tabs>
            <w:rPr/>
          </w:pPr>
          <w:hyperlink w:anchor="__RefHeading___Toc6950_2150751134">
            <w:r>
              <w:rPr>
                <w:webHidden/>
                <w:rStyle w:val="IndexLink"/>
              </w:rPr>
              <w:t>14.4 Material Event Intelligence</w:t>
              <w:tab/>
              <w:t>48</w:t>
            </w:r>
          </w:hyperlink>
        </w:p>
        <w:p>
          <w:pPr>
            <w:pStyle w:val="TOC2"/>
            <w:tabs>
              <w:tab w:val="clear" w:pos="11957"/>
              <w:tab w:val="right" w:pos="10309" w:leader="dot"/>
            </w:tabs>
            <w:rPr/>
          </w:pPr>
          <w:hyperlink w:anchor="__RefHeading___Toc6952_2150751134">
            <w:r>
              <w:rPr>
                <w:webHidden/>
                <w:rStyle w:val="IndexLink"/>
              </w:rPr>
              <w:t>14.5 Institutional Relationship Graph</w:t>
              <w:tab/>
              <w:t>49</w:t>
            </w:r>
          </w:hyperlink>
        </w:p>
        <w:p>
          <w:pPr>
            <w:pStyle w:val="TOC1"/>
            <w:tabs>
              <w:tab w:val="clear" w:pos="12240"/>
              <w:tab w:val="right" w:pos="10309" w:leader="dot"/>
            </w:tabs>
            <w:rPr/>
          </w:pPr>
          <w:hyperlink w:anchor="__RefHeading___Toc6954_2150751134">
            <w:r>
              <w:rPr>
                <w:webHidden/>
                <w:rStyle w:val="IndexLink"/>
              </w:rPr>
              <w:t>15. Crypto Intelligence</w:t>
              <w:tab/>
              <w:t>50</w:t>
            </w:r>
          </w:hyperlink>
        </w:p>
        <w:p>
          <w:pPr>
            <w:pStyle w:val="TOC2"/>
            <w:tabs>
              <w:tab w:val="clear" w:pos="11957"/>
              <w:tab w:val="right" w:pos="10309" w:leader="dot"/>
            </w:tabs>
            <w:rPr/>
          </w:pPr>
          <w:hyperlink w:anchor="__RefHeading___Toc6956_2150751134">
            <w:r>
              <w:rPr>
                <w:webHidden/>
                <w:rStyle w:val="IndexLink"/>
              </w:rPr>
              <w:t>15.1 Crypto Market Command</w:t>
              <w:tab/>
              <w:t>50</w:t>
            </w:r>
          </w:hyperlink>
        </w:p>
        <w:p>
          <w:pPr>
            <w:pStyle w:val="TOC2"/>
            <w:tabs>
              <w:tab w:val="clear" w:pos="11957"/>
              <w:tab w:val="right" w:pos="10309" w:leader="dot"/>
            </w:tabs>
            <w:rPr/>
          </w:pPr>
          <w:hyperlink w:anchor="__RefHeading___Toc6958_2150751134">
            <w:r>
              <w:rPr>
                <w:webHidden/>
                <w:rStyle w:val="IndexLink"/>
              </w:rPr>
              <w:t>15.2 Asset Profile</w:t>
              <w:tab/>
              <w:t>50</w:t>
            </w:r>
          </w:hyperlink>
        </w:p>
        <w:p>
          <w:pPr>
            <w:pStyle w:val="TOC2"/>
            <w:tabs>
              <w:tab w:val="clear" w:pos="11957"/>
              <w:tab w:val="right" w:pos="10309" w:leader="dot"/>
            </w:tabs>
            <w:rPr/>
          </w:pPr>
          <w:hyperlink w:anchor="__RefHeading___Toc6960_2150751134">
            <w:r>
              <w:rPr>
                <w:webHidden/>
                <w:rStyle w:val="IndexLink"/>
              </w:rPr>
              <w:t>15.3 Category and Narrative Explorer</w:t>
              <w:tab/>
              <w:t>50</w:t>
            </w:r>
          </w:hyperlink>
        </w:p>
        <w:p>
          <w:pPr>
            <w:pStyle w:val="TOC2"/>
            <w:tabs>
              <w:tab w:val="clear" w:pos="11957"/>
              <w:tab w:val="right" w:pos="10309" w:leader="dot"/>
            </w:tabs>
            <w:rPr/>
          </w:pPr>
          <w:hyperlink w:anchor="__RefHeading___Toc6962_2150751134">
            <w:r>
              <w:rPr>
                <w:webHidden/>
                <w:rStyle w:val="IndexLink"/>
              </w:rPr>
              <w:t>15.4 Exchange Explorer</w:t>
              <w:tab/>
              <w:t>50</w:t>
            </w:r>
          </w:hyperlink>
        </w:p>
        <w:p>
          <w:pPr>
            <w:pStyle w:val="TOC2"/>
            <w:tabs>
              <w:tab w:val="clear" w:pos="11957"/>
              <w:tab w:val="right" w:pos="10309" w:leader="dot"/>
            </w:tabs>
            <w:rPr/>
          </w:pPr>
          <w:hyperlink w:anchor="__RefHeading___Toc6964_2150751134">
            <w:r>
              <w:rPr>
                <w:webHidden/>
                <w:rStyle w:val="IndexLink"/>
              </w:rPr>
              <w:t>15.5 Exchange-Native Extensions</w:t>
              <w:tab/>
              <w:t>51</w:t>
            </w:r>
          </w:hyperlink>
        </w:p>
        <w:p>
          <w:pPr>
            <w:pStyle w:val="TOC2"/>
            <w:tabs>
              <w:tab w:val="clear" w:pos="11957"/>
              <w:tab w:val="right" w:pos="10309" w:leader="dot"/>
            </w:tabs>
            <w:rPr/>
          </w:pPr>
          <w:hyperlink w:anchor="__RefHeading___Toc6966_2150751134">
            <w:r>
              <w:rPr>
                <w:webHidden/>
                <w:rStyle w:val="IndexLink"/>
              </w:rPr>
              <w:t>15.6 Crypto Risk Engine</w:t>
              <w:tab/>
              <w:t>51</w:t>
            </w:r>
          </w:hyperlink>
        </w:p>
        <w:p>
          <w:pPr>
            <w:pStyle w:val="TOC1"/>
            <w:tabs>
              <w:tab w:val="clear" w:pos="12240"/>
              <w:tab w:val="right" w:pos="10309" w:leader="dot"/>
            </w:tabs>
            <w:rPr/>
          </w:pPr>
          <w:hyperlink w:anchor="__RefHeading___Toc6968_2150751134">
            <w:r>
              <w:rPr>
                <w:webHidden/>
                <w:rStyle w:val="IndexLink"/>
              </w:rPr>
              <w:t>16. AI and Agentic Intelligence</w:t>
              <w:tab/>
              <w:t>52</w:t>
            </w:r>
          </w:hyperlink>
        </w:p>
        <w:p>
          <w:pPr>
            <w:pStyle w:val="TOC2"/>
            <w:tabs>
              <w:tab w:val="clear" w:pos="11957"/>
              <w:tab w:val="right" w:pos="10309" w:leader="dot"/>
            </w:tabs>
            <w:rPr/>
          </w:pPr>
          <w:hyperlink w:anchor="__RefHeading___Toc6970_2150751134">
            <w:r>
              <w:rPr>
                <w:webHidden/>
                <w:rStyle w:val="IndexLink"/>
              </w:rPr>
              <w:t>16.1 AI Analyst</w:t>
              <w:tab/>
              <w:t>52</w:t>
            </w:r>
          </w:hyperlink>
        </w:p>
        <w:p>
          <w:pPr>
            <w:pStyle w:val="TOC2"/>
            <w:tabs>
              <w:tab w:val="clear" w:pos="11957"/>
              <w:tab w:val="right" w:pos="10309" w:leader="dot"/>
            </w:tabs>
            <w:rPr/>
          </w:pPr>
          <w:hyperlink w:anchor="__RefHeading___Toc6972_2150751134">
            <w:r>
              <w:rPr>
                <w:webHidden/>
                <w:rStyle w:val="IndexLink"/>
              </w:rPr>
              <w:t>16.2 Tool Architecture</w:t>
              <w:tab/>
              <w:t>52</w:t>
            </w:r>
          </w:hyperlink>
        </w:p>
        <w:p>
          <w:pPr>
            <w:pStyle w:val="TOC2"/>
            <w:tabs>
              <w:tab w:val="clear" w:pos="11957"/>
              <w:tab w:val="right" w:pos="10309" w:leader="dot"/>
            </w:tabs>
            <w:rPr/>
          </w:pPr>
          <w:hyperlink w:anchor="__RefHeading___Toc6974_2150751134">
            <w:r>
              <w:rPr>
                <w:webHidden/>
                <w:rStyle w:val="IndexLink"/>
              </w:rPr>
              <w:t>16.3 MCP Integration</w:t>
              <w:tab/>
              <w:t>52</w:t>
            </w:r>
          </w:hyperlink>
        </w:p>
        <w:p>
          <w:pPr>
            <w:pStyle w:val="TOC2"/>
            <w:tabs>
              <w:tab w:val="clear" w:pos="11957"/>
              <w:tab w:val="right" w:pos="10309" w:leader="dot"/>
            </w:tabs>
            <w:rPr/>
          </w:pPr>
          <w:hyperlink w:anchor="__RefHeading___Toc6976_2150751134">
            <w:r>
              <w:rPr>
                <w:webHidden/>
                <w:rStyle w:val="IndexLink"/>
              </w:rPr>
              <w:t>16.4 Retrieval and Knowledge</w:t>
              <w:tab/>
              <w:t>52</w:t>
            </w:r>
          </w:hyperlink>
        </w:p>
        <w:p>
          <w:pPr>
            <w:pStyle w:val="TOC2"/>
            <w:tabs>
              <w:tab w:val="clear" w:pos="11957"/>
              <w:tab w:val="right" w:pos="10309" w:leader="dot"/>
            </w:tabs>
            <w:rPr/>
          </w:pPr>
          <w:hyperlink w:anchor="__RefHeading___Toc6978_2150751134">
            <w:r>
              <w:rPr>
                <w:webHidden/>
                <w:rStyle w:val="IndexLink"/>
              </w:rPr>
              <w:t>16.5 AI Output Contract</w:t>
              <w:tab/>
              <w:t>53</w:t>
            </w:r>
          </w:hyperlink>
        </w:p>
        <w:p>
          <w:pPr>
            <w:pStyle w:val="TOC1"/>
            <w:tabs>
              <w:tab w:val="clear" w:pos="12240"/>
              <w:tab w:val="right" w:pos="10309" w:leader="dot"/>
            </w:tabs>
            <w:rPr/>
          </w:pPr>
          <w:hyperlink w:anchor="__RefHeading___Toc6980_2150751134">
            <w:r>
              <w:rPr>
                <w:webHidden/>
                <w:rStyle w:val="IndexLink"/>
              </w:rPr>
              <w:t>17. Portfolio, Risk, Journal, and Execution</w:t>
              <w:tab/>
              <w:t>54</w:t>
            </w:r>
          </w:hyperlink>
        </w:p>
        <w:p>
          <w:pPr>
            <w:pStyle w:val="TOC2"/>
            <w:tabs>
              <w:tab w:val="clear" w:pos="11957"/>
              <w:tab w:val="right" w:pos="10309" w:leader="dot"/>
            </w:tabs>
            <w:rPr/>
          </w:pPr>
          <w:hyperlink w:anchor="__RefHeading___Toc6982_2150751134">
            <w:r>
              <w:rPr>
                <w:webHidden/>
                <w:rStyle w:val="IndexLink"/>
              </w:rPr>
              <w:t>17.1 Portfolio Model</w:t>
              <w:tab/>
              <w:t>54</w:t>
            </w:r>
          </w:hyperlink>
        </w:p>
        <w:p>
          <w:pPr>
            <w:pStyle w:val="TOC2"/>
            <w:tabs>
              <w:tab w:val="clear" w:pos="11957"/>
              <w:tab w:val="right" w:pos="10309" w:leader="dot"/>
            </w:tabs>
            <w:rPr/>
          </w:pPr>
          <w:hyperlink w:anchor="__RefHeading___Toc6984_2150751134">
            <w:r>
              <w:rPr>
                <w:webHidden/>
                <w:rStyle w:val="IndexLink"/>
              </w:rPr>
              <w:t>17.2 Risk Measures</w:t>
              <w:tab/>
              <w:t>54</w:t>
            </w:r>
          </w:hyperlink>
        </w:p>
        <w:p>
          <w:pPr>
            <w:pStyle w:val="TOC2"/>
            <w:tabs>
              <w:tab w:val="clear" w:pos="11957"/>
              <w:tab w:val="right" w:pos="10309" w:leader="dot"/>
            </w:tabs>
            <w:rPr/>
          </w:pPr>
          <w:hyperlink w:anchor="__RefHeading___Toc6986_2150751134">
            <w:r>
              <w:rPr>
                <w:webHidden/>
                <w:rStyle w:val="IndexLink"/>
              </w:rPr>
              <w:t>17.3 Pre-Trade Checks</w:t>
              <w:tab/>
              <w:t>54</w:t>
            </w:r>
          </w:hyperlink>
        </w:p>
        <w:p>
          <w:pPr>
            <w:pStyle w:val="TOC2"/>
            <w:tabs>
              <w:tab w:val="clear" w:pos="11957"/>
              <w:tab w:val="right" w:pos="10309" w:leader="dot"/>
            </w:tabs>
            <w:rPr/>
          </w:pPr>
          <w:hyperlink w:anchor="__RefHeading___Toc6988_2150751134">
            <w:r>
              <w:rPr>
                <w:webHidden/>
                <w:rStyle w:val="IndexLink"/>
              </w:rPr>
              <w:t>17.4 Journal</w:t>
              <w:tab/>
              <w:t>55</w:t>
            </w:r>
          </w:hyperlink>
        </w:p>
        <w:p>
          <w:pPr>
            <w:pStyle w:val="TOC2"/>
            <w:tabs>
              <w:tab w:val="clear" w:pos="11957"/>
              <w:tab w:val="right" w:pos="10309" w:leader="dot"/>
            </w:tabs>
            <w:rPr/>
          </w:pPr>
          <w:hyperlink w:anchor="__RefHeading___Toc6990_2150751134">
            <w:r>
              <w:rPr>
                <w:webHidden/>
                <w:rStyle w:val="IndexLink"/>
              </w:rPr>
              <w:t>17.5 Execution Roadmap</w:t>
              <w:tab/>
              <w:t>55</w:t>
            </w:r>
          </w:hyperlink>
        </w:p>
        <w:p>
          <w:pPr>
            <w:pStyle w:val="TOC1"/>
            <w:tabs>
              <w:tab w:val="clear" w:pos="12240"/>
              <w:tab w:val="right" w:pos="10309" w:leader="dot"/>
            </w:tabs>
            <w:rPr/>
          </w:pPr>
          <w:hyperlink w:anchor="__RefHeading___Toc6992_2150751134">
            <w:r>
              <w:rPr>
                <w:webHidden/>
                <w:rStyle w:val="IndexLink"/>
              </w:rPr>
              <w:t>18. System Architecture</w:t>
              <w:tab/>
              <w:t>57</w:t>
            </w:r>
          </w:hyperlink>
        </w:p>
        <w:p>
          <w:pPr>
            <w:pStyle w:val="TOC2"/>
            <w:tabs>
              <w:tab w:val="clear" w:pos="11957"/>
              <w:tab w:val="right" w:pos="10309" w:leader="dot"/>
            </w:tabs>
            <w:rPr/>
          </w:pPr>
          <w:hyperlink w:anchor="__RefHeading___Toc6994_2150751134">
            <w:r>
              <w:rPr>
                <w:webHidden/>
                <w:rStyle w:val="IndexLink"/>
              </w:rPr>
              <w:t>18.1 Recommended Architecture Style</w:t>
              <w:tab/>
              <w:t>57</w:t>
            </w:r>
          </w:hyperlink>
        </w:p>
        <w:p>
          <w:pPr>
            <w:pStyle w:val="TOC2"/>
            <w:tabs>
              <w:tab w:val="clear" w:pos="11957"/>
              <w:tab w:val="right" w:pos="10309" w:leader="dot"/>
            </w:tabs>
            <w:rPr/>
          </w:pPr>
          <w:hyperlink w:anchor="__RefHeading___Toc6996_2150751134">
            <w:r>
              <w:rPr>
                <w:webHidden/>
                <w:rStyle w:val="IndexLink"/>
              </w:rPr>
              <w:t>18.2 High-Level Components</w:t>
              <w:tab/>
              <w:t>58</w:t>
            </w:r>
          </w:hyperlink>
        </w:p>
        <w:p>
          <w:pPr>
            <w:pStyle w:val="TOC2"/>
            <w:tabs>
              <w:tab w:val="clear" w:pos="11957"/>
              <w:tab w:val="right" w:pos="10309" w:leader="dot"/>
            </w:tabs>
            <w:rPr/>
          </w:pPr>
          <w:hyperlink w:anchor="__RefHeading___Toc6998_2150751134">
            <w:r>
              <w:rPr>
                <w:webHidden/>
                <w:rStyle w:val="IndexLink"/>
              </w:rPr>
              <w:t>18.3 Rust Responsibilities</w:t>
              <w:tab/>
              <w:t>58</w:t>
            </w:r>
          </w:hyperlink>
        </w:p>
        <w:p>
          <w:pPr>
            <w:pStyle w:val="TOC2"/>
            <w:tabs>
              <w:tab w:val="clear" w:pos="11957"/>
              <w:tab w:val="right" w:pos="10309" w:leader="dot"/>
            </w:tabs>
            <w:rPr/>
          </w:pPr>
          <w:hyperlink w:anchor="__RefHeading___Toc7000_2150751134">
            <w:r>
              <w:rPr>
                <w:webHidden/>
                <w:rStyle w:val="IndexLink"/>
              </w:rPr>
              <w:t>18.4 TypeScript/Svelte Responsibilities</w:t>
              <w:tab/>
              <w:t>58</w:t>
            </w:r>
          </w:hyperlink>
        </w:p>
        <w:p>
          <w:pPr>
            <w:pStyle w:val="TOC2"/>
            <w:tabs>
              <w:tab w:val="clear" w:pos="11957"/>
              <w:tab w:val="right" w:pos="10309" w:leader="dot"/>
            </w:tabs>
            <w:rPr/>
          </w:pPr>
          <w:hyperlink w:anchor="__RefHeading___Toc7002_2150751134">
            <w:r>
              <w:rPr>
                <w:webHidden/>
                <w:rStyle w:val="IndexLink"/>
              </w:rPr>
              <w:t>18.5 wgpu Responsibilities</w:t>
              <w:tab/>
              <w:t>58</w:t>
            </w:r>
          </w:hyperlink>
        </w:p>
        <w:p>
          <w:pPr>
            <w:pStyle w:val="TOC1"/>
            <w:tabs>
              <w:tab w:val="clear" w:pos="12240"/>
              <w:tab w:val="right" w:pos="10309" w:leader="dot"/>
            </w:tabs>
            <w:rPr/>
          </w:pPr>
          <w:hyperlink w:anchor="__RefHeading___Toc7004_2150751134">
            <w:r>
              <w:rPr>
                <w:webHidden/>
                <w:rStyle w:val="IndexLink"/>
              </w:rPr>
              <w:t>19. Repository and Workspace Architecture</w:t>
              <w:tab/>
              <w:t>60</w:t>
            </w:r>
          </w:hyperlink>
        </w:p>
        <w:p>
          <w:pPr>
            <w:pStyle w:val="TOC1"/>
            <w:tabs>
              <w:tab w:val="clear" w:pos="12240"/>
              <w:tab w:val="right" w:pos="10309" w:leader="dot"/>
            </w:tabs>
            <w:rPr/>
          </w:pPr>
          <w:hyperlink w:anchor="__RefHeading___Toc7006_2150751134">
            <w:r>
              <w:rPr>
                <w:webHidden/>
                <w:rStyle w:val="IndexLink"/>
              </w:rPr>
              <w:t>20. Core Domain Model</w:t>
              <w:tab/>
              <w:t>61</w:t>
            </w:r>
          </w:hyperlink>
        </w:p>
        <w:p>
          <w:pPr>
            <w:pStyle w:val="TOC2"/>
            <w:tabs>
              <w:tab w:val="clear" w:pos="11957"/>
              <w:tab w:val="right" w:pos="10309" w:leader="dot"/>
            </w:tabs>
            <w:rPr/>
          </w:pPr>
          <w:hyperlink w:anchor="__RefHeading___Toc7008_2150751134">
            <w:r>
              <w:rPr>
                <w:webHidden/>
                <w:rStyle w:val="IndexLink"/>
              </w:rPr>
              <w:t>20.1 Key Aggregates</w:t>
              <w:tab/>
              <w:t>61</w:t>
            </w:r>
          </w:hyperlink>
        </w:p>
        <w:p>
          <w:pPr>
            <w:pStyle w:val="TOC2"/>
            <w:tabs>
              <w:tab w:val="clear" w:pos="11957"/>
              <w:tab w:val="right" w:pos="10309" w:leader="dot"/>
            </w:tabs>
            <w:rPr/>
          </w:pPr>
          <w:hyperlink w:anchor="__RefHeading___Toc7010_2150751134">
            <w:r>
              <w:rPr>
                <w:webHidden/>
                <w:rStyle w:val="IndexLink"/>
              </w:rPr>
              <w:t>20.2 Opportunity Aggregate</w:t>
              <w:tab/>
              <w:t>61</w:t>
            </w:r>
          </w:hyperlink>
        </w:p>
        <w:p>
          <w:pPr>
            <w:pStyle w:val="TOC2"/>
            <w:tabs>
              <w:tab w:val="clear" w:pos="11957"/>
              <w:tab w:val="right" w:pos="10309" w:leader="dot"/>
            </w:tabs>
            <w:rPr/>
          </w:pPr>
          <w:hyperlink w:anchor="__RefHeading___Toc7012_2150751134">
            <w:r>
              <w:rPr>
                <w:webHidden/>
                <w:rStyle w:val="IndexLink"/>
              </w:rPr>
              <w:t>20.3 Immutable Evidence</w:t>
              <w:tab/>
              <w:t>61</w:t>
            </w:r>
          </w:hyperlink>
        </w:p>
        <w:p>
          <w:pPr>
            <w:pStyle w:val="TOC1"/>
            <w:tabs>
              <w:tab w:val="clear" w:pos="12240"/>
              <w:tab w:val="right" w:pos="10309" w:leader="dot"/>
            </w:tabs>
            <w:rPr/>
          </w:pPr>
          <w:hyperlink w:anchor="__RefHeading___Toc7014_2150751134">
            <w:r>
              <w:rPr>
                <w:webHidden/>
                <w:rStyle w:val="IndexLink"/>
              </w:rPr>
              <w:t>21. Storage and Data Lifecycle</w:t>
              <w:tab/>
              <w:t>62</w:t>
            </w:r>
          </w:hyperlink>
        </w:p>
        <w:p>
          <w:pPr>
            <w:pStyle w:val="TOC2"/>
            <w:tabs>
              <w:tab w:val="clear" w:pos="11957"/>
              <w:tab w:val="right" w:pos="10309" w:leader="dot"/>
            </w:tabs>
            <w:rPr/>
          </w:pPr>
          <w:hyperlink w:anchor="__RefHeading___Toc7016_2150751134">
            <w:r>
              <w:rPr>
                <w:webHidden/>
                <w:rStyle w:val="IndexLink"/>
              </w:rPr>
              <w:t>21.1 Storage Roles</w:t>
              <w:tab/>
              <w:t>62</w:t>
            </w:r>
          </w:hyperlink>
        </w:p>
        <w:p>
          <w:pPr>
            <w:pStyle w:val="TOC3"/>
            <w:tabs>
              <w:tab w:val="clear" w:pos="11673"/>
              <w:tab w:val="right" w:pos="10309" w:leader="dot"/>
            </w:tabs>
            <w:rPr/>
          </w:pPr>
          <w:hyperlink w:anchor="__RefHeading___Toc7018_2150751134">
            <w:r>
              <w:rPr>
                <w:webHidden/>
                <w:rStyle w:val="IndexLink"/>
              </w:rPr>
              <w:t>PostgreSQL</w:t>
              <w:tab/>
              <w:t>62</w:t>
            </w:r>
          </w:hyperlink>
        </w:p>
        <w:p>
          <w:pPr>
            <w:pStyle w:val="TOC3"/>
            <w:tabs>
              <w:tab w:val="clear" w:pos="11673"/>
              <w:tab w:val="right" w:pos="10309" w:leader="dot"/>
            </w:tabs>
            <w:rPr/>
          </w:pPr>
          <w:hyperlink w:anchor="__RefHeading___Toc7020_2150751134">
            <w:r>
              <w:rPr>
                <w:webHidden/>
                <w:rStyle w:val="IndexLink"/>
              </w:rPr>
              <w:t>ClickHouse</w:t>
              <w:tab/>
              <w:t>62</w:t>
            </w:r>
          </w:hyperlink>
        </w:p>
        <w:p>
          <w:pPr>
            <w:pStyle w:val="TOC3"/>
            <w:tabs>
              <w:tab w:val="clear" w:pos="11673"/>
              <w:tab w:val="right" w:pos="10309" w:leader="dot"/>
            </w:tabs>
            <w:rPr/>
          </w:pPr>
          <w:hyperlink w:anchor="__RefHeading___Toc7022_2150751134">
            <w:r>
              <w:rPr>
                <w:webHidden/>
                <w:rStyle w:val="IndexLink"/>
              </w:rPr>
              <w:t>DuckDB</w:t>
              <w:tab/>
              <w:t>62</w:t>
            </w:r>
          </w:hyperlink>
        </w:p>
        <w:p>
          <w:pPr>
            <w:pStyle w:val="TOC3"/>
            <w:tabs>
              <w:tab w:val="clear" w:pos="11673"/>
              <w:tab w:val="right" w:pos="10309" w:leader="dot"/>
            </w:tabs>
            <w:rPr/>
          </w:pPr>
          <w:hyperlink w:anchor="__RefHeading___Toc7024_2150751134">
            <w:r>
              <w:rPr>
                <w:webHidden/>
                <w:rStyle w:val="IndexLink"/>
              </w:rPr>
              <w:t>SQLite</w:t>
              <w:tab/>
              <w:t>62</w:t>
            </w:r>
          </w:hyperlink>
        </w:p>
        <w:p>
          <w:pPr>
            <w:pStyle w:val="TOC3"/>
            <w:tabs>
              <w:tab w:val="clear" w:pos="11673"/>
              <w:tab w:val="right" w:pos="10309" w:leader="dot"/>
            </w:tabs>
            <w:rPr/>
          </w:pPr>
          <w:hyperlink w:anchor="__RefHeading___Toc7026_2150751134">
            <w:r>
              <w:rPr>
                <w:webHidden/>
                <w:rStyle w:val="IndexLink"/>
              </w:rPr>
              <w:t>Arrow/Parquet</w:t>
              <w:tab/>
              <w:t>62</w:t>
            </w:r>
          </w:hyperlink>
        </w:p>
        <w:p>
          <w:pPr>
            <w:pStyle w:val="TOC3"/>
            <w:tabs>
              <w:tab w:val="clear" w:pos="11673"/>
              <w:tab w:val="right" w:pos="10309" w:leader="dot"/>
            </w:tabs>
            <w:rPr/>
          </w:pPr>
          <w:hyperlink w:anchor="__RefHeading___Toc7028_2150751134">
            <w:r>
              <w:rPr>
                <w:webHidden/>
                <w:rStyle w:val="IndexLink"/>
              </w:rPr>
              <w:t>Object Storage</w:t>
              <w:tab/>
              <w:t>62</w:t>
            </w:r>
          </w:hyperlink>
        </w:p>
        <w:p>
          <w:pPr>
            <w:pStyle w:val="TOC2"/>
            <w:tabs>
              <w:tab w:val="clear" w:pos="11957"/>
              <w:tab w:val="right" w:pos="10309" w:leader="dot"/>
            </w:tabs>
            <w:rPr/>
          </w:pPr>
          <w:hyperlink w:anchor="__RefHeading___Toc7030_2150751134">
            <w:r>
              <w:rPr>
                <w:webHidden/>
                <w:rStyle w:val="IndexLink"/>
              </w:rPr>
              <w:t>21.2 Retention Classes</w:t>
              <w:tab/>
              <w:t>63</w:t>
            </w:r>
          </w:hyperlink>
        </w:p>
        <w:p>
          <w:pPr>
            <w:pStyle w:val="TOC2"/>
            <w:tabs>
              <w:tab w:val="clear" w:pos="11957"/>
              <w:tab w:val="right" w:pos="10309" w:leader="dot"/>
            </w:tabs>
            <w:rPr/>
          </w:pPr>
          <w:hyperlink w:anchor="__RefHeading___Toc7032_2150751134">
            <w:r>
              <w:rPr>
                <w:webHidden/>
                <w:rStyle w:val="IndexLink"/>
              </w:rPr>
              <w:t>21.3 Local Encryption</w:t>
              <w:tab/>
              <w:t>63</w:t>
            </w:r>
          </w:hyperlink>
        </w:p>
        <w:p>
          <w:pPr>
            <w:pStyle w:val="TOC1"/>
            <w:tabs>
              <w:tab w:val="clear" w:pos="12240"/>
              <w:tab w:val="right" w:pos="10309" w:leader="dot"/>
            </w:tabs>
            <w:rPr/>
          </w:pPr>
          <w:hyperlink w:anchor="__RefHeading___Toc7034_2150751134">
            <w:r>
              <w:rPr>
                <w:webHidden/>
                <w:rStyle w:val="IndexLink"/>
              </w:rPr>
              <w:t>22. Real-Time Streaming and Event Architecture</w:t>
              <w:tab/>
              <w:t>64</w:t>
            </w:r>
          </w:hyperlink>
        </w:p>
        <w:p>
          <w:pPr>
            <w:pStyle w:val="TOC2"/>
            <w:tabs>
              <w:tab w:val="clear" w:pos="11957"/>
              <w:tab w:val="right" w:pos="10309" w:leader="dot"/>
            </w:tabs>
            <w:rPr/>
          </w:pPr>
          <w:hyperlink w:anchor="__RefHeading___Toc7036_2150751134">
            <w:r>
              <w:rPr>
                <w:webHidden/>
                <w:rStyle w:val="IndexLink"/>
              </w:rPr>
              <w:t>22.1 Event Bus</w:t>
              <w:tab/>
              <w:t>64</w:t>
            </w:r>
          </w:hyperlink>
        </w:p>
        <w:p>
          <w:pPr>
            <w:pStyle w:val="TOC2"/>
            <w:tabs>
              <w:tab w:val="clear" w:pos="11957"/>
              <w:tab w:val="right" w:pos="10309" w:leader="dot"/>
            </w:tabs>
            <w:rPr/>
          </w:pPr>
          <w:hyperlink w:anchor="__RefHeading___Toc7038_2150751134">
            <w:r>
              <w:rPr>
                <w:webHidden/>
                <w:rStyle w:val="IndexLink"/>
              </w:rPr>
              <w:t>22.2 Event Envelope</w:t>
              <w:tab/>
              <w:t>64</w:t>
            </w:r>
          </w:hyperlink>
        </w:p>
        <w:p>
          <w:pPr>
            <w:pStyle w:val="TOC2"/>
            <w:tabs>
              <w:tab w:val="clear" w:pos="11957"/>
              <w:tab w:val="right" w:pos="10309" w:leader="dot"/>
            </w:tabs>
            <w:rPr/>
          </w:pPr>
          <w:hyperlink w:anchor="__RefHeading___Toc7040_2150751134">
            <w:r>
              <w:rPr>
                <w:webHidden/>
                <w:rStyle w:val="IndexLink"/>
              </w:rPr>
              <w:t>22.3 Reliability</w:t>
              <w:tab/>
              <w:t>64</w:t>
            </w:r>
          </w:hyperlink>
        </w:p>
        <w:p>
          <w:pPr>
            <w:pStyle w:val="TOC1"/>
            <w:tabs>
              <w:tab w:val="clear" w:pos="12240"/>
              <w:tab w:val="right" w:pos="10309" w:leader="dot"/>
            </w:tabs>
            <w:rPr/>
          </w:pPr>
          <w:hyperlink w:anchor="__RefHeading___Toc7042_2150751134">
            <w:r>
              <w:rPr>
                <w:webHidden/>
                <w:rStyle w:val="IndexLink"/>
              </w:rPr>
              <w:t>23. Security Architecture</w:t>
              <w:tab/>
              <w:t>66</w:t>
            </w:r>
          </w:hyperlink>
        </w:p>
        <w:p>
          <w:pPr>
            <w:pStyle w:val="TOC2"/>
            <w:tabs>
              <w:tab w:val="clear" w:pos="11957"/>
              <w:tab w:val="right" w:pos="10309" w:leader="dot"/>
            </w:tabs>
            <w:rPr/>
          </w:pPr>
          <w:hyperlink w:anchor="__RefHeading___Toc7044_2150751134">
            <w:r>
              <w:rPr>
                <w:webHidden/>
                <w:rStyle w:val="IndexLink"/>
              </w:rPr>
              <w:t>23.1 Threat Model Assets</w:t>
              <w:tab/>
              <w:t>66</w:t>
            </w:r>
          </w:hyperlink>
        </w:p>
        <w:p>
          <w:pPr>
            <w:pStyle w:val="TOC2"/>
            <w:tabs>
              <w:tab w:val="clear" w:pos="11957"/>
              <w:tab w:val="right" w:pos="10309" w:leader="dot"/>
            </w:tabs>
            <w:rPr/>
          </w:pPr>
          <w:hyperlink w:anchor="__RefHeading___Toc7046_2150751134">
            <w:r>
              <w:rPr>
                <w:webHidden/>
                <w:rStyle w:val="IndexLink"/>
              </w:rPr>
              <w:t>23.2 Primary Threats</w:t>
              <w:tab/>
              <w:t>67</w:t>
            </w:r>
          </w:hyperlink>
        </w:p>
        <w:p>
          <w:pPr>
            <w:pStyle w:val="TOC2"/>
            <w:tabs>
              <w:tab w:val="clear" w:pos="11957"/>
              <w:tab w:val="right" w:pos="10309" w:leader="dot"/>
            </w:tabs>
            <w:rPr/>
          </w:pPr>
          <w:hyperlink w:anchor="__RefHeading___Toc7048_2150751134">
            <w:r>
              <w:rPr>
                <w:webHidden/>
                <w:rStyle w:val="IndexLink"/>
              </w:rPr>
              <w:t>23.3 Authentication</w:t>
              <w:tab/>
              <w:t>67</w:t>
            </w:r>
          </w:hyperlink>
        </w:p>
        <w:p>
          <w:pPr>
            <w:pStyle w:val="TOC2"/>
            <w:tabs>
              <w:tab w:val="clear" w:pos="11957"/>
              <w:tab w:val="right" w:pos="10309" w:leader="dot"/>
            </w:tabs>
            <w:rPr/>
          </w:pPr>
          <w:hyperlink w:anchor="__RefHeading___Toc7050_2150751134">
            <w:r>
              <w:rPr>
                <w:webHidden/>
                <w:rStyle w:val="IndexLink"/>
              </w:rPr>
              <w:t>23.4 Authorization</w:t>
              <w:tab/>
              <w:t>67</w:t>
            </w:r>
          </w:hyperlink>
        </w:p>
        <w:p>
          <w:pPr>
            <w:pStyle w:val="TOC2"/>
            <w:tabs>
              <w:tab w:val="clear" w:pos="11957"/>
              <w:tab w:val="right" w:pos="10309" w:leader="dot"/>
            </w:tabs>
            <w:rPr/>
          </w:pPr>
          <w:hyperlink w:anchor="__RefHeading___Toc7052_2150751134">
            <w:r>
              <w:rPr>
                <w:webHidden/>
                <w:rStyle w:val="IndexLink"/>
              </w:rPr>
              <w:t>23.5 Tauri Security</w:t>
              <w:tab/>
              <w:t>67</w:t>
            </w:r>
          </w:hyperlink>
        </w:p>
        <w:p>
          <w:pPr>
            <w:pStyle w:val="TOC2"/>
            <w:tabs>
              <w:tab w:val="clear" w:pos="11957"/>
              <w:tab w:val="right" w:pos="10309" w:leader="dot"/>
            </w:tabs>
            <w:rPr/>
          </w:pPr>
          <w:hyperlink w:anchor="__RefHeading___Toc7054_2150751134">
            <w:r>
              <w:rPr>
                <w:webHidden/>
                <w:rStyle w:val="IndexLink"/>
              </w:rPr>
              <w:t>23.6 API Security</w:t>
              <w:tab/>
              <w:t>68</w:t>
            </w:r>
          </w:hyperlink>
        </w:p>
        <w:p>
          <w:pPr>
            <w:pStyle w:val="TOC2"/>
            <w:tabs>
              <w:tab w:val="clear" w:pos="11957"/>
              <w:tab w:val="right" w:pos="10309" w:leader="dot"/>
            </w:tabs>
            <w:rPr/>
          </w:pPr>
          <w:hyperlink w:anchor="__RefHeading___Toc7056_2150751134">
            <w:r>
              <w:rPr>
                <w:webHidden/>
                <w:rStyle w:val="IndexLink"/>
              </w:rPr>
              <w:t>23.7 Secret Management</w:t>
              <w:tab/>
              <w:t>68</w:t>
            </w:r>
          </w:hyperlink>
        </w:p>
        <w:p>
          <w:pPr>
            <w:pStyle w:val="TOC2"/>
            <w:tabs>
              <w:tab w:val="clear" w:pos="11957"/>
              <w:tab w:val="right" w:pos="10309" w:leader="dot"/>
            </w:tabs>
            <w:rPr/>
          </w:pPr>
          <w:hyperlink w:anchor="__RefHeading___Toc7058_2150751134">
            <w:r>
              <w:rPr>
                <w:webHidden/>
                <w:rStyle w:val="IndexLink"/>
              </w:rPr>
              <w:t>23.8 In-Memory Security</w:t>
              <w:tab/>
              <w:t>68</w:t>
            </w:r>
          </w:hyperlink>
        </w:p>
        <w:p>
          <w:pPr>
            <w:pStyle w:val="TOC2"/>
            <w:tabs>
              <w:tab w:val="clear" w:pos="11957"/>
              <w:tab w:val="right" w:pos="10309" w:leader="dot"/>
            </w:tabs>
            <w:rPr/>
          </w:pPr>
          <w:hyperlink w:anchor="__RefHeading___Toc7060_2150751134">
            <w:r>
              <w:rPr>
                <w:webHidden/>
                <w:rStyle w:val="IndexLink"/>
              </w:rPr>
              <w:t>23.9 Database Security</w:t>
              <w:tab/>
              <w:t>69</w:t>
            </w:r>
          </w:hyperlink>
        </w:p>
        <w:p>
          <w:pPr>
            <w:pStyle w:val="TOC2"/>
            <w:tabs>
              <w:tab w:val="clear" w:pos="11957"/>
              <w:tab w:val="right" w:pos="10309" w:leader="dot"/>
            </w:tabs>
            <w:rPr/>
          </w:pPr>
          <w:hyperlink w:anchor="__RefHeading___Toc7062_2150751134">
            <w:r>
              <w:rPr>
                <w:webHidden/>
                <w:rStyle w:val="IndexLink"/>
              </w:rPr>
              <w:t>23.10 Data Poisoning Defenses</w:t>
              <w:tab/>
              <w:t>69</w:t>
            </w:r>
          </w:hyperlink>
        </w:p>
        <w:p>
          <w:pPr>
            <w:pStyle w:val="TOC1"/>
            <w:tabs>
              <w:tab w:val="clear" w:pos="12240"/>
              <w:tab w:val="right" w:pos="10309" w:leader="dot"/>
            </w:tabs>
            <w:rPr/>
          </w:pPr>
          <w:hyperlink w:anchor="__RefHeading___Toc7064_2150751134">
            <w:r>
              <w:rPr>
                <w:webHidden/>
                <w:rStyle w:val="IndexLink"/>
              </w:rPr>
              <w:t>24. Post-Quantum and Cryptographic Agility Program</w:t>
              <w:tab/>
              <w:t>70</w:t>
            </w:r>
          </w:hyperlink>
        </w:p>
        <w:p>
          <w:pPr>
            <w:pStyle w:val="TOC2"/>
            <w:tabs>
              <w:tab w:val="clear" w:pos="11957"/>
              <w:tab w:val="right" w:pos="10309" w:leader="dot"/>
            </w:tabs>
            <w:rPr/>
          </w:pPr>
          <w:hyperlink w:anchor="__RefHeading___Toc7066_2150751134">
            <w:r>
              <w:rPr>
                <w:webHidden/>
                <w:rStyle w:val="IndexLink"/>
              </w:rPr>
              <w:t>24.1 Scope</w:t>
              <w:tab/>
              <w:t>70</w:t>
            </w:r>
          </w:hyperlink>
        </w:p>
        <w:p>
          <w:pPr>
            <w:pStyle w:val="TOC2"/>
            <w:tabs>
              <w:tab w:val="clear" w:pos="11957"/>
              <w:tab w:val="right" w:pos="10309" w:leader="dot"/>
            </w:tabs>
            <w:rPr/>
          </w:pPr>
          <w:hyperlink w:anchor="__RefHeading___Toc7068_2150751134">
            <w:r>
              <w:rPr>
                <w:webHidden/>
                <w:rStyle w:val="IndexLink"/>
              </w:rPr>
              <w:t>24.2 Approved Direction</w:t>
              <w:tab/>
              <w:t>70</w:t>
            </w:r>
          </w:hyperlink>
        </w:p>
        <w:p>
          <w:pPr>
            <w:pStyle w:val="TOC2"/>
            <w:tabs>
              <w:tab w:val="clear" w:pos="11957"/>
              <w:tab w:val="right" w:pos="10309" w:leader="dot"/>
            </w:tabs>
            <w:rPr/>
          </w:pPr>
          <w:hyperlink w:anchor="__RefHeading___Toc7070_2150751134">
            <w:r>
              <w:rPr>
                <w:webHidden/>
                <w:rStyle w:val="IndexLink"/>
              </w:rPr>
              <w:t>24.3 Migration Strategy</w:t>
              <w:tab/>
              <w:t>70</w:t>
            </w:r>
          </w:hyperlink>
        </w:p>
        <w:p>
          <w:pPr>
            <w:pStyle w:val="TOC3"/>
            <w:tabs>
              <w:tab w:val="clear" w:pos="11673"/>
              <w:tab w:val="right" w:pos="10309" w:leader="dot"/>
            </w:tabs>
            <w:rPr/>
          </w:pPr>
          <w:hyperlink w:anchor="__RefHeading___Toc7072_2150751134">
            <w:r>
              <w:rPr>
                <w:webHidden/>
                <w:rStyle w:val="IndexLink"/>
              </w:rPr>
              <w:t>Near Term</w:t>
              <w:tab/>
              <w:t>70</w:t>
            </w:r>
          </w:hyperlink>
        </w:p>
        <w:p>
          <w:pPr>
            <w:pStyle w:val="TOC3"/>
            <w:tabs>
              <w:tab w:val="clear" w:pos="11673"/>
              <w:tab w:val="right" w:pos="10309" w:leader="dot"/>
            </w:tabs>
            <w:rPr/>
          </w:pPr>
          <w:hyperlink w:anchor="__RefHeading___Toc7074_2150751134">
            <w:r>
              <w:rPr>
                <w:webHidden/>
                <w:rStyle w:val="IndexLink"/>
              </w:rPr>
              <w:t>Hybrid Phase</w:t>
              <w:tab/>
              <w:t>70</w:t>
            </w:r>
          </w:hyperlink>
        </w:p>
        <w:p>
          <w:pPr>
            <w:pStyle w:val="TOC3"/>
            <w:tabs>
              <w:tab w:val="clear" w:pos="11673"/>
              <w:tab w:val="right" w:pos="10309" w:leader="dot"/>
            </w:tabs>
            <w:rPr/>
          </w:pPr>
          <w:hyperlink w:anchor="__RefHeading___Toc7076_2150751134">
            <w:r>
              <w:rPr>
                <w:webHidden/>
                <w:rStyle w:val="IndexLink"/>
              </w:rPr>
              <w:t>Mature Phase</w:t>
              <w:tab/>
              <w:t>70</w:t>
            </w:r>
          </w:hyperlink>
        </w:p>
        <w:p>
          <w:pPr>
            <w:pStyle w:val="TOC2"/>
            <w:tabs>
              <w:tab w:val="clear" w:pos="11957"/>
              <w:tab w:val="right" w:pos="10309" w:leader="dot"/>
            </w:tabs>
            <w:rPr/>
          </w:pPr>
          <w:hyperlink w:anchor="__RefHeading___Toc7078_2150751134">
            <w:r>
              <w:rPr>
                <w:webHidden/>
                <w:rStyle w:val="IndexLink"/>
              </w:rPr>
              <w:t>24.4 Crypto Bill of Materials</w:t>
              <w:tab/>
              <w:t>71</w:t>
            </w:r>
          </w:hyperlink>
        </w:p>
        <w:p>
          <w:pPr>
            <w:pStyle w:val="TOC2"/>
            <w:tabs>
              <w:tab w:val="clear" w:pos="11957"/>
              <w:tab w:val="right" w:pos="10309" w:leader="dot"/>
            </w:tabs>
            <w:rPr/>
          </w:pPr>
          <w:hyperlink w:anchor="__RefHeading___Toc7080_2150751134">
            <w:r>
              <w:rPr>
                <w:webHidden/>
                <w:rStyle w:val="IndexLink"/>
              </w:rPr>
              <w:t>24.5 Artifact Signing</w:t>
              <w:tab/>
              <w:t>71</w:t>
            </w:r>
          </w:hyperlink>
        </w:p>
        <w:p>
          <w:pPr>
            <w:pStyle w:val="TOC2"/>
            <w:tabs>
              <w:tab w:val="clear" w:pos="11957"/>
              <w:tab w:val="right" w:pos="10309" w:leader="dot"/>
            </w:tabs>
            <w:rPr/>
          </w:pPr>
          <w:hyperlink w:anchor="__RefHeading___Toc7082_2150751134">
            <w:r>
              <w:rPr>
                <w:webHidden/>
                <w:rStyle w:val="IndexLink"/>
              </w:rPr>
              <w:t>24.6 Local Vault</w:t>
              <w:tab/>
              <w:t>71</w:t>
            </w:r>
          </w:hyperlink>
        </w:p>
        <w:p>
          <w:pPr>
            <w:pStyle w:val="TOC2"/>
            <w:tabs>
              <w:tab w:val="clear" w:pos="11957"/>
              <w:tab w:val="right" w:pos="10309" w:leader="dot"/>
            </w:tabs>
            <w:rPr/>
          </w:pPr>
          <w:hyperlink w:anchor="__RefHeading___Toc7084_2150751134">
            <w:r>
              <w:rPr>
                <w:webHidden/>
                <w:rStyle w:val="IndexLink"/>
              </w:rPr>
              <w:t>24.7 PQC Exception Process</w:t>
              <w:tab/>
              <w:t>71</w:t>
            </w:r>
          </w:hyperlink>
        </w:p>
        <w:p>
          <w:pPr>
            <w:pStyle w:val="TOC1"/>
            <w:tabs>
              <w:tab w:val="clear" w:pos="12240"/>
              <w:tab w:val="right" w:pos="10309" w:leader="dot"/>
            </w:tabs>
            <w:rPr/>
          </w:pPr>
          <w:hyperlink w:anchor="__RefHeading___Toc7086_2150751134">
            <w:r>
              <w:rPr>
                <w:webHidden/>
                <w:rStyle w:val="IndexLink"/>
              </w:rPr>
              <w:t>25. On-Premises, Air-Gapped, and Enterprise Deployment</w:t>
              <w:tab/>
              <w:t>73</w:t>
            </w:r>
          </w:hyperlink>
        </w:p>
        <w:p>
          <w:pPr>
            <w:pStyle w:val="TOC2"/>
            <w:tabs>
              <w:tab w:val="clear" w:pos="11957"/>
              <w:tab w:val="right" w:pos="10309" w:leader="dot"/>
            </w:tabs>
            <w:rPr/>
          </w:pPr>
          <w:hyperlink w:anchor="__RefHeading___Toc7088_2150751134">
            <w:r>
              <w:rPr>
                <w:webHidden/>
                <w:rStyle w:val="IndexLink"/>
              </w:rPr>
              <w:t>25.1 Deployment Profiles</w:t>
              <w:tab/>
              <w:t>73</w:t>
            </w:r>
          </w:hyperlink>
        </w:p>
        <w:p>
          <w:pPr>
            <w:pStyle w:val="TOC3"/>
            <w:tabs>
              <w:tab w:val="clear" w:pos="11673"/>
              <w:tab w:val="right" w:pos="10309" w:leader="dot"/>
            </w:tabs>
            <w:rPr/>
          </w:pPr>
          <w:hyperlink w:anchor="__RefHeading___Toc7090_2150751134">
            <w:r>
              <w:rPr>
                <w:webHidden/>
                <w:rStyle w:val="IndexLink"/>
              </w:rPr>
              <w:t>Personal Desktop</w:t>
              <w:tab/>
              <w:t>73</w:t>
            </w:r>
          </w:hyperlink>
        </w:p>
        <w:p>
          <w:pPr>
            <w:pStyle w:val="TOC3"/>
            <w:tabs>
              <w:tab w:val="clear" w:pos="11673"/>
              <w:tab w:val="right" w:pos="10309" w:leader="dot"/>
            </w:tabs>
            <w:rPr/>
          </w:pPr>
          <w:hyperlink w:anchor="__RefHeading___Toc7092_2150751134">
            <w:r>
              <w:rPr>
                <w:webHidden/>
                <w:rStyle w:val="IndexLink"/>
              </w:rPr>
              <w:t>Team Cloud</w:t>
              <w:tab/>
              <w:t>73</w:t>
            </w:r>
          </w:hyperlink>
        </w:p>
        <w:p>
          <w:pPr>
            <w:pStyle w:val="TOC3"/>
            <w:tabs>
              <w:tab w:val="clear" w:pos="11673"/>
              <w:tab w:val="right" w:pos="10309" w:leader="dot"/>
            </w:tabs>
            <w:rPr/>
          </w:pPr>
          <w:hyperlink w:anchor="__RefHeading___Toc7094_2150751134">
            <w:r>
              <w:rPr>
                <w:webHidden/>
                <w:rStyle w:val="IndexLink"/>
              </w:rPr>
              <w:t>Enterprise On-Prem</w:t>
              <w:tab/>
              <w:t>73</w:t>
            </w:r>
          </w:hyperlink>
        </w:p>
        <w:p>
          <w:pPr>
            <w:pStyle w:val="TOC3"/>
            <w:tabs>
              <w:tab w:val="clear" w:pos="11673"/>
              <w:tab w:val="right" w:pos="10309" w:leader="dot"/>
            </w:tabs>
            <w:rPr/>
          </w:pPr>
          <w:hyperlink w:anchor="__RefHeading___Toc7096_2150751134">
            <w:r>
              <w:rPr>
                <w:webHidden/>
                <w:rStyle w:val="IndexLink"/>
              </w:rPr>
              <w:t>Disconnected Research Environment</w:t>
              <w:tab/>
              <w:t>74</w:t>
            </w:r>
          </w:hyperlink>
        </w:p>
        <w:p>
          <w:pPr>
            <w:pStyle w:val="TOC2"/>
            <w:tabs>
              <w:tab w:val="clear" w:pos="11957"/>
              <w:tab w:val="right" w:pos="10309" w:leader="dot"/>
            </w:tabs>
            <w:rPr/>
          </w:pPr>
          <w:hyperlink w:anchor="__RefHeading___Toc7098_2150751134">
            <w:r>
              <w:rPr>
                <w:webHidden/>
                <w:rStyle w:val="IndexLink"/>
              </w:rPr>
              <w:t>25.2 On-Prem Security</w:t>
              <w:tab/>
              <w:t>74</w:t>
            </w:r>
          </w:hyperlink>
        </w:p>
        <w:p>
          <w:pPr>
            <w:pStyle w:val="TOC2"/>
            <w:tabs>
              <w:tab w:val="clear" w:pos="11957"/>
              <w:tab w:val="right" w:pos="10309" w:leader="dot"/>
            </w:tabs>
            <w:rPr/>
          </w:pPr>
          <w:hyperlink w:anchor="__RefHeading___Toc7100_2150751134">
            <w:r>
              <w:rPr>
                <w:webHidden/>
                <w:rStyle w:val="IndexLink"/>
              </w:rPr>
              <w:t>25.3 Tenant Isolation</w:t>
              <w:tab/>
              <w:t>74</w:t>
            </w:r>
          </w:hyperlink>
        </w:p>
        <w:p>
          <w:pPr>
            <w:pStyle w:val="TOC1"/>
            <w:tabs>
              <w:tab w:val="clear" w:pos="12240"/>
              <w:tab w:val="right" w:pos="10309" w:leader="dot"/>
            </w:tabs>
            <w:rPr/>
          </w:pPr>
          <w:hyperlink w:anchor="__RefHeading___Toc7102_2150751134">
            <w:r>
              <w:rPr>
                <w:webHidden/>
                <w:rStyle w:val="IndexLink"/>
              </w:rPr>
              <w:t>26. Observability, Reliability, and Operations</w:t>
              <w:tab/>
              <w:t>75</w:t>
            </w:r>
          </w:hyperlink>
        </w:p>
        <w:p>
          <w:pPr>
            <w:pStyle w:val="TOC2"/>
            <w:tabs>
              <w:tab w:val="clear" w:pos="11957"/>
              <w:tab w:val="right" w:pos="10309" w:leader="dot"/>
            </w:tabs>
            <w:rPr/>
          </w:pPr>
          <w:hyperlink w:anchor="__RefHeading___Toc7104_2150751134">
            <w:r>
              <w:rPr>
                <w:webHidden/>
                <w:rStyle w:val="IndexLink"/>
              </w:rPr>
              <w:t>26.1 OpenTelemetry</w:t>
              <w:tab/>
              <w:t>75</w:t>
            </w:r>
          </w:hyperlink>
        </w:p>
        <w:p>
          <w:pPr>
            <w:pStyle w:val="TOC2"/>
            <w:tabs>
              <w:tab w:val="clear" w:pos="11957"/>
              <w:tab w:val="right" w:pos="10309" w:leader="dot"/>
            </w:tabs>
            <w:rPr/>
          </w:pPr>
          <w:hyperlink w:anchor="__RefHeading___Toc7106_2150751134">
            <w:r>
              <w:rPr>
                <w:webHidden/>
                <w:rStyle w:val="IndexLink"/>
              </w:rPr>
              <w:t>26.2 Required Metrics</w:t>
              <w:tab/>
              <w:t>75</w:t>
            </w:r>
          </w:hyperlink>
        </w:p>
        <w:p>
          <w:pPr>
            <w:pStyle w:val="TOC2"/>
            <w:tabs>
              <w:tab w:val="clear" w:pos="11957"/>
              <w:tab w:val="right" w:pos="10309" w:leader="dot"/>
            </w:tabs>
            <w:rPr/>
          </w:pPr>
          <w:hyperlink w:anchor="__RefHeading___Toc7108_2150751134">
            <w:r>
              <w:rPr>
                <w:webHidden/>
                <w:rStyle w:val="IndexLink"/>
              </w:rPr>
              <w:t>26.3 SLO Examples</w:t>
              <w:tab/>
              <w:t>75</w:t>
            </w:r>
          </w:hyperlink>
        </w:p>
        <w:p>
          <w:pPr>
            <w:pStyle w:val="TOC2"/>
            <w:tabs>
              <w:tab w:val="clear" w:pos="11957"/>
              <w:tab w:val="right" w:pos="10309" w:leader="dot"/>
            </w:tabs>
            <w:rPr/>
          </w:pPr>
          <w:hyperlink w:anchor="__RefHeading___Toc7110_2150751134">
            <w:r>
              <w:rPr>
                <w:webHidden/>
                <w:rStyle w:val="IndexLink"/>
              </w:rPr>
              <w:t>26.4 Health Model</w:t>
              <w:tab/>
              <w:t>75</w:t>
            </w:r>
          </w:hyperlink>
        </w:p>
        <w:p>
          <w:pPr>
            <w:pStyle w:val="TOC2"/>
            <w:tabs>
              <w:tab w:val="clear" w:pos="11957"/>
              <w:tab w:val="right" w:pos="10309" w:leader="dot"/>
            </w:tabs>
            <w:rPr/>
          </w:pPr>
          <w:hyperlink w:anchor="__RefHeading___Toc7112_2150751134">
            <w:r>
              <w:rPr>
                <w:webHidden/>
                <w:rStyle w:val="IndexLink"/>
              </w:rPr>
              <w:t>26.5 Runbooks</w:t>
              <w:tab/>
              <w:t>76</w:t>
            </w:r>
          </w:hyperlink>
        </w:p>
        <w:p>
          <w:pPr>
            <w:pStyle w:val="TOC1"/>
            <w:tabs>
              <w:tab w:val="clear" w:pos="12240"/>
              <w:tab w:val="right" w:pos="10309" w:leader="dot"/>
            </w:tabs>
            <w:rPr/>
          </w:pPr>
          <w:hyperlink w:anchor="__RefHeading___Toc7114_2150751134">
            <w:r>
              <w:rPr>
                <w:webHidden/>
                <w:rStyle w:val="IndexLink"/>
              </w:rPr>
              <w:t>27. Testing and Quality Engineering</w:t>
              <w:tab/>
              <w:t>77</w:t>
            </w:r>
          </w:hyperlink>
        </w:p>
        <w:p>
          <w:pPr>
            <w:pStyle w:val="TOC2"/>
            <w:tabs>
              <w:tab w:val="clear" w:pos="11957"/>
              <w:tab w:val="right" w:pos="10309" w:leader="dot"/>
            </w:tabs>
            <w:rPr/>
          </w:pPr>
          <w:hyperlink w:anchor="__RefHeading___Toc7116_2150751134">
            <w:r>
              <w:rPr>
                <w:webHidden/>
                <w:rStyle w:val="IndexLink"/>
              </w:rPr>
              <w:t>27.1 Test Layers</w:t>
              <w:tab/>
              <w:t>77</w:t>
            </w:r>
          </w:hyperlink>
        </w:p>
        <w:p>
          <w:pPr>
            <w:pStyle w:val="TOC2"/>
            <w:tabs>
              <w:tab w:val="clear" w:pos="11957"/>
              <w:tab w:val="right" w:pos="10309" w:leader="dot"/>
            </w:tabs>
            <w:rPr/>
          </w:pPr>
          <w:hyperlink w:anchor="__RefHeading___Toc7118_2150751134">
            <w:r>
              <w:rPr>
                <w:webHidden/>
                <w:rStyle w:val="IndexLink"/>
              </w:rPr>
              <w:t>27.2 High-Value Property Tests</w:t>
              <w:tab/>
              <w:t>77</w:t>
            </w:r>
          </w:hyperlink>
        </w:p>
        <w:p>
          <w:pPr>
            <w:pStyle w:val="TOC2"/>
            <w:tabs>
              <w:tab w:val="clear" w:pos="11957"/>
              <w:tab w:val="right" w:pos="10309" w:leader="dot"/>
            </w:tabs>
            <w:rPr/>
          </w:pPr>
          <w:hyperlink w:anchor="__RefHeading___Toc7120_2150751134">
            <w:r>
              <w:rPr>
                <w:webHidden/>
                <w:rStyle w:val="IndexLink"/>
              </w:rPr>
              <w:t>27.3 Provider Contract Tests</w:t>
              <w:tab/>
              <w:t>77</w:t>
            </w:r>
          </w:hyperlink>
        </w:p>
        <w:p>
          <w:pPr>
            <w:pStyle w:val="TOC2"/>
            <w:tabs>
              <w:tab w:val="clear" w:pos="11957"/>
              <w:tab w:val="right" w:pos="10309" w:leader="dot"/>
            </w:tabs>
            <w:rPr/>
          </w:pPr>
          <w:hyperlink w:anchor="__RefHeading___Toc7122_2150751134">
            <w:r>
              <w:rPr>
                <w:webHidden/>
                <w:rStyle w:val="IndexLink"/>
              </w:rPr>
              <w:t>27.4 Quant Validation</w:t>
              <w:tab/>
              <w:t>77</w:t>
            </w:r>
          </w:hyperlink>
        </w:p>
        <w:p>
          <w:pPr>
            <w:pStyle w:val="TOC2"/>
            <w:tabs>
              <w:tab w:val="clear" w:pos="11957"/>
              <w:tab w:val="right" w:pos="10309" w:leader="dot"/>
            </w:tabs>
            <w:rPr/>
          </w:pPr>
          <w:hyperlink w:anchor="__RefHeading___Toc7124_2150751134">
            <w:r>
              <w:rPr>
                <w:webHidden/>
                <w:rStyle w:val="IndexLink"/>
              </w:rPr>
              <w:t>27.5 Security Testing</w:t>
              <w:tab/>
              <w:t>78</w:t>
            </w:r>
          </w:hyperlink>
        </w:p>
        <w:p>
          <w:pPr>
            <w:pStyle w:val="TOC1"/>
            <w:tabs>
              <w:tab w:val="clear" w:pos="12240"/>
              <w:tab w:val="right" w:pos="10309" w:leader="dot"/>
            </w:tabs>
            <w:rPr/>
          </w:pPr>
          <w:hyperlink w:anchor="__RefHeading___Toc7126_2150751134">
            <w:r>
              <w:rPr>
                <w:webHidden/>
                <w:rStyle w:val="IndexLink"/>
              </w:rPr>
              <w:t>28. Supply-Chain and Release Security</w:t>
              <w:tab/>
              <w:t>79</w:t>
            </w:r>
          </w:hyperlink>
        </w:p>
        <w:p>
          <w:pPr>
            <w:pStyle w:val="TOC1"/>
            <w:tabs>
              <w:tab w:val="clear" w:pos="12240"/>
              <w:tab w:val="right" w:pos="10309" w:leader="dot"/>
            </w:tabs>
            <w:rPr/>
          </w:pPr>
          <w:hyperlink w:anchor="__RefHeading___Toc7128_2150751134">
            <w:r>
              <w:rPr>
                <w:webHidden/>
                <w:rStyle w:val="IndexLink"/>
              </w:rPr>
              <w:t>29. Performance Engineering</w:t>
              <w:tab/>
              <w:t>80</w:t>
            </w:r>
          </w:hyperlink>
        </w:p>
        <w:p>
          <w:pPr>
            <w:pStyle w:val="TOC2"/>
            <w:tabs>
              <w:tab w:val="clear" w:pos="11957"/>
              <w:tab w:val="right" w:pos="10309" w:leader="dot"/>
            </w:tabs>
            <w:rPr/>
          </w:pPr>
          <w:hyperlink w:anchor="__RefHeading___Toc7130_2150751134">
            <w:r>
              <w:rPr>
                <w:webHidden/>
                <w:rStyle w:val="IndexLink"/>
              </w:rPr>
              <w:t>29.1 Performance Budgets</w:t>
              <w:tab/>
              <w:t>80</w:t>
            </w:r>
          </w:hyperlink>
        </w:p>
        <w:p>
          <w:pPr>
            <w:pStyle w:val="TOC2"/>
            <w:tabs>
              <w:tab w:val="clear" w:pos="11957"/>
              <w:tab w:val="right" w:pos="10309" w:leader="dot"/>
            </w:tabs>
            <w:rPr/>
          </w:pPr>
          <w:hyperlink w:anchor="__RefHeading___Toc7132_2150751134">
            <w:r>
              <w:rPr>
                <w:webHidden/>
                <w:rStyle w:val="IndexLink"/>
              </w:rPr>
              <w:t>29.2 Numeric Computing</w:t>
              <w:tab/>
              <w:t>80</w:t>
            </w:r>
          </w:hyperlink>
        </w:p>
        <w:p>
          <w:pPr>
            <w:pStyle w:val="TOC2"/>
            <w:tabs>
              <w:tab w:val="clear" w:pos="11957"/>
              <w:tab w:val="right" w:pos="10309" w:leader="dot"/>
            </w:tabs>
            <w:rPr/>
          </w:pPr>
          <w:hyperlink w:anchor="__RefHeading___Toc7134_2150751134">
            <w:r>
              <w:rPr>
                <w:webHidden/>
                <w:rStyle w:val="IndexLink"/>
              </w:rPr>
              <w:t>29.3 Decimal Precision</w:t>
              <w:tab/>
              <w:t>80</w:t>
            </w:r>
          </w:hyperlink>
        </w:p>
        <w:p>
          <w:pPr>
            <w:pStyle w:val="TOC2"/>
            <w:tabs>
              <w:tab w:val="clear" w:pos="11957"/>
              <w:tab w:val="right" w:pos="10309" w:leader="dot"/>
            </w:tabs>
            <w:rPr/>
          </w:pPr>
          <w:hyperlink w:anchor="__RefHeading___Toc7136_2150751134">
            <w:r>
              <w:rPr>
                <w:webHidden/>
                <w:rStyle w:val="IndexLink"/>
              </w:rPr>
              <w:t>29.4 UI Performance</w:t>
              <w:tab/>
              <w:t>80</w:t>
            </w:r>
          </w:hyperlink>
        </w:p>
        <w:p>
          <w:pPr>
            <w:pStyle w:val="TOC1"/>
            <w:tabs>
              <w:tab w:val="clear" w:pos="12240"/>
              <w:tab w:val="right" w:pos="10309" w:leader="dot"/>
            </w:tabs>
            <w:rPr/>
          </w:pPr>
          <w:hyperlink w:anchor="__RefHeading___Toc7138_2150751134">
            <w:r>
              <w:rPr>
                <w:webHidden/>
                <w:rStyle w:val="IndexLink"/>
              </w:rPr>
              <w:t>30. Accessibility, Localization, and Responsible UX</w:t>
              <w:tab/>
              <w:t>81</w:t>
            </w:r>
          </w:hyperlink>
        </w:p>
        <w:p>
          <w:pPr>
            <w:pStyle w:val="TOC1"/>
            <w:tabs>
              <w:tab w:val="clear" w:pos="12240"/>
              <w:tab w:val="right" w:pos="10309" w:leader="dot"/>
            </w:tabs>
            <w:rPr/>
          </w:pPr>
          <w:hyperlink w:anchor="__RefHeading___Toc7140_2150751134">
            <w:r>
              <w:rPr>
                <w:webHidden/>
                <w:rStyle w:val="IndexLink"/>
              </w:rPr>
              <w:t>31. API, Plugin, MCP, and SDK Platform</w:t>
              <w:tab/>
              <w:t>82</w:t>
            </w:r>
          </w:hyperlink>
        </w:p>
        <w:p>
          <w:pPr>
            <w:pStyle w:val="TOC2"/>
            <w:tabs>
              <w:tab w:val="clear" w:pos="11957"/>
              <w:tab w:val="right" w:pos="10309" w:leader="dot"/>
            </w:tabs>
            <w:rPr/>
          </w:pPr>
          <w:hyperlink w:anchor="__RefHeading___Toc7142_2150751134">
            <w:r>
              <w:rPr>
                <w:webHidden/>
                <w:rStyle w:val="IndexLink"/>
              </w:rPr>
              <w:t>31.1 Public API</w:t>
              <w:tab/>
              <w:t>82</w:t>
            </w:r>
          </w:hyperlink>
        </w:p>
        <w:p>
          <w:pPr>
            <w:pStyle w:val="TOC2"/>
            <w:tabs>
              <w:tab w:val="clear" w:pos="11957"/>
              <w:tab w:val="right" w:pos="10309" w:leader="dot"/>
            </w:tabs>
            <w:rPr/>
          </w:pPr>
          <w:hyperlink w:anchor="__RefHeading___Toc7144_2150751134">
            <w:r>
              <w:rPr>
                <w:webHidden/>
                <w:rStyle w:val="IndexLink"/>
              </w:rPr>
              <w:t>31.2 Plugin Types</w:t>
              <w:tab/>
              <w:t>82</w:t>
            </w:r>
          </w:hyperlink>
        </w:p>
        <w:p>
          <w:pPr>
            <w:pStyle w:val="TOC2"/>
            <w:tabs>
              <w:tab w:val="clear" w:pos="11957"/>
              <w:tab w:val="right" w:pos="10309" w:leader="dot"/>
            </w:tabs>
            <w:rPr/>
          </w:pPr>
          <w:hyperlink w:anchor="__RefHeading___Toc7146_2150751134">
            <w:r>
              <w:rPr>
                <w:webHidden/>
                <w:rStyle w:val="IndexLink"/>
              </w:rPr>
              <w:t>31.3 Plugin Security</w:t>
              <w:tab/>
              <w:t>82</w:t>
            </w:r>
          </w:hyperlink>
        </w:p>
        <w:p>
          <w:pPr>
            <w:pStyle w:val="TOC2"/>
            <w:tabs>
              <w:tab w:val="clear" w:pos="11957"/>
              <w:tab w:val="right" w:pos="10309" w:leader="dot"/>
            </w:tabs>
            <w:rPr/>
          </w:pPr>
          <w:hyperlink w:anchor="__RefHeading___Toc7148_2150751134">
            <w:r>
              <w:rPr>
                <w:webHidden/>
                <w:rStyle w:val="IndexLink"/>
              </w:rPr>
              <w:t>31.4 SDKs</w:t>
              <w:tab/>
              <w:t>82</w:t>
            </w:r>
          </w:hyperlink>
        </w:p>
        <w:p>
          <w:pPr>
            <w:pStyle w:val="TOC2"/>
            <w:tabs>
              <w:tab w:val="clear" w:pos="11957"/>
              <w:tab w:val="right" w:pos="10309" w:leader="dot"/>
            </w:tabs>
            <w:rPr/>
          </w:pPr>
          <w:hyperlink w:anchor="__RefHeading___Toc7150_2150751134">
            <w:r>
              <w:rPr>
                <w:webHidden/>
                <w:rStyle w:val="IndexLink"/>
              </w:rPr>
              <w:t>31.5 MCP Gateway</w:t>
              <w:tab/>
              <w:t>82</w:t>
            </w:r>
          </w:hyperlink>
        </w:p>
        <w:p>
          <w:pPr>
            <w:pStyle w:val="TOC1"/>
            <w:tabs>
              <w:tab w:val="clear" w:pos="12240"/>
              <w:tab w:val="right" w:pos="10309" w:leader="dot"/>
            </w:tabs>
            <w:rPr/>
          </w:pPr>
          <w:hyperlink w:anchor="__RefHeading___Toc7152_2150751134">
            <w:r>
              <w:rPr>
                <w:webHidden/>
                <w:rStyle w:val="IndexLink"/>
              </w:rPr>
              <w:t>32. Phased Implementation Roadmap</w:t>
              <w:tab/>
              <w:t>85</w:t>
            </w:r>
          </w:hyperlink>
        </w:p>
        <w:p>
          <w:pPr>
            <w:pStyle w:val="TOC2"/>
            <w:tabs>
              <w:tab w:val="clear" w:pos="11957"/>
              <w:tab w:val="right" w:pos="10309" w:leader="dot"/>
            </w:tabs>
            <w:rPr/>
          </w:pPr>
          <w:hyperlink w:anchor="__RefHeading___Toc7154_2150751134">
            <w:r>
              <w:rPr>
                <w:webHidden/>
                <w:rStyle w:val="IndexLink"/>
              </w:rPr>
              <w:t>Phase 0 — Foundation and Product Proof</w:t>
              <w:tab/>
              <w:t>85</w:t>
            </w:r>
          </w:hyperlink>
        </w:p>
        <w:p>
          <w:pPr>
            <w:pStyle w:val="TOC2"/>
            <w:tabs>
              <w:tab w:val="clear" w:pos="11957"/>
              <w:tab w:val="right" w:pos="10309" w:leader="dot"/>
            </w:tabs>
            <w:rPr/>
          </w:pPr>
          <w:hyperlink w:anchor="__RefHeading___Toc7156_2150751134">
            <w:r>
              <w:rPr>
                <w:webHidden/>
                <w:rStyle w:val="IndexLink"/>
              </w:rPr>
              <w:t>Phase 1 — Crypto Intelligence MVP</w:t>
              <w:tab/>
              <w:t>86</w:t>
            </w:r>
          </w:hyperlink>
        </w:p>
        <w:p>
          <w:pPr>
            <w:pStyle w:val="TOC2"/>
            <w:tabs>
              <w:tab w:val="clear" w:pos="11957"/>
              <w:tab w:val="right" w:pos="10309" w:leader="dot"/>
            </w:tabs>
            <w:rPr/>
          </w:pPr>
          <w:hyperlink w:anchor="__RefHeading___Toc7158_2150751134">
            <w:r>
              <w:rPr>
                <w:webHidden/>
                <w:rStyle w:val="IndexLink"/>
              </w:rPr>
              <w:t>Phase 2 — U.S. Equity, Filing, and Macro Foundation</w:t>
              <w:tab/>
              <w:t>86</w:t>
            </w:r>
          </w:hyperlink>
        </w:p>
        <w:p>
          <w:pPr>
            <w:pStyle w:val="TOC2"/>
            <w:tabs>
              <w:tab w:val="clear" w:pos="11957"/>
              <w:tab w:val="right" w:pos="10309" w:leader="dot"/>
            </w:tabs>
            <w:rPr/>
          </w:pPr>
          <w:hyperlink w:anchor="__RefHeading___Toc7160_2150751134">
            <w:r>
              <w:rPr>
                <w:webHidden/>
                <w:rStyle w:val="IndexLink"/>
              </w:rPr>
              <w:t>Phase 3 — Options Intelligence MVP</w:t>
              <w:tab/>
              <w:t>87</w:t>
            </w:r>
          </w:hyperlink>
        </w:p>
        <w:p>
          <w:pPr>
            <w:pStyle w:val="TOC2"/>
            <w:tabs>
              <w:tab w:val="clear" w:pos="11957"/>
              <w:tab w:val="right" w:pos="10309" w:leader="dot"/>
            </w:tabs>
            <w:rPr/>
          </w:pPr>
          <w:hyperlink w:anchor="__RefHeading___Toc7162_2150751134">
            <w:r>
              <w:rPr>
                <w:webHidden/>
                <w:rStyle w:val="IndexLink"/>
              </w:rPr>
              <w:t>Phase 4 — Quant Research and Backtesting</w:t>
              <w:tab/>
              <w:t>87</w:t>
            </w:r>
          </w:hyperlink>
        </w:p>
        <w:p>
          <w:pPr>
            <w:pStyle w:val="TOC2"/>
            <w:tabs>
              <w:tab w:val="clear" w:pos="11957"/>
              <w:tab w:val="right" w:pos="10309" w:leader="dot"/>
            </w:tabs>
            <w:rPr/>
          </w:pPr>
          <w:hyperlink w:anchor="__RefHeading___Toc7164_2150751134">
            <w:r>
              <w:rPr>
                <w:webHidden/>
                <w:rStyle w:val="IndexLink"/>
              </w:rPr>
              <w:t>Phase 5 — Monte Carlo and Predictive Intelligence</w:t>
              <w:tab/>
              <w:t>88</w:t>
            </w:r>
          </w:hyperlink>
        </w:p>
        <w:p>
          <w:pPr>
            <w:pStyle w:val="TOC2"/>
            <w:tabs>
              <w:tab w:val="clear" w:pos="11957"/>
              <w:tab w:val="right" w:pos="10309" w:leader="dot"/>
            </w:tabs>
            <w:rPr/>
          </w:pPr>
          <w:hyperlink w:anchor="__RefHeading___Toc7166_2150751134">
            <w:r>
              <w:rPr>
                <w:webHidden/>
                <w:rStyle w:val="IndexLink"/>
              </w:rPr>
              <w:t>Phase 6 — Portfolio, Journal, and Paper Trading</w:t>
              <w:tab/>
              <w:t>88</w:t>
            </w:r>
          </w:hyperlink>
        </w:p>
        <w:p>
          <w:pPr>
            <w:pStyle w:val="TOC2"/>
            <w:tabs>
              <w:tab w:val="clear" w:pos="11957"/>
              <w:tab w:val="right" w:pos="10309" w:leader="dot"/>
            </w:tabs>
            <w:rPr/>
          </w:pPr>
          <w:hyperlink w:anchor="__RefHeading___Toc7168_2150751134">
            <w:r>
              <w:rPr>
                <w:webHidden/>
                <w:rStyle w:val="IndexLink"/>
              </w:rPr>
              <w:t>Phase 7 — Broker/Exchange Connectivity and Controlled Execution</w:t>
              <w:tab/>
              <w:t>88</w:t>
            </w:r>
          </w:hyperlink>
        </w:p>
        <w:p>
          <w:pPr>
            <w:pStyle w:val="TOC2"/>
            <w:tabs>
              <w:tab w:val="clear" w:pos="11957"/>
              <w:tab w:val="right" w:pos="10309" w:leader="dot"/>
            </w:tabs>
            <w:rPr/>
          </w:pPr>
          <w:hyperlink w:anchor="__RefHeading___Toc7170_2150751134">
            <w:r>
              <w:rPr>
                <w:webHidden/>
                <w:rStyle w:val="IndexLink"/>
              </w:rPr>
              <w:t>Phase 8 — Enterprise, On-Prem, and Team Collaboration</w:t>
              <w:tab/>
              <w:t>89</w:t>
            </w:r>
          </w:hyperlink>
        </w:p>
        <w:p>
          <w:pPr>
            <w:pStyle w:val="TOC2"/>
            <w:tabs>
              <w:tab w:val="clear" w:pos="11957"/>
              <w:tab w:val="right" w:pos="10309" w:leader="dot"/>
            </w:tabs>
            <w:rPr/>
          </w:pPr>
          <w:hyperlink w:anchor="__RefHeading___Toc7172_2150751134">
            <w:r>
              <w:rPr>
                <w:webHidden/>
                <w:rStyle w:val="IndexLink"/>
              </w:rPr>
              <w:t>Phase 9 — Ecosystem and Marketplace</w:t>
              <w:tab/>
              <w:t>89</w:t>
            </w:r>
          </w:hyperlink>
        </w:p>
        <w:p>
          <w:pPr>
            <w:pStyle w:val="TOC1"/>
            <w:tabs>
              <w:tab w:val="clear" w:pos="12240"/>
              <w:tab w:val="right" w:pos="10309" w:leader="dot"/>
            </w:tabs>
            <w:rPr/>
          </w:pPr>
          <w:hyperlink w:anchor="__RefHeading___Toc7174_2150751134">
            <w:r>
              <w:rPr>
                <w:webHidden/>
                <w:rStyle w:val="IndexLink"/>
              </w:rPr>
              <w:t>33. Team Model and Delivery Workstreams</w:t>
              <w:tab/>
              <w:t>90</w:t>
            </w:r>
          </w:hyperlink>
        </w:p>
        <w:p>
          <w:pPr>
            <w:pStyle w:val="TOC1"/>
            <w:tabs>
              <w:tab w:val="clear" w:pos="12240"/>
              <w:tab w:val="right" w:pos="10309" w:leader="dot"/>
            </w:tabs>
            <w:rPr/>
          </w:pPr>
          <w:hyperlink w:anchor="__RefHeading___Toc7176_2150751134">
            <w:r>
              <w:rPr>
                <w:webHidden/>
                <w:rStyle w:val="IndexLink"/>
              </w:rPr>
              <w:t>34. Acceptance Criteria and Product Metrics</w:t>
              <w:tab/>
              <w:t>91</w:t>
            </w:r>
          </w:hyperlink>
        </w:p>
        <w:p>
          <w:pPr>
            <w:pStyle w:val="TOC2"/>
            <w:tabs>
              <w:tab w:val="clear" w:pos="11957"/>
              <w:tab w:val="right" w:pos="10309" w:leader="dot"/>
            </w:tabs>
            <w:rPr/>
          </w:pPr>
          <w:hyperlink w:anchor="__RefHeading___Toc7178_2150751134">
            <w:r>
              <w:rPr>
                <w:webHidden/>
                <w:rStyle w:val="IndexLink"/>
              </w:rPr>
              <w:t>34.1 User Value</w:t>
              <w:tab/>
              <w:t>91</w:t>
            </w:r>
          </w:hyperlink>
        </w:p>
        <w:p>
          <w:pPr>
            <w:pStyle w:val="TOC2"/>
            <w:tabs>
              <w:tab w:val="clear" w:pos="11957"/>
              <w:tab w:val="right" w:pos="10309" w:leader="dot"/>
            </w:tabs>
            <w:rPr/>
          </w:pPr>
          <w:hyperlink w:anchor="__RefHeading___Toc7180_2150751134">
            <w:r>
              <w:rPr>
                <w:webHidden/>
                <w:rStyle w:val="IndexLink"/>
              </w:rPr>
              <w:t>34.2 Data Quality</w:t>
              <w:tab/>
              <w:t>91</w:t>
            </w:r>
          </w:hyperlink>
        </w:p>
        <w:p>
          <w:pPr>
            <w:pStyle w:val="TOC2"/>
            <w:tabs>
              <w:tab w:val="clear" w:pos="11957"/>
              <w:tab w:val="right" w:pos="10309" w:leader="dot"/>
            </w:tabs>
            <w:rPr/>
          </w:pPr>
          <w:hyperlink w:anchor="__RefHeading___Toc7182_2150751134">
            <w:r>
              <w:rPr>
                <w:webHidden/>
                <w:rStyle w:val="IndexLink"/>
              </w:rPr>
              <w:t>34.3 Quant Quality</w:t>
              <w:tab/>
              <w:t>91</w:t>
            </w:r>
          </w:hyperlink>
        </w:p>
        <w:p>
          <w:pPr>
            <w:pStyle w:val="TOC2"/>
            <w:tabs>
              <w:tab w:val="clear" w:pos="11957"/>
              <w:tab w:val="right" w:pos="10309" w:leader="dot"/>
            </w:tabs>
            <w:rPr/>
          </w:pPr>
          <w:hyperlink w:anchor="__RefHeading___Toc7184_2150751134">
            <w:r>
              <w:rPr>
                <w:webHidden/>
                <w:rStyle w:val="IndexLink"/>
              </w:rPr>
              <w:t>34.4 Reliability</w:t>
              <w:tab/>
              <w:t>91</w:t>
            </w:r>
          </w:hyperlink>
        </w:p>
        <w:p>
          <w:pPr>
            <w:pStyle w:val="TOC2"/>
            <w:tabs>
              <w:tab w:val="clear" w:pos="11957"/>
              <w:tab w:val="right" w:pos="10309" w:leader="dot"/>
            </w:tabs>
            <w:rPr/>
          </w:pPr>
          <w:hyperlink w:anchor="__RefHeading___Toc7186_2150751134">
            <w:r>
              <w:rPr>
                <w:webHidden/>
                <w:rStyle w:val="IndexLink"/>
              </w:rPr>
              <w:t>34.5 Security</w:t>
              <w:tab/>
              <w:t>91</w:t>
            </w:r>
          </w:hyperlink>
        </w:p>
        <w:p>
          <w:pPr>
            <w:pStyle w:val="TOC1"/>
            <w:tabs>
              <w:tab w:val="clear" w:pos="12240"/>
              <w:tab w:val="right" w:pos="10309" w:leader="dot"/>
            </w:tabs>
            <w:rPr/>
          </w:pPr>
          <w:hyperlink w:anchor="__RefHeading___Toc7188_2150751134">
            <w:r>
              <w:rPr>
                <w:webHidden/>
                <w:rStyle w:val="IndexLink"/>
              </w:rPr>
              <w:t>35. Risk Register and Mitigations</w:t>
              <w:tab/>
              <w:t>92</w:t>
            </w:r>
          </w:hyperlink>
        </w:p>
        <w:p>
          <w:pPr>
            <w:pStyle w:val="TOC2"/>
            <w:tabs>
              <w:tab w:val="clear" w:pos="11957"/>
              <w:tab w:val="right" w:pos="10309" w:leader="dot"/>
            </w:tabs>
            <w:rPr/>
          </w:pPr>
          <w:hyperlink w:anchor="__RefHeading___Toc7190_2150751134">
            <w:r>
              <w:rPr>
                <w:webHidden/>
                <w:rStyle w:val="IndexLink"/>
              </w:rPr>
              <w:t>35.1 Market Data Licensing</w:t>
              <w:tab/>
              <w:t>92</w:t>
            </w:r>
          </w:hyperlink>
        </w:p>
        <w:p>
          <w:pPr>
            <w:pStyle w:val="TOC2"/>
            <w:tabs>
              <w:tab w:val="clear" w:pos="11957"/>
              <w:tab w:val="right" w:pos="10309" w:leader="dot"/>
            </w:tabs>
            <w:rPr/>
          </w:pPr>
          <w:hyperlink w:anchor="__RefHeading___Toc7192_2150751134">
            <w:r>
              <w:rPr>
                <w:webHidden/>
                <w:rStyle w:val="IndexLink"/>
              </w:rPr>
              <w:t>35.2 Free-Tier Dependency</w:t>
              <w:tab/>
              <w:t>92</w:t>
            </w:r>
          </w:hyperlink>
        </w:p>
        <w:p>
          <w:pPr>
            <w:pStyle w:val="TOC2"/>
            <w:tabs>
              <w:tab w:val="clear" w:pos="11957"/>
              <w:tab w:val="right" w:pos="10309" w:leader="dot"/>
            </w:tabs>
            <w:rPr/>
          </w:pPr>
          <w:hyperlink w:anchor="__RefHeading___Toc7194_2150751134">
            <w:r>
              <w:rPr>
                <w:webHidden/>
                <w:rStyle w:val="IndexLink"/>
              </w:rPr>
              <w:t>35.3 False Predictive Confidence</w:t>
              <w:tab/>
              <w:t>92</w:t>
            </w:r>
          </w:hyperlink>
        </w:p>
        <w:p>
          <w:pPr>
            <w:pStyle w:val="TOC2"/>
            <w:tabs>
              <w:tab w:val="clear" w:pos="11957"/>
              <w:tab w:val="right" w:pos="10309" w:leader="dot"/>
            </w:tabs>
            <w:rPr/>
          </w:pPr>
          <w:hyperlink w:anchor="__RefHeading___Toc7196_2150751134">
            <w:r>
              <w:rPr>
                <w:webHidden/>
                <w:rStyle w:val="IndexLink"/>
              </w:rPr>
              <w:t>35.4 Backtest Overfitting</w:t>
              <w:tab/>
              <w:t>92</w:t>
            </w:r>
          </w:hyperlink>
        </w:p>
        <w:p>
          <w:pPr>
            <w:pStyle w:val="TOC2"/>
            <w:tabs>
              <w:tab w:val="clear" w:pos="11957"/>
              <w:tab w:val="right" w:pos="10309" w:leader="dot"/>
            </w:tabs>
            <w:rPr/>
          </w:pPr>
          <w:hyperlink w:anchor="__RefHeading___Toc7198_2150751134">
            <w:r>
              <w:rPr>
                <w:webHidden/>
                <w:rStyle w:val="IndexLink"/>
              </w:rPr>
              <w:t>35.5 Uncertain Option Flow Meaning</w:t>
              <w:tab/>
              <w:t>92</w:t>
            </w:r>
          </w:hyperlink>
        </w:p>
        <w:p>
          <w:pPr>
            <w:pStyle w:val="TOC2"/>
            <w:tabs>
              <w:tab w:val="clear" w:pos="11957"/>
              <w:tab w:val="right" w:pos="10309" w:leader="dot"/>
            </w:tabs>
            <w:rPr/>
          </w:pPr>
          <w:hyperlink w:anchor="__RefHeading___Toc7200_2150751134">
            <w:r>
              <w:rPr>
                <w:webHidden/>
                <w:rStyle w:val="IndexLink"/>
              </w:rPr>
              <w:t>35.6 Unauthorized Execution</w:t>
              <w:tab/>
              <w:t>92</w:t>
            </w:r>
          </w:hyperlink>
        </w:p>
        <w:p>
          <w:pPr>
            <w:pStyle w:val="TOC2"/>
            <w:tabs>
              <w:tab w:val="clear" w:pos="11957"/>
              <w:tab w:val="right" w:pos="10309" w:leader="dot"/>
            </w:tabs>
            <w:rPr/>
          </w:pPr>
          <w:hyperlink w:anchor="__RefHeading___Toc7202_2150751134">
            <w:r>
              <w:rPr>
                <w:webHidden/>
                <w:rStyle w:val="IndexLink"/>
              </w:rPr>
              <w:t>35.7 Plugin Supply Chain</w:t>
              <w:tab/>
              <w:t>92</w:t>
            </w:r>
          </w:hyperlink>
        </w:p>
        <w:p>
          <w:pPr>
            <w:pStyle w:val="TOC2"/>
            <w:tabs>
              <w:tab w:val="clear" w:pos="11957"/>
              <w:tab w:val="right" w:pos="10309" w:leader="dot"/>
            </w:tabs>
            <w:rPr/>
          </w:pPr>
          <w:hyperlink w:anchor="__RefHeading___Toc7204_2150751134">
            <w:r>
              <w:rPr>
                <w:webHidden/>
                <w:rStyle w:val="IndexLink"/>
              </w:rPr>
              <w:t>35.8 Data Poisoning</w:t>
              <w:tab/>
              <w:t>92</w:t>
            </w:r>
          </w:hyperlink>
        </w:p>
        <w:p>
          <w:pPr>
            <w:pStyle w:val="TOC2"/>
            <w:tabs>
              <w:tab w:val="clear" w:pos="11957"/>
              <w:tab w:val="right" w:pos="10309" w:leader="dot"/>
            </w:tabs>
            <w:rPr/>
          </w:pPr>
          <w:hyperlink w:anchor="__RefHeading___Toc7206_2150751134">
            <w:r>
              <w:rPr>
                <w:webHidden/>
                <w:rStyle w:val="IndexLink"/>
              </w:rPr>
              <w:t>35.9 Complexity</w:t>
              <w:tab/>
              <w:t>92</w:t>
            </w:r>
          </w:hyperlink>
        </w:p>
        <w:p>
          <w:pPr>
            <w:pStyle w:val="TOC2"/>
            <w:tabs>
              <w:tab w:val="clear" w:pos="11957"/>
              <w:tab w:val="right" w:pos="10309" w:leader="dot"/>
            </w:tabs>
            <w:rPr/>
          </w:pPr>
          <w:hyperlink w:anchor="__RefHeading___Toc7208_2150751134">
            <w:r>
              <w:rPr>
                <w:webHidden/>
                <w:rStyle w:val="IndexLink"/>
              </w:rPr>
              <w:t>35.10 Regulatory Exposure</w:t>
              <w:tab/>
              <w:t>93</w:t>
            </w:r>
          </w:hyperlink>
        </w:p>
        <w:p>
          <w:pPr>
            <w:pStyle w:val="TOC1"/>
            <w:tabs>
              <w:tab w:val="clear" w:pos="12240"/>
              <w:tab w:val="right" w:pos="10309" w:leader="dot"/>
            </w:tabs>
            <w:rPr/>
          </w:pPr>
          <w:hyperlink w:anchor="__RefHeading___Toc7210_2150751134">
            <w:r>
              <w:rPr>
                <w:webHidden/>
                <w:rStyle w:val="IndexLink"/>
              </w:rPr>
              <w:t>36. Recommended Technology Decisions</w:t>
              <w:tab/>
              <w:t>94</w:t>
            </w:r>
          </w:hyperlink>
        </w:p>
        <w:p>
          <w:pPr>
            <w:pStyle w:val="TOC2"/>
            <w:tabs>
              <w:tab w:val="clear" w:pos="11957"/>
              <w:tab w:val="right" w:pos="10309" w:leader="dot"/>
            </w:tabs>
            <w:rPr/>
          </w:pPr>
          <w:hyperlink w:anchor="__RefHeading___Toc7212_2150751134">
            <w:r>
              <w:rPr>
                <w:webHidden/>
                <w:rStyle w:val="IndexLink"/>
              </w:rPr>
              <w:t>Core</w:t>
              <w:tab/>
              <w:t>94</w:t>
            </w:r>
          </w:hyperlink>
        </w:p>
        <w:p>
          <w:pPr>
            <w:pStyle w:val="TOC2"/>
            <w:tabs>
              <w:tab w:val="clear" w:pos="11957"/>
              <w:tab w:val="right" w:pos="10309" w:leader="dot"/>
            </w:tabs>
            <w:rPr/>
          </w:pPr>
          <w:hyperlink w:anchor="__RefHeading___Toc7214_2150751134">
            <w:r>
              <w:rPr>
                <w:webHidden/>
                <w:rStyle w:val="IndexLink"/>
              </w:rPr>
              <w:t>Security</w:t>
              <w:tab/>
              <w:t>94</w:t>
            </w:r>
          </w:hyperlink>
        </w:p>
        <w:p>
          <w:pPr>
            <w:pStyle w:val="TOC2"/>
            <w:tabs>
              <w:tab w:val="clear" w:pos="11957"/>
              <w:tab w:val="right" w:pos="10309" w:leader="dot"/>
            </w:tabs>
            <w:rPr/>
          </w:pPr>
          <w:hyperlink w:anchor="__RefHeading___Toc7216_2150751134">
            <w:r>
              <w:rPr>
                <w:webHidden/>
                <w:rStyle w:val="IndexLink"/>
              </w:rPr>
              <w:t>Frontend</w:t>
              <w:tab/>
              <w:t>94</w:t>
            </w:r>
          </w:hyperlink>
        </w:p>
        <w:p>
          <w:pPr>
            <w:pStyle w:val="TOC1"/>
            <w:tabs>
              <w:tab w:val="clear" w:pos="12240"/>
              <w:tab w:val="right" w:pos="10309" w:leader="dot"/>
            </w:tabs>
            <w:rPr/>
          </w:pPr>
          <w:hyperlink w:anchor="__RefHeading___Toc7218_2150751134">
            <w:r>
              <w:rPr>
                <w:webHidden/>
                <w:rStyle w:val="IndexLink"/>
              </w:rPr>
              <w:t>37. Future Advancements Beyond the Initial Vision</w:t>
              <w:tab/>
              <w:t>95</w:t>
            </w:r>
          </w:hyperlink>
        </w:p>
        <w:p>
          <w:pPr>
            <w:pStyle w:val="TOC2"/>
            <w:tabs>
              <w:tab w:val="clear" w:pos="11957"/>
              <w:tab w:val="right" w:pos="10309" w:leader="dot"/>
            </w:tabs>
            <w:rPr/>
          </w:pPr>
          <w:hyperlink w:anchor="__RefHeading___Toc7220_2150751134">
            <w:r>
              <w:rPr>
                <w:webHidden/>
                <w:rStyle w:val="IndexLink"/>
              </w:rPr>
              <w:t>37.1 Causal Market Graph</w:t>
              <w:tab/>
              <w:t>95</w:t>
            </w:r>
          </w:hyperlink>
        </w:p>
        <w:p>
          <w:pPr>
            <w:pStyle w:val="TOC2"/>
            <w:tabs>
              <w:tab w:val="clear" w:pos="11957"/>
              <w:tab w:val="right" w:pos="10309" w:leader="dot"/>
            </w:tabs>
            <w:rPr/>
          </w:pPr>
          <w:hyperlink w:anchor="__RefHeading___Toc7222_2150751134">
            <w:r>
              <w:rPr>
                <w:webHidden/>
                <w:rStyle w:val="IndexLink"/>
              </w:rPr>
              <w:t>37.2 Market Digital Twin</w:t>
              <w:tab/>
              <w:t>95</w:t>
            </w:r>
          </w:hyperlink>
        </w:p>
        <w:p>
          <w:pPr>
            <w:pStyle w:val="TOC2"/>
            <w:tabs>
              <w:tab w:val="clear" w:pos="11957"/>
              <w:tab w:val="right" w:pos="10309" w:leader="dot"/>
            </w:tabs>
            <w:rPr/>
          </w:pPr>
          <w:hyperlink w:anchor="__RefHeading___Toc7224_2150751134">
            <w:r>
              <w:rPr>
                <w:webHidden/>
                <w:rStyle w:val="IndexLink"/>
              </w:rPr>
              <w:t>37.3 Federated Strategy Learning</w:t>
              <w:tab/>
              <w:t>95</w:t>
            </w:r>
          </w:hyperlink>
        </w:p>
        <w:p>
          <w:pPr>
            <w:pStyle w:val="TOC2"/>
            <w:tabs>
              <w:tab w:val="clear" w:pos="11957"/>
              <w:tab w:val="right" w:pos="10309" w:leader="dot"/>
            </w:tabs>
            <w:rPr/>
          </w:pPr>
          <w:hyperlink w:anchor="__RefHeading___Toc7226_2150751134">
            <w:r>
              <w:rPr>
                <w:webHidden/>
                <w:rStyle w:val="IndexLink"/>
              </w:rPr>
              <w:t>37.4 Confidential Computing</w:t>
              <w:tab/>
              <w:t>95</w:t>
            </w:r>
          </w:hyperlink>
        </w:p>
        <w:p>
          <w:pPr>
            <w:pStyle w:val="TOC2"/>
            <w:tabs>
              <w:tab w:val="clear" w:pos="11957"/>
              <w:tab w:val="right" w:pos="10309" w:leader="dot"/>
            </w:tabs>
            <w:rPr/>
          </w:pPr>
          <w:hyperlink w:anchor="__RefHeading___Toc7228_2150751134">
            <w:r>
              <w:rPr>
                <w:webHidden/>
                <w:rStyle w:val="IndexLink"/>
              </w:rPr>
              <w:t>37.5 Verifiable Research Artifacts</w:t>
              <w:tab/>
              <w:t>95</w:t>
            </w:r>
          </w:hyperlink>
        </w:p>
        <w:p>
          <w:pPr>
            <w:pStyle w:val="TOC2"/>
            <w:tabs>
              <w:tab w:val="clear" w:pos="11957"/>
              <w:tab w:val="right" w:pos="10309" w:leader="dot"/>
            </w:tabs>
            <w:rPr/>
          </w:pPr>
          <w:hyperlink w:anchor="__RefHeading___Toc7230_2150751134">
            <w:r>
              <w:rPr>
                <w:webHidden/>
                <w:rStyle w:val="IndexLink"/>
              </w:rPr>
              <w:t>37.6 Natural-Language-to-Research Compiler</w:t>
              <w:tab/>
              <w:t>96</w:t>
            </w:r>
          </w:hyperlink>
        </w:p>
        <w:p>
          <w:pPr>
            <w:pStyle w:val="TOC2"/>
            <w:tabs>
              <w:tab w:val="clear" w:pos="11957"/>
              <w:tab w:val="right" w:pos="10309" w:leader="dot"/>
            </w:tabs>
            <w:rPr/>
          </w:pPr>
          <w:hyperlink w:anchor="__RefHeading___Toc7232_2150751134">
            <w:r>
              <w:rPr>
                <w:webHidden/>
                <w:rStyle w:val="IndexLink"/>
              </w:rPr>
              <w:t>37.7 Multi-Agent Research Council</w:t>
              <w:tab/>
              <w:t>96</w:t>
            </w:r>
          </w:hyperlink>
        </w:p>
        <w:p>
          <w:pPr>
            <w:pStyle w:val="TOC2"/>
            <w:tabs>
              <w:tab w:val="clear" w:pos="11957"/>
              <w:tab w:val="right" w:pos="10309" w:leader="dot"/>
            </w:tabs>
            <w:rPr/>
          </w:pPr>
          <w:hyperlink w:anchor="__RefHeading___Toc7234_2150751134">
            <w:r>
              <w:rPr>
                <w:webHidden/>
                <w:rStyle w:val="IndexLink"/>
              </w:rPr>
              <w:t>37.8 Opportunity “Contrarian Mode”</w:t>
              <w:tab/>
              <w:t>96</w:t>
            </w:r>
          </w:hyperlink>
        </w:p>
        <w:p>
          <w:pPr>
            <w:pStyle w:val="TOC2"/>
            <w:tabs>
              <w:tab w:val="clear" w:pos="11957"/>
              <w:tab w:val="right" w:pos="10309" w:leader="dot"/>
            </w:tabs>
            <w:rPr/>
          </w:pPr>
          <w:hyperlink w:anchor="__RefHeading___Toc7236_2150751134">
            <w:r>
              <w:rPr>
                <w:webHidden/>
                <w:rStyle w:val="IndexLink"/>
              </w:rPr>
              <w:t>37.9 Privacy-Preserving Community Intelligence</w:t>
              <w:tab/>
              <w:t>96</w:t>
            </w:r>
          </w:hyperlink>
        </w:p>
        <w:p>
          <w:pPr>
            <w:pStyle w:val="TOC2"/>
            <w:tabs>
              <w:tab w:val="clear" w:pos="11957"/>
              <w:tab w:val="right" w:pos="10309" w:leader="dot"/>
            </w:tabs>
            <w:rPr/>
          </w:pPr>
          <w:hyperlink w:anchor="__RefHeading___Toc7238_2150751134">
            <w:r>
              <w:rPr>
                <w:webHidden/>
                <w:rStyle w:val="IndexLink"/>
              </w:rPr>
              <w:t>37.10 Strategy Lineage Graph</w:t>
              <w:tab/>
              <w:t>96</w:t>
            </w:r>
          </w:hyperlink>
        </w:p>
        <w:p>
          <w:pPr>
            <w:pStyle w:val="TOC2"/>
            <w:tabs>
              <w:tab w:val="clear" w:pos="11957"/>
              <w:tab w:val="right" w:pos="10309" w:leader="dot"/>
            </w:tabs>
            <w:rPr/>
          </w:pPr>
          <w:hyperlink w:anchor="__RefHeading___Toc7240_2150751134">
            <w:r>
              <w:rPr>
                <w:webHidden/>
                <w:rStyle w:val="IndexLink"/>
              </w:rPr>
              <w:t>37.11 Temporal Knowledge Graph</w:t>
              <w:tab/>
              <w:t>96</w:t>
            </w:r>
          </w:hyperlink>
        </w:p>
        <w:p>
          <w:pPr>
            <w:pStyle w:val="TOC2"/>
            <w:tabs>
              <w:tab w:val="clear" w:pos="11957"/>
              <w:tab w:val="right" w:pos="10309" w:leader="dot"/>
            </w:tabs>
            <w:rPr/>
          </w:pPr>
          <w:hyperlink w:anchor="__RefHeading___Toc7242_2150751134">
            <w:r>
              <w:rPr>
                <w:webHidden/>
                <w:rStyle w:val="IndexLink"/>
              </w:rPr>
              <w:t>37.12 Adaptive Interface</w:t>
              <w:tab/>
              <w:t>96</w:t>
            </w:r>
          </w:hyperlink>
        </w:p>
        <w:p>
          <w:pPr>
            <w:pStyle w:val="TOC2"/>
            <w:tabs>
              <w:tab w:val="clear" w:pos="11957"/>
              <w:tab w:val="right" w:pos="10309" w:leader="dot"/>
            </w:tabs>
            <w:rPr/>
          </w:pPr>
          <w:hyperlink w:anchor="__RefHeading___Toc7244_2150751134">
            <w:r>
              <w:rPr>
                <w:webHidden/>
                <w:rStyle w:val="IndexLink"/>
              </w:rPr>
              <w:t>37.13 Resilient Multi-Provider Consensus</w:t>
              <w:tab/>
              <w:t>97</w:t>
            </w:r>
          </w:hyperlink>
        </w:p>
        <w:p>
          <w:pPr>
            <w:pStyle w:val="TOC1"/>
            <w:tabs>
              <w:tab w:val="clear" w:pos="12240"/>
              <w:tab w:val="right" w:pos="10309" w:leader="dot"/>
            </w:tabs>
            <w:rPr/>
          </w:pPr>
          <w:hyperlink w:anchor="__RefHeading___Toc7246_2150751134">
            <w:r>
              <w:rPr>
                <w:webHidden/>
                <w:rStyle w:val="IndexLink"/>
              </w:rPr>
              <w:t>38. Initial Backlog</w:t>
              <w:tab/>
              <w:t>98</w:t>
            </w:r>
          </w:hyperlink>
        </w:p>
        <w:p>
          <w:pPr>
            <w:pStyle w:val="TOC2"/>
            <w:tabs>
              <w:tab w:val="clear" w:pos="11957"/>
              <w:tab w:val="right" w:pos="10309" w:leader="dot"/>
            </w:tabs>
            <w:rPr/>
          </w:pPr>
          <w:hyperlink w:anchor="__RefHeading___Toc7248_2150751134">
            <w:r>
              <w:rPr>
                <w:webHidden/>
                <w:rStyle w:val="IndexLink"/>
              </w:rPr>
              <w:t>Epic A — Repository and Governance</w:t>
              <w:tab/>
              <w:t>98</w:t>
            </w:r>
          </w:hyperlink>
        </w:p>
        <w:p>
          <w:pPr>
            <w:pStyle w:val="TOC2"/>
            <w:tabs>
              <w:tab w:val="clear" w:pos="11957"/>
              <w:tab w:val="right" w:pos="10309" w:leader="dot"/>
            </w:tabs>
            <w:rPr/>
          </w:pPr>
          <w:hyperlink w:anchor="__RefHeading___Toc7250_2150751134">
            <w:r>
              <w:rPr>
                <w:webHidden/>
                <w:rStyle w:val="IndexLink"/>
              </w:rPr>
              <w:t>Epic B — Desktop Shell</w:t>
              <w:tab/>
              <w:t>98</w:t>
            </w:r>
          </w:hyperlink>
        </w:p>
        <w:p>
          <w:pPr>
            <w:pStyle w:val="TOC2"/>
            <w:tabs>
              <w:tab w:val="clear" w:pos="11957"/>
              <w:tab w:val="right" w:pos="10309" w:leader="dot"/>
            </w:tabs>
            <w:rPr/>
          </w:pPr>
          <w:hyperlink w:anchor="__RefHeading___Toc7252_2150751134">
            <w:r>
              <w:rPr>
                <w:webHidden/>
                <w:rStyle w:val="IndexLink"/>
              </w:rPr>
              <w:t>Epic C — CoinGecko Adapter</w:t>
              <w:tab/>
              <w:t>98</w:t>
            </w:r>
          </w:hyperlink>
        </w:p>
        <w:p>
          <w:pPr>
            <w:pStyle w:val="TOC2"/>
            <w:tabs>
              <w:tab w:val="clear" w:pos="11957"/>
              <w:tab w:val="right" w:pos="10309" w:leader="dot"/>
            </w:tabs>
            <w:rPr/>
          </w:pPr>
          <w:hyperlink w:anchor="__RefHeading___Toc7254_2150751134">
            <w:r>
              <w:rPr>
                <w:webHidden/>
                <w:rStyle w:val="IndexLink"/>
              </w:rPr>
              <w:t>Epic D — Crypto UI</w:t>
              <w:tab/>
              <w:t>98</w:t>
            </w:r>
          </w:hyperlink>
        </w:p>
        <w:p>
          <w:pPr>
            <w:pStyle w:val="TOC2"/>
            <w:tabs>
              <w:tab w:val="clear" w:pos="11957"/>
              <w:tab w:val="right" w:pos="10309" w:leader="dot"/>
            </w:tabs>
            <w:rPr/>
          </w:pPr>
          <w:hyperlink w:anchor="__RefHeading___Toc7256_2150751134">
            <w:r>
              <w:rPr>
                <w:webHidden/>
                <w:rStyle w:val="IndexLink"/>
              </w:rPr>
              <w:t>Epic E — Data Foundation</w:t>
              <w:tab/>
              <w:t>99</w:t>
            </w:r>
          </w:hyperlink>
        </w:p>
        <w:p>
          <w:pPr>
            <w:pStyle w:val="TOC2"/>
            <w:tabs>
              <w:tab w:val="clear" w:pos="11957"/>
              <w:tab w:val="right" w:pos="10309" w:leader="dot"/>
            </w:tabs>
            <w:rPr/>
          </w:pPr>
          <w:hyperlink w:anchor="__RefHeading___Toc7258_2150751134">
            <w:r>
              <w:rPr>
                <w:webHidden/>
                <w:rStyle w:val="IndexLink"/>
              </w:rPr>
              <w:t>Epic F — Security</w:t>
              <w:tab/>
              <w:t>99</w:t>
            </w:r>
          </w:hyperlink>
        </w:p>
        <w:p>
          <w:pPr>
            <w:pStyle w:val="TOC2"/>
            <w:tabs>
              <w:tab w:val="clear" w:pos="11957"/>
              <w:tab w:val="right" w:pos="10309" w:leader="dot"/>
            </w:tabs>
            <w:rPr/>
          </w:pPr>
          <w:hyperlink w:anchor="__RefHeading___Toc7260_2150751134">
            <w:r>
              <w:rPr>
                <w:webHidden/>
                <w:rStyle w:val="IndexLink"/>
              </w:rPr>
              <w:t>Epic G — Observability</w:t>
              <w:tab/>
              <w:t>99</w:t>
            </w:r>
          </w:hyperlink>
        </w:p>
        <w:p>
          <w:pPr>
            <w:pStyle w:val="TOC1"/>
            <w:tabs>
              <w:tab w:val="clear" w:pos="12240"/>
              <w:tab w:val="right" w:pos="10309" w:leader="dot"/>
            </w:tabs>
            <w:rPr/>
          </w:pPr>
          <w:hyperlink w:anchor="__RefHeading___Toc7262_2150751134">
            <w:r>
              <w:rPr>
                <w:webHidden/>
                <w:rStyle w:val="IndexLink"/>
              </w:rPr>
              <w:t>39. Reference Architecture Diagrams</w:t>
              <w:tab/>
              <w:t>100</w:t>
            </w:r>
          </w:hyperlink>
        </w:p>
        <w:p>
          <w:pPr>
            <w:pStyle w:val="TOC2"/>
            <w:tabs>
              <w:tab w:val="clear" w:pos="11957"/>
              <w:tab w:val="right" w:pos="10309" w:leader="dot"/>
            </w:tabs>
            <w:rPr/>
          </w:pPr>
          <w:hyperlink w:anchor="__RefHeading___Toc7264_2150751134">
            <w:r>
              <w:rPr>
                <w:webHidden/>
                <w:rStyle w:val="IndexLink"/>
              </w:rPr>
              <w:t>39.1 Data Flow</w:t>
              <w:tab/>
              <w:t>100</w:t>
            </w:r>
          </w:hyperlink>
        </w:p>
        <w:p>
          <w:pPr>
            <w:pStyle w:val="TOC2"/>
            <w:tabs>
              <w:tab w:val="clear" w:pos="11957"/>
              <w:tab w:val="right" w:pos="10309" w:leader="dot"/>
            </w:tabs>
            <w:rPr/>
          </w:pPr>
          <w:hyperlink w:anchor="__RefHeading___Toc7266_2150751134">
            <w:r>
              <w:rPr>
                <w:webHidden/>
                <w:rStyle w:val="IndexLink"/>
              </w:rPr>
              <w:t>39.2 Execution Boundary</w:t>
              <w:tab/>
              <w:t>100</w:t>
            </w:r>
          </w:hyperlink>
        </w:p>
        <w:p>
          <w:pPr>
            <w:pStyle w:val="TOC2"/>
            <w:tabs>
              <w:tab w:val="clear" w:pos="11957"/>
              <w:tab w:val="right" w:pos="10309" w:leader="dot"/>
            </w:tabs>
            <w:rPr/>
          </w:pPr>
          <w:hyperlink w:anchor="__RefHeading___Toc7268_2150751134">
            <w:r>
              <w:rPr>
                <w:webHidden/>
                <w:rStyle w:val="IndexLink"/>
              </w:rPr>
              <w:t>39.3 Security Zones</w:t>
              <w:tab/>
              <w:t>100</w:t>
            </w:r>
          </w:hyperlink>
        </w:p>
        <w:p>
          <w:pPr>
            <w:pStyle w:val="TOC1"/>
            <w:tabs>
              <w:tab w:val="clear" w:pos="12240"/>
              <w:tab w:val="right" w:pos="10309" w:leader="dot"/>
            </w:tabs>
            <w:rPr/>
          </w:pPr>
          <w:hyperlink w:anchor="__RefHeading___Toc7270_2150751134">
            <w:r>
              <w:rPr>
                <w:webHidden/>
                <w:rStyle w:val="IndexLink"/>
              </w:rPr>
              <w:t>40. Source and Standards References</w:t>
              <w:tab/>
              <w:t>101</w:t>
            </w:r>
          </w:hyperlink>
        </w:p>
        <w:p>
          <w:pPr>
            <w:pStyle w:val="TOC2"/>
            <w:tabs>
              <w:tab w:val="clear" w:pos="11957"/>
              <w:tab w:val="right" w:pos="10309" w:leader="dot"/>
            </w:tabs>
            <w:rPr/>
          </w:pPr>
          <w:hyperlink w:anchor="__RefHeading___Toc7272_2150751134">
            <w:r>
              <w:rPr>
                <w:webHidden/>
                <w:rStyle w:val="IndexLink"/>
              </w:rPr>
              <w:t>Product Engineering Standards</w:t>
              <w:tab/>
              <w:t>101</w:t>
            </w:r>
          </w:hyperlink>
        </w:p>
        <w:p>
          <w:pPr>
            <w:pStyle w:val="TOC2"/>
            <w:tabs>
              <w:tab w:val="clear" w:pos="11957"/>
              <w:tab w:val="right" w:pos="10309" w:leader="dot"/>
            </w:tabs>
            <w:rPr/>
          </w:pPr>
          <w:hyperlink w:anchor="__RefHeading___Toc7274_2150751134">
            <w:r>
              <w:rPr>
                <w:webHidden/>
                <w:rStyle w:val="IndexLink"/>
              </w:rPr>
              <w:t>Official External References</w:t>
              <w:tab/>
              <w:t>101</w:t>
            </w:r>
          </w:hyperlink>
        </w:p>
        <w:p>
          <w:pPr>
            <w:pStyle w:val="TOC1"/>
            <w:tabs>
              <w:tab w:val="clear" w:pos="12240"/>
              <w:tab w:val="right" w:pos="10309" w:leader="dot"/>
            </w:tabs>
            <w:rPr/>
          </w:pPr>
          <w:hyperlink w:anchor="__RefHeading___Toc7276_2150751134">
            <w:r>
              <w:rPr>
                <w:webHidden/>
                <w:rStyle w:val="IndexLink"/>
              </w:rPr>
              <w:t>Closing Direction</w:t>
              <w:tab/>
              <w:t>102</w:t>
            </w:r>
          </w:hyperlink>
        </w:p>
        <w:p>
          <w:pPr>
            <w:pStyle w:val="TOC1"/>
            <w:tabs>
              <w:tab w:val="clear" w:pos="12240"/>
              <w:tab w:val="right" w:pos="10309" w:leader="dot"/>
            </w:tabs>
            <w:rPr/>
          </w:pPr>
          <w:hyperlink w:anchor="__RefHeading___Toc7278_2150751134">
            <w:r>
              <w:rPr>
                <w:webHidden/>
                <w:rStyle w:val="IndexLink"/>
              </w:rPr>
              <w:t>Architecture Evolution v0.2 - Integrated Build-Ready Contracts</w:t>
              <w:tab/>
              <w:t>104</w:t>
            </w:r>
          </w:hyperlink>
        </w:p>
        <w:p>
          <w:pPr>
            <w:pStyle w:val="TOC2"/>
            <w:tabs>
              <w:tab w:val="clear" w:pos="11957"/>
              <w:tab w:val="right" w:pos="10309" w:leader="dot"/>
            </w:tabs>
            <w:rPr/>
          </w:pPr>
          <w:hyperlink w:anchor="__RefHeading___Toc7280_2150751134">
            <w:r>
              <w:rPr>
                <w:webHidden/>
                <w:rStyle w:val="IndexLink"/>
              </w:rPr>
              <w:t>How to Use This Document</w:t>
              <w:tab/>
              <w:t>104</w:t>
            </w:r>
          </w:hyperlink>
        </w:p>
        <w:p>
          <w:pPr>
            <w:pStyle w:val="TOC1"/>
            <w:tabs>
              <w:tab w:val="clear" w:pos="12240"/>
              <w:tab w:val="right" w:pos="10309" w:leader="dot"/>
            </w:tabs>
            <w:rPr/>
          </w:pPr>
          <w:hyperlink w:anchor="__RefHeading___Toc7282_2150751134">
            <w:r>
              <w:rPr>
                <w:webHidden/>
                <w:rStyle w:val="IndexLink"/>
              </w:rPr>
              <w:t>Part I — Load-Bearing Trait Surfaces</w:t>
              <w:tab/>
              <w:t>105</w:t>
            </w:r>
          </w:hyperlink>
        </w:p>
        <w:p>
          <w:pPr>
            <w:pStyle w:val="TOC2"/>
            <w:tabs>
              <w:tab w:val="clear" w:pos="11957"/>
              <w:tab w:val="right" w:pos="10309" w:leader="dot"/>
            </w:tabs>
            <w:rPr/>
          </w:pPr>
          <w:hyperlink w:anchor="__RefHeading___Toc7284_2150751134">
            <w:r>
              <w:rPr>
                <w:webHidden/>
                <w:rStyle w:val="IndexLink"/>
              </w:rPr>
              <w:t>1. Strategy and Strategy Runtime</w:t>
              <w:tab/>
              <w:t>105</w:t>
            </w:r>
          </w:hyperlink>
        </w:p>
        <w:p>
          <w:pPr>
            <w:pStyle w:val="TOC3"/>
            <w:tabs>
              <w:tab w:val="clear" w:pos="11673"/>
              <w:tab w:val="right" w:pos="10309" w:leader="dot"/>
            </w:tabs>
            <w:rPr/>
          </w:pPr>
          <w:hyperlink w:anchor="__RefHeading___Toc7286_2150751134">
            <w:r>
              <w:rPr>
                <w:webHidden/>
                <w:rStyle w:val="IndexLink"/>
              </w:rPr>
              <w:t>1.1 Strategy Intermediate Representation</w:t>
              <w:tab/>
              <w:t>105</w:t>
            </w:r>
          </w:hyperlink>
        </w:p>
        <w:p>
          <w:pPr>
            <w:pStyle w:val="TOC3"/>
            <w:tabs>
              <w:tab w:val="clear" w:pos="11673"/>
              <w:tab w:val="right" w:pos="10309" w:leader="dot"/>
            </w:tabs>
            <w:rPr/>
          </w:pPr>
          <w:hyperlink w:anchor="__RefHeading___Toc7288_2150751134">
            <w:r>
              <w:rPr>
                <w:webHidden/>
                <w:rStyle w:val="IndexLink"/>
              </w:rPr>
              <w:t>1.2 The Strategy Trait</w:t>
              <w:tab/>
              <w:t>105</w:t>
            </w:r>
          </w:hyperlink>
        </w:p>
        <w:p>
          <w:pPr>
            <w:pStyle w:val="TOC3"/>
            <w:tabs>
              <w:tab w:val="clear" w:pos="11673"/>
              <w:tab w:val="right" w:pos="10309" w:leader="dot"/>
            </w:tabs>
            <w:rPr/>
          </w:pPr>
          <w:hyperlink w:anchor="__RefHeading___Toc7290_2150751134">
            <w:r>
              <w:rPr>
                <w:webHidden/>
                <w:rStyle w:val="IndexLink"/>
              </w:rPr>
              <w:t>1.3 Why This Design</w:t>
              <w:tab/>
              <w:t>106</w:t>
            </w:r>
          </w:hyperlink>
        </w:p>
        <w:p>
          <w:pPr>
            <w:pStyle w:val="TOC2"/>
            <w:tabs>
              <w:tab w:val="clear" w:pos="11957"/>
              <w:tab w:val="right" w:pos="10309" w:leader="dot"/>
            </w:tabs>
            <w:rPr/>
          </w:pPr>
          <w:hyperlink w:anchor="__RefHeading___Toc7292_2150751134">
            <w:r>
              <w:rPr>
                <w:webHidden/>
                <w:rStyle w:val="IndexLink"/>
              </w:rPr>
              <w:t>2. Risk Policy and Pre-Trade Checks</w:t>
              <w:tab/>
              <w:t>106</w:t>
            </w:r>
          </w:hyperlink>
        </w:p>
        <w:p>
          <w:pPr>
            <w:pStyle w:val="TOC3"/>
            <w:tabs>
              <w:tab w:val="clear" w:pos="11673"/>
              <w:tab w:val="right" w:pos="10309" w:leader="dot"/>
            </w:tabs>
            <w:rPr/>
          </w:pPr>
          <w:hyperlink w:anchor="__RefHeading___Toc7294_2150751134">
            <w:r>
              <w:rPr>
                <w:webHidden/>
                <w:rStyle w:val="IndexLink"/>
              </w:rPr>
              <w:t>2.1 Risk Trait</w:t>
              <w:tab/>
              <w:t>106</w:t>
            </w:r>
          </w:hyperlink>
        </w:p>
        <w:p>
          <w:pPr>
            <w:pStyle w:val="TOC3"/>
            <w:tabs>
              <w:tab w:val="clear" w:pos="11673"/>
              <w:tab w:val="right" w:pos="10309" w:leader="dot"/>
            </w:tabs>
            <w:rPr/>
          </w:pPr>
          <w:hyperlink w:anchor="__RefHeading___Toc7296_2150751134">
            <w:r>
              <w:rPr>
                <w:webHidden/>
                <w:rStyle w:val="IndexLink"/>
              </w:rPr>
              <w:t>2.2 Check Catalog</w:t>
              <w:tab/>
              <w:t>107</w:t>
            </w:r>
          </w:hyperlink>
        </w:p>
        <w:p>
          <w:pPr>
            <w:pStyle w:val="TOC2"/>
            <w:tabs>
              <w:tab w:val="clear" w:pos="11957"/>
              <w:tab w:val="right" w:pos="10309" w:leader="dot"/>
            </w:tabs>
            <w:rPr/>
          </w:pPr>
          <w:hyperlink w:anchor="__RefHeading___Toc7298_2150751134">
            <w:r>
              <w:rPr>
                <w:webHidden/>
                <w:rStyle w:val="IndexLink"/>
              </w:rPr>
              <w:t>3. Broker Gateway and Execution Boundary</w:t>
              <w:tab/>
              <w:t>108</w:t>
            </w:r>
          </w:hyperlink>
        </w:p>
        <w:p>
          <w:pPr>
            <w:pStyle w:val="TOC2"/>
            <w:tabs>
              <w:tab w:val="clear" w:pos="11957"/>
              <w:tab w:val="right" w:pos="10309" w:leader="dot"/>
            </w:tabs>
            <w:rPr/>
          </w:pPr>
          <w:hyperlink w:anchor="__RefHeading___Toc7300_2150751134">
            <w:r>
              <w:rPr>
                <w:webHidden/>
                <w:rStyle w:val="IndexLink"/>
              </w:rPr>
              <w:t>4. AI Tool Gateway</w:t>
              <w:tab/>
              <w:t>109</w:t>
            </w:r>
          </w:hyperlink>
        </w:p>
        <w:p>
          <w:pPr>
            <w:pStyle w:val="TOC3"/>
            <w:tabs>
              <w:tab w:val="clear" w:pos="11673"/>
              <w:tab w:val="right" w:pos="10309" w:leader="dot"/>
            </w:tabs>
            <w:rPr/>
          </w:pPr>
          <w:hyperlink w:anchor="__RefHeading___Toc7302_2150751134">
            <w:r>
              <w:rPr>
                <w:webHidden/>
                <w:rStyle w:val="IndexLink"/>
              </w:rPr>
              <w:t>Tool Catalog with Trust Levels</w:t>
              <w:tab/>
              <w:t>109</w:t>
            </w:r>
          </w:hyperlink>
        </w:p>
        <w:p>
          <w:pPr>
            <w:pStyle w:val="TOC2"/>
            <w:tabs>
              <w:tab w:val="clear" w:pos="11957"/>
              <w:tab w:val="right" w:pos="10309" w:leader="dot"/>
            </w:tabs>
            <w:rPr/>
          </w:pPr>
          <w:hyperlink w:anchor="__RefHeading___Toc7304_2150751134">
            <w:r>
              <w:rPr>
                <w:webHidden/>
                <w:rStyle w:val="IndexLink"/>
              </w:rPr>
              <w:t>5. Alert Rule Evaluator</w:t>
              <w:tab/>
              <w:t>109</w:t>
            </w:r>
          </w:hyperlink>
        </w:p>
        <w:p>
          <w:pPr>
            <w:pStyle w:val="TOC3"/>
            <w:tabs>
              <w:tab w:val="clear" w:pos="11673"/>
              <w:tab w:val="right" w:pos="10309" w:leader="dot"/>
            </w:tabs>
            <w:rPr/>
          </w:pPr>
          <w:hyperlink w:anchor="__RefHeading___Toc7306_2150751134">
            <w:r>
              <w:rPr>
                <w:webHidden/>
                <w:rStyle w:val="IndexLink"/>
              </w:rPr>
              <w:t>Streaming vs Scheduled Boundary</w:t>
              <w:tab/>
              <w:t>110</w:t>
            </w:r>
          </w:hyperlink>
        </w:p>
        <w:p>
          <w:pPr>
            <w:pStyle w:val="TOC2"/>
            <w:tabs>
              <w:tab w:val="clear" w:pos="11957"/>
              <w:tab w:val="right" w:pos="10309" w:leader="dot"/>
            </w:tabs>
            <w:rPr/>
          </w:pPr>
          <w:hyperlink w:anchor="__RefHeading___Toc7308_2150751134">
            <w:r>
              <w:rPr>
                <w:webHidden/>
                <w:rStyle w:val="IndexLink"/>
              </w:rPr>
              <w:t>6. Repository Port Pattern</w:t>
              <w:tab/>
              <w:t>110</w:t>
            </w:r>
          </w:hyperlink>
        </w:p>
        <w:p>
          <w:pPr>
            <w:pStyle w:val="TOC1"/>
            <w:tabs>
              <w:tab w:val="clear" w:pos="12240"/>
              <w:tab w:val="right" w:pos="10309" w:leader="dot"/>
            </w:tabs>
            <w:rPr/>
          </w:pPr>
          <w:hyperlink w:anchor="__RefHeading___Toc7310_2150751134">
            <w:r>
              <w:rPr>
                <w:webHidden/>
                <w:rStyle w:val="IndexLink"/>
              </w:rPr>
              <w:t>Part II — Pipeline Orchestration and Lineage</w:t>
              <w:tab/>
              <w:t>111</w:t>
            </w:r>
          </w:hyperlink>
        </w:p>
        <w:p>
          <w:pPr>
            <w:pStyle w:val="TOC2"/>
            <w:tabs>
              <w:tab w:val="clear" w:pos="11957"/>
              <w:tab w:val="right" w:pos="10309" w:leader="dot"/>
            </w:tabs>
            <w:rPr/>
          </w:pPr>
          <w:hyperlink w:anchor="__RefHeading___Toc7312_2150751134">
            <w:r>
              <w:rPr>
                <w:webHidden/>
                <w:rStyle w:val="IndexLink"/>
              </w:rPr>
              <w:t>7. Orchestrator Architecture</w:t>
              <w:tab/>
              <w:t>111</w:t>
            </w:r>
          </w:hyperlink>
        </w:p>
        <w:p>
          <w:pPr>
            <w:pStyle w:val="TOC3"/>
            <w:tabs>
              <w:tab w:val="clear" w:pos="11673"/>
              <w:tab w:val="right" w:pos="10309" w:leader="dot"/>
            </w:tabs>
            <w:rPr/>
          </w:pPr>
          <w:hyperlink w:anchor="__RefHeading___Toc7314_2150751134">
            <w:r>
              <w:rPr>
                <w:webHidden/>
                <w:rStyle w:val="IndexLink"/>
              </w:rPr>
              <w:t>7.1 Design Decision</w:t>
              <w:tab/>
              <w:t>111</w:t>
            </w:r>
          </w:hyperlink>
        </w:p>
        <w:p>
          <w:pPr>
            <w:pStyle w:val="TOC3"/>
            <w:tabs>
              <w:tab w:val="clear" w:pos="11673"/>
              <w:tab w:val="right" w:pos="10309" w:leader="dot"/>
            </w:tabs>
            <w:rPr/>
          </w:pPr>
          <w:hyperlink w:anchor="__RefHeading___Toc7316_2150751134">
            <w:r>
              <w:rPr>
                <w:webHidden/>
                <w:rStyle w:val="IndexLink"/>
              </w:rPr>
              <w:t>7.2 Core Types</w:t>
              <w:tab/>
              <w:t>111</w:t>
            </w:r>
          </w:hyperlink>
        </w:p>
        <w:p>
          <w:pPr>
            <w:pStyle w:val="TOC3"/>
            <w:tabs>
              <w:tab w:val="clear" w:pos="11673"/>
              <w:tab w:val="right" w:pos="10309" w:leader="dot"/>
            </w:tabs>
            <w:rPr/>
          </w:pPr>
          <w:hyperlink w:anchor="__RefHeading___Toc7318_2150751134">
            <w:r>
              <w:rPr>
                <w:webHidden/>
                <w:rStyle w:val="IndexLink"/>
              </w:rPr>
              <w:t>7.3 Task Types Mapped to v0.1 Layers</w:t>
              <w:tab/>
              <w:t>111</w:t>
            </w:r>
          </w:hyperlink>
        </w:p>
        <w:p>
          <w:pPr>
            <w:pStyle w:val="TOC2"/>
            <w:tabs>
              <w:tab w:val="clear" w:pos="11957"/>
              <w:tab w:val="right" w:pos="10309" w:leader="dot"/>
            </w:tabs>
            <w:rPr/>
          </w:pPr>
          <w:hyperlink w:anchor="__RefHeading___Toc7320_2150751134">
            <w:r>
              <w:rPr>
                <w:webHidden/>
                <w:rStyle w:val="IndexLink"/>
              </w:rPr>
              <w:t>8. Lineage Schema</w:t>
              <w:tab/>
              <w:t>112</w:t>
            </w:r>
          </w:hyperlink>
        </w:p>
        <w:p>
          <w:pPr>
            <w:pStyle w:val="TOC2"/>
            <w:tabs>
              <w:tab w:val="clear" w:pos="11957"/>
              <w:tab w:val="right" w:pos="10309" w:leader="dot"/>
            </w:tabs>
            <w:rPr/>
          </w:pPr>
          <w:hyperlink w:anchor="__RefHeading___Toc7322_2150751134">
            <w:r>
              <w:rPr>
                <w:webHidden/>
                <w:rStyle w:val="IndexLink"/>
              </w:rPr>
              <w:t>9. Invalidation Model</w:t>
              <w:tab/>
              <w:t>112</w:t>
            </w:r>
          </w:hyperlink>
        </w:p>
        <w:p>
          <w:pPr>
            <w:pStyle w:val="TOC3"/>
            <w:tabs>
              <w:tab w:val="clear" w:pos="11673"/>
              <w:tab w:val="right" w:pos="10309" w:leader="dot"/>
            </w:tabs>
            <w:rPr/>
          </w:pPr>
          <w:hyperlink w:anchor="__RefHeading___Toc7324_2150751134">
            <w:r>
              <w:rPr>
                <w:webHidden/>
                <w:rStyle w:val="IndexLink"/>
              </w:rPr>
              <w:t>9.1 Invalidation Propagation</w:t>
              <w:tab/>
              <w:t>112</w:t>
            </w:r>
          </w:hyperlink>
        </w:p>
        <w:p>
          <w:pPr>
            <w:pStyle w:val="TOC3"/>
            <w:tabs>
              <w:tab w:val="clear" w:pos="11673"/>
              <w:tab w:val="right" w:pos="10309" w:leader="dot"/>
            </w:tabs>
            <w:rPr/>
          </w:pPr>
          <w:hyperlink w:anchor="__RefHeading___Toc7326_2150751134">
            <w:r>
              <w:rPr>
                <w:webHidden/>
                <w:rStyle w:val="IndexLink"/>
              </w:rPr>
              <w:t>9.2 Stale-vs-Source vs Recompute</w:t>
              <w:tab/>
              <w:t>113</w:t>
            </w:r>
          </w:hyperlink>
        </w:p>
        <w:p>
          <w:pPr>
            <w:pStyle w:val="TOC2"/>
            <w:tabs>
              <w:tab w:val="clear" w:pos="11957"/>
              <w:tab w:val="right" w:pos="10309" w:leader="dot"/>
            </w:tabs>
            <w:rPr/>
          </w:pPr>
          <w:hyperlink w:anchor="__RefHeading___Toc7328_2150751134">
            <w:r>
              <w:rPr>
                <w:webHidden/>
                <w:rStyle w:val="IndexLink"/>
              </w:rPr>
              <w:t>10. Per-Layer Freshness Targets</w:t>
              <w:tab/>
              <w:t>113</w:t>
            </w:r>
          </w:hyperlink>
        </w:p>
        <w:p>
          <w:pPr>
            <w:pStyle w:val="TOC1"/>
            <w:tabs>
              <w:tab w:val="clear" w:pos="12240"/>
              <w:tab w:val="right" w:pos="10309" w:leader="dot"/>
            </w:tabs>
            <w:rPr/>
          </w:pPr>
          <w:hyperlink w:anchor="__RefHeading___Toc7330_2150751134">
            <w:r>
              <w:rPr>
                <w:webHidden/>
                <w:rStyle w:val="IndexLink"/>
              </w:rPr>
              <w:t>Part III — Provider Cost Model</w:t>
              <w:tab/>
              <w:t>114</w:t>
            </w:r>
          </w:hyperlink>
        </w:p>
        <w:p>
          <w:pPr>
            <w:pStyle w:val="TOC2"/>
            <w:tabs>
              <w:tab w:val="clear" w:pos="11957"/>
              <w:tab w:val="right" w:pos="10309" w:leader="dot"/>
            </w:tabs>
            <w:rPr/>
          </w:pPr>
          <w:hyperlink w:anchor="__RefHeading___Toc7332_2150751134">
            <w:r>
              <w:rPr>
                <w:webHidden/>
                <w:rStyle w:val="IndexLink"/>
              </w:rPr>
              <w:t>11. Cost Unit and Budget Architecture</w:t>
              <w:tab/>
              <w:t>114</w:t>
            </w:r>
          </w:hyperlink>
        </w:p>
        <w:p>
          <w:pPr>
            <w:pStyle w:val="TOC3"/>
            <w:tabs>
              <w:tab w:val="clear" w:pos="11673"/>
              <w:tab w:val="right" w:pos="10309" w:leader="dot"/>
            </w:tabs>
            <w:rPr/>
          </w:pPr>
          <w:hyperlink w:anchor="__RefHeading___Toc7334_2150751134">
            <w:r>
              <w:rPr>
                <w:webHidden/>
                <w:rStyle w:val="IndexLink"/>
              </w:rPr>
              <w:t>11.1 Cost Units</w:t>
              <w:tab/>
              <w:t>114</w:t>
            </w:r>
          </w:hyperlink>
        </w:p>
        <w:p>
          <w:pPr>
            <w:pStyle w:val="TOC3"/>
            <w:tabs>
              <w:tab w:val="clear" w:pos="11673"/>
              <w:tab w:val="right" w:pos="10309" w:leader="dot"/>
            </w:tabs>
            <w:rPr/>
          </w:pPr>
          <w:hyperlink w:anchor="__RefHeading___Toc7336_2150751134">
            <w:r>
              <w:rPr>
                <w:webHidden/>
                <w:rStyle w:val="IndexLink"/>
              </w:rPr>
              <w:t>11.2 Budget Policy and Priority Classes</w:t>
              <w:tab/>
              <w:t>114</w:t>
            </w:r>
          </w:hyperlink>
        </w:p>
        <w:p>
          <w:pPr>
            <w:pStyle w:val="TOC3"/>
            <w:tabs>
              <w:tab w:val="clear" w:pos="11673"/>
              <w:tab w:val="right" w:pos="10309" w:leader="dot"/>
            </w:tabs>
            <w:rPr/>
          </w:pPr>
          <w:hyperlink w:anchor="__RefHeading___Toc7338_2150751134">
            <w:r>
              <w:rPr>
                <w:webHidden/>
                <w:rStyle w:val="IndexLink"/>
              </w:rPr>
              <w:t>11.3 Rate-Budget UI Specification</w:t>
              <w:tab/>
              <w:t>114</w:t>
            </w:r>
          </w:hyperlink>
        </w:p>
        <w:p>
          <w:pPr>
            <w:pStyle w:val="TOC1"/>
            <w:tabs>
              <w:tab w:val="clear" w:pos="12240"/>
              <w:tab w:val="right" w:pos="10309" w:leader="dot"/>
            </w:tabs>
            <w:rPr/>
          </w:pPr>
          <w:hyperlink w:anchor="__RefHeading___Toc7340_2150751134">
            <w:r>
              <w:rPr>
                <w:webHidden/>
                <w:rStyle w:val="IndexLink"/>
              </w:rPr>
              <w:t>Part IV — First-Run, Demo, and Suitability</w:t>
              <w:tab/>
              <w:t>116</w:t>
            </w:r>
          </w:hyperlink>
        </w:p>
        <w:p>
          <w:pPr>
            <w:pStyle w:val="TOC2"/>
            <w:tabs>
              <w:tab w:val="clear" w:pos="11957"/>
              <w:tab w:val="right" w:pos="10309" w:leader="dot"/>
            </w:tabs>
            <w:rPr/>
          </w:pPr>
          <w:hyperlink w:anchor="__RefHeading___Toc7342_2150751134">
            <w:r>
              <w:rPr>
                <w:webHidden/>
                <w:rStyle w:val="IndexLink"/>
              </w:rPr>
              <w:t>12. First-Run Experience</w:t>
              <w:tab/>
              <w:t>116</w:t>
            </w:r>
          </w:hyperlink>
        </w:p>
        <w:p>
          <w:pPr>
            <w:pStyle w:val="TOC3"/>
            <w:tabs>
              <w:tab w:val="clear" w:pos="11673"/>
              <w:tab w:val="right" w:pos="10309" w:leader="dot"/>
            </w:tabs>
            <w:rPr/>
          </w:pPr>
          <w:hyperlink w:anchor="__RefHeading___Toc7344_2150751134">
            <w:r>
              <w:rPr>
                <w:webHidden/>
                <w:rStyle w:val="IndexLink"/>
              </w:rPr>
              <w:t>12.1 Flow State Machine</w:t>
              <w:tab/>
              <w:t>116</w:t>
            </w:r>
          </w:hyperlink>
        </w:p>
        <w:p>
          <w:pPr>
            <w:pStyle w:val="TOC3"/>
            <w:tabs>
              <w:tab w:val="clear" w:pos="11673"/>
              <w:tab w:val="right" w:pos="10309" w:leader="dot"/>
            </w:tabs>
            <w:rPr/>
          </w:pPr>
          <w:hyperlink w:anchor="__RefHeading___Toc7346_2150751134">
            <w:r>
              <w:rPr>
                <w:webHidden/>
                <w:rStyle w:val="IndexLink"/>
              </w:rPr>
              <w:t>12.2 Demo Mode Architecture</w:t>
              <w:tab/>
              <w:t>116</w:t>
            </w:r>
          </w:hyperlink>
        </w:p>
        <w:p>
          <w:pPr>
            <w:pStyle w:val="TOC3"/>
            <w:tabs>
              <w:tab w:val="clear" w:pos="11673"/>
              <w:tab w:val="right" w:pos="10309" w:leader="dot"/>
            </w:tabs>
            <w:rPr/>
          </w:pPr>
          <w:hyperlink w:anchor="__RefHeading___Toc7348_2150751134">
            <w:r>
              <w:rPr>
                <w:webHidden/>
                <w:rStyle w:val="IndexLink"/>
              </w:rPr>
              <w:t>12.3 Suitability Profile Aggregate</w:t>
              <w:tab/>
              <w:t>117</w:t>
            </w:r>
          </w:hyperlink>
        </w:p>
        <w:p>
          <w:pPr>
            <w:pStyle w:val="TOC1"/>
            <w:tabs>
              <w:tab w:val="clear" w:pos="12240"/>
              <w:tab w:val="right" w:pos="10309" w:leader="dot"/>
            </w:tabs>
            <w:rPr/>
          </w:pPr>
          <w:hyperlink w:anchor="__RefHeading___Toc7350_2150751134">
            <w:r>
              <w:rPr>
                <w:webHidden/>
                <w:rStyle w:val="IndexLink"/>
              </w:rPr>
              <w:t>Part V — Notification Service</w:t>
              <w:tab/>
              <w:t>118</w:t>
            </w:r>
          </w:hyperlink>
        </w:p>
        <w:p>
          <w:pPr>
            <w:pStyle w:val="TOC2"/>
            <w:tabs>
              <w:tab w:val="clear" w:pos="11957"/>
              <w:tab w:val="right" w:pos="10309" w:leader="dot"/>
            </w:tabs>
            <w:rPr/>
          </w:pPr>
          <w:hyperlink w:anchor="__RefHeading___Toc7352_2150751134">
            <w:r>
              <w:rPr>
                <w:webHidden/>
                <w:rStyle w:val="IndexLink"/>
              </w:rPr>
              <w:t>13. Notification Service Design</w:t>
              <w:tab/>
              <w:t>118</w:t>
            </w:r>
          </w:hyperlink>
        </w:p>
        <w:p>
          <w:pPr>
            <w:pStyle w:val="TOC3"/>
            <w:tabs>
              <w:tab w:val="clear" w:pos="11673"/>
              <w:tab w:val="right" w:pos="10309" w:leader="dot"/>
            </w:tabs>
            <w:rPr/>
          </w:pPr>
          <w:hyperlink w:anchor="__RefHeading___Toc7354_2150751134">
            <w:r>
              <w:rPr>
                <w:webHidden/>
                <w:rStyle w:val="IndexLink"/>
              </w:rPr>
              <w:t>13.1 Delivery Channel Abstraction</w:t>
              <w:tab/>
              <w:t>119</w:t>
            </w:r>
          </w:hyperlink>
        </w:p>
        <w:p>
          <w:pPr>
            <w:pStyle w:val="TOC3"/>
            <w:tabs>
              <w:tab w:val="clear" w:pos="11673"/>
              <w:tab w:val="right" w:pos="10309" w:leader="dot"/>
            </w:tabs>
            <w:rPr/>
          </w:pPr>
          <w:hyperlink w:anchor="__RefHeading___Toc7356_2150751134">
            <w:r>
              <w:rPr>
                <w:webHidden/>
                <w:rStyle w:val="IndexLink"/>
              </w:rPr>
              <w:t>13.2 Dedup and Escalation</w:t>
              <w:tab/>
              <w:t>119</w:t>
            </w:r>
          </w:hyperlink>
        </w:p>
        <w:p>
          <w:pPr>
            <w:pStyle w:val="TOC1"/>
            <w:tabs>
              <w:tab w:val="clear" w:pos="12240"/>
              <w:tab w:val="right" w:pos="10309" w:leader="dot"/>
            </w:tabs>
            <w:rPr/>
          </w:pPr>
          <w:hyperlink w:anchor="__RefHeading___Toc7358_2150751134">
            <w:r>
              <w:rPr>
                <w:webHidden/>
                <w:rStyle w:val="IndexLink"/>
              </w:rPr>
              <w:t>Part VI — Compliance Architecture</w:t>
              <w:tab/>
              <w:t>120</w:t>
            </w:r>
          </w:hyperlink>
        </w:p>
        <w:p>
          <w:pPr>
            <w:pStyle w:val="TOC2"/>
            <w:tabs>
              <w:tab w:val="clear" w:pos="11957"/>
              <w:tab w:val="right" w:pos="10309" w:leader="dot"/>
            </w:tabs>
            <w:rPr/>
          </w:pPr>
          <w:hyperlink w:anchor="__RefHeading___Toc7360_2150751134">
            <w:r>
              <w:rPr>
                <w:webHidden/>
                <w:rStyle w:val="IndexLink"/>
              </w:rPr>
              <w:t>14. Jurisdiction Gating</w:t>
              <w:tab/>
              <w:t>120</w:t>
            </w:r>
          </w:hyperlink>
        </w:p>
        <w:p>
          <w:pPr>
            <w:pStyle w:val="TOC2"/>
            <w:tabs>
              <w:tab w:val="clear" w:pos="11957"/>
              <w:tab w:val="right" w:pos="10309" w:leader="dot"/>
            </w:tabs>
            <w:rPr/>
          </w:pPr>
          <w:hyperlink w:anchor="__RefHeading___Toc7362_2150751134">
            <w:r>
              <w:rPr>
                <w:webHidden/>
                <w:rStyle w:val="IndexLink"/>
              </w:rPr>
              <w:t>15. Disclosure Registry</w:t>
              <w:tab/>
              <w:t>120</w:t>
            </w:r>
          </w:hyperlink>
        </w:p>
        <w:p>
          <w:pPr>
            <w:pStyle w:val="TOC1"/>
            <w:tabs>
              <w:tab w:val="clear" w:pos="12240"/>
              <w:tab w:val="right" w:pos="10309" w:leader="dot"/>
            </w:tabs>
            <w:rPr/>
          </w:pPr>
          <w:hyperlink w:anchor="__RefHeading___Toc7364_2150751134">
            <w:r>
              <w:rPr>
                <w:webHidden/>
                <w:rStyle w:val="IndexLink"/>
              </w:rPr>
              <w:t>Part VII — Model Serving and Feature Store</w:t>
              <w:tab/>
              <w:t>121</w:t>
            </w:r>
          </w:hyperlink>
        </w:p>
        <w:p>
          <w:pPr>
            <w:pStyle w:val="TOC2"/>
            <w:tabs>
              <w:tab w:val="clear" w:pos="11957"/>
              <w:tab w:val="right" w:pos="10309" w:leader="dot"/>
            </w:tabs>
            <w:rPr/>
          </w:pPr>
          <w:hyperlink w:anchor="__RefHeading___Toc7366_2150751134">
            <w:r>
              <w:rPr>
                <w:webHidden/>
                <w:rStyle w:val="IndexLink"/>
              </w:rPr>
              <w:t>16. Feature Store</w:t>
              <w:tab/>
              <w:t>121</w:t>
            </w:r>
          </w:hyperlink>
        </w:p>
        <w:p>
          <w:pPr>
            <w:pStyle w:val="TOC3"/>
            <w:tabs>
              <w:tab w:val="clear" w:pos="11673"/>
              <w:tab w:val="right" w:pos="10309" w:leader="dot"/>
            </w:tabs>
            <w:rPr/>
          </w:pPr>
          <w:hyperlink w:anchor="__RefHeading___Toc7368_2150751134">
            <w:r>
              <w:rPr>
                <w:webHidden/>
                <w:rStyle w:val="IndexLink"/>
              </w:rPr>
              <w:t>16.1 Online vs Offline Serving</w:t>
              <w:tab/>
              <w:t>121</w:t>
            </w:r>
          </w:hyperlink>
        </w:p>
        <w:p>
          <w:pPr>
            <w:pStyle w:val="TOC3"/>
            <w:tabs>
              <w:tab w:val="clear" w:pos="11673"/>
              <w:tab w:val="right" w:pos="10309" w:leader="dot"/>
            </w:tabs>
            <w:rPr/>
          </w:pPr>
          <w:hyperlink w:anchor="__RefHeading___Toc7370_2150751134">
            <w:r>
              <w:rPr>
                <w:webHidden/>
                <w:rStyle w:val="IndexLink"/>
              </w:rPr>
              <w:t>16.2 Materialization</w:t>
              <w:tab/>
              <w:t>121</w:t>
            </w:r>
          </w:hyperlink>
        </w:p>
        <w:p>
          <w:pPr>
            <w:pStyle w:val="TOC2"/>
            <w:tabs>
              <w:tab w:val="clear" w:pos="11957"/>
              <w:tab w:val="right" w:pos="10309" w:leader="dot"/>
            </w:tabs>
            <w:rPr/>
          </w:pPr>
          <w:hyperlink w:anchor="__RefHeading___Toc7372_2150751134">
            <w:r>
              <w:rPr>
                <w:webHidden/>
                <w:rStyle w:val="IndexLink"/>
              </w:rPr>
              <w:t>17. Model Serving</w:t>
              <w:tab/>
              <w:t>121</w:t>
            </w:r>
          </w:hyperlink>
        </w:p>
        <w:p>
          <w:pPr>
            <w:pStyle w:val="TOC1"/>
            <w:tabs>
              <w:tab w:val="clear" w:pos="12240"/>
              <w:tab w:val="right" w:pos="10309" w:leader="dot"/>
            </w:tabs>
            <w:rPr/>
          </w:pPr>
          <w:hyperlink w:anchor="__RefHeading___Toc7374_2150751134">
            <w:r>
              <w:rPr>
                <w:webHidden/>
                <w:rStyle w:val="IndexLink"/>
              </w:rPr>
              <w:t>Part VIII — Reproducibility Manifest Schema</w:t>
              <w:tab/>
              <w:t>123</w:t>
            </w:r>
          </w:hyperlink>
        </w:p>
        <w:p>
          <w:pPr>
            <w:pStyle w:val="TOC2"/>
            <w:tabs>
              <w:tab w:val="clear" w:pos="11957"/>
              <w:tab w:val="right" w:pos="10309" w:leader="dot"/>
            </w:tabs>
            <w:rPr/>
          </w:pPr>
          <w:hyperlink w:anchor="__RefHeading___Toc7376_2150751134">
            <w:r>
              <w:rPr>
                <w:webHidden/>
                <w:rStyle w:val="IndexLink"/>
              </w:rPr>
              <w:t>18. Manifest Schema</w:t>
              <w:tab/>
              <w:t>123</w:t>
            </w:r>
          </w:hyperlink>
        </w:p>
        <w:p>
          <w:pPr>
            <w:pStyle w:val="TOC3"/>
            <w:tabs>
              <w:tab w:val="clear" w:pos="11673"/>
              <w:tab w:val="right" w:pos="10309" w:leader="dot"/>
            </w:tabs>
            <w:rPr/>
          </w:pPr>
          <w:hyperlink w:anchor="__RefHeading___Toc7378_2150751134">
            <w:r>
              <w:rPr>
                <w:webHidden/>
                <w:rStyle w:val="IndexLink"/>
              </w:rPr>
              <w:t>Verification Protocol</w:t>
              <w:tab/>
              <w:t>124</w:t>
            </w:r>
          </w:hyperlink>
        </w:p>
        <w:p>
          <w:pPr>
            <w:pStyle w:val="TOC1"/>
            <w:tabs>
              <w:tab w:val="clear" w:pos="12240"/>
              <w:tab w:val="right" w:pos="10309" w:leader="dot"/>
            </w:tabs>
            <w:rPr/>
          </w:pPr>
          <w:hyperlink w:anchor="__RefHeading___Toc7380_2150751134">
            <w:r>
              <w:rPr>
                <w:webHidden/>
                <w:rStyle w:val="IndexLink"/>
              </w:rPr>
              <w:t>Part IX — Market Infrastructure Services</w:t>
              <w:tab/>
              <w:t>125</w:t>
            </w:r>
          </w:hyperlink>
        </w:p>
        <w:p>
          <w:pPr>
            <w:pStyle w:val="TOC2"/>
            <w:tabs>
              <w:tab w:val="clear" w:pos="11957"/>
              <w:tab w:val="right" w:pos="10309" w:leader="dot"/>
            </w:tabs>
            <w:rPr/>
          </w:pPr>
          <w:hyperlink w:anchor="__RefHeading___Toc7382_2150751134">
            <w:r>
              <w:rPr>
                <w:webHidden/>
                <w:rStyle w:val="IndexLink"/>
              </w:rPr>
              <w:t>19. Trading Calendar Service</w:t>
              <w:tab/>
              <w:t>125</w:t>
            </w:r>
          </w:hyperlink>
        </w:p>
        <w:p>
          <w:pPr>
            <w:pStyle w:val="TOC2"/>
            <w:tabs>
              <w:tab w:val="clear" w:pos="11957"/>
              <w:tab w:val="right" w:pos="10309" w:leader="dot"/>
            </w:tabs>
            <w:rPr/>
          </w:pPr>
          <w:hyperlink w:anchor="__RefHeading___Toc7384_2150751134">
            <w:r>
              <w:rPr>
                <w:webHidden/>
                <w:rStyle w:val="IndexLink"/>
              </w:rPr>
              <w:t>20. Corporate Action Service</w:t>
              <w:tab/>
              <w:t>125</w:t>
            </w:r>
          </w:hyperlink>
        </w:p>
        <w:p>
          <w:pPr>
            <w:pStyle w:val="TOC3"/>
            <w:tabs>
              <w:tab w:val="clear" w:pos="11673"/>
              <w:tab w:val="right" w:pos="10309" w:leader="dot"/>
            </w:tabs>
            <w:rPr/>
          </w:pPr>
          <w:hyperlink w:anchor="__RefHeading___Toc7386_2150751134">
            <w:r>
              <w:rPr>
                <w:webHidden/>
                <w:rStyle w:val="IndexLink"/>
              </w:rPr>
              <w:t>Adjustment Propagation</w:t>
              <w:tab/>
              <w:t>125</w:t>
            </w:r>
          </w:hyperlink>
        </w:p>
        <w:p>
          <w:pPr>
            <w:pStyle w:val="TOC2"/>
            <w:tabs>
              <w:tab w:val="clear" w:pos="11957"/>
              <w:tab w:val="right" w:pos="10309" w:leader="dot"/>
            </w:tabs>
            <w:rPr/>
          </w:pPr>
          <w:hyperlink w:anchor="__RefHeading___Toc7388_2150751134">
            <w:r>
              <w:rPr>
                <w:webHidden/>
                <w:rStyle w:val="IndexLink"/>
              </w:rPr>
              <w:t>21. Symbology Resolution</w:t>
              <w:tab/>
              <w:t>126</w:t>
            </w:r>
          </w:hyperlink>
        </w:p>
        <w:p>
          <w:pPr>
            <w:pStyle w:val="TOC1"/>
            <w:tabs>
              <w:tab w:val="clear" w:pos="12240"/>
              <w:tab w:val="right" w:pos="10309" w:leader="dot"/>
            </w:tabs>
            <w:rPr/>
          </w:pPr>
          <w:hyperlink w:anchor="__RefHeading___Toc7390_2150751134">
            <w:r>
              <w:rPr>
                <w:webHidden/>
                <w:rStyle w:val="IndexLink"/>
              </w:rPr>
              <w:t>Part X — Desktop Backup, Restore, and Migration</w:t>
              <w:tab/>
              <w:t>127</w:t>
            </w:r>
          </w:hyperlink>
        </w:p>
        <w:p>
          <w:pPr>
            <w:pStyle w:val="TOC2"/>
            <w:tabs>
              <w:tab w:val="clear" w:pos="11957"/>
              <w:tab w:val="right" w:pos="10309" w:leader="dot"/>
            </w:tabs>
            <w:rPr/>
          </w:pPr>
          <w:hyperlink w:anchor="__RefHeading___Toc7392_2150751134">
            <w:r>
              <w:rPr>
                <w:webHidden/>
                <w:rStyle w:val="IndexLink"/>
              </w:rPr>
              <w:t>22. Backup Bundle</w:t>
              <w:tab/>
              <w:t>127</w:t>
            </w:r>
          </w:hyperlink>
        </w:p>
        <w:p>
          <w:pPr>
            <w:pStyle w:val="TOC3"/>
            <w:tabs>
              <w:tab w:val="clear" w:pos="11673"/>
              <w:tab w:val="right" w:pos="10309" w:leader="dot"/>
            </w:tabs>
            <w:rPr/>
          </w:pPr>
          <w:hyperlink w:anchor="__RefHeading___Toc7394_2150751134">
            <w:r>
              <w:rPr>
                <w:webHidden/>
                <w:rStyle w:val="IndexLink"/>
              </w:rPr>
              <w:t>Restore Protocol</w:t>
              <w:tab/>
              <w:t>127</w:t>
            </w:r>
          </w:hyperlink>
        </w:p>
        <w:p>
          <w:pPr>
            <w:pStyle w:val="TOC3"/>
            <w:tabs>
              <w:tab w:val="clear" w:pos="11673"/>
              <w:tab w:val="right" w:pos="10309" w:leader="dot"/>
            </w:tabs>
            <w:rPr/>
          </w:pPr>
          <w:hyperlink w:anchor="__RefHeading___Toc7396_2150751134">
            <w:r>
              <w:rPr>
                <w:webHidden/>
                <w:rStyle w:val="IndexLink"/>
              </w:rPr>
              <w:t>Cross-Version Migration</w:t>
              <w:tab/>
              <w:t>127</w:t>
            </w:r>
          </w:hyperlink>
        </w:p>
        <w:p>
          <w:pPr>
            <w:pStyle w:val="TOC1"/>
            <w:tabs>
              <w:tab w:val="clear" w:pos="12240"/>
              <w:tab w:val="right" w:pos="10309" w:leader="dot"/>
            </w:tabs>
            <w:rPr/>
          </w:pPr>
          <w:hyperlink w:anchor="__RefHeading___Toc7398_2150751134">
            <w:r>
              <w:rPr>
                <w:webHidden/>
                <w:rStyle w:val="IndexLink"/>
              </w:rPr>
              <w:t>Closing</w:t>
              <w:tab/>
              <w:t>128</w:t>
            </w:r>
          </w:hyperlink>
        </w:p>
        <w:p>
          <w:pPr>
            <w:pStyle w:val="TOC1"/>
            <w:tabs>
              <w:tab w:val="clear" w:pos="12240"/>
              <w:tab w:val="right" w:pos="10309" w:leader="dot"/>
            </w:tabs>
            <w:rPr/>
          </w:pPr>
          <w:hyperlink w:anchor="__RefHeading___Toc7400_2150751134">
            <w:r>
              <w:rPr>
                <w:webHidden/>
                <w:rStyle w:val="IndexLink"/>
              </w:rPr>
              <w:t>Engineering Operating Doctrine</w:t>
              <w:tab/>
              <w:t>130</w:t>
            </w:r>
          </w:hyperlink>
        </w:p>
        <w:p>
          <w:pPr>
            <w:pStyle w:val="TOC2"/>
            <w:tabs>
              <w:tab w:val="clear" w:pos="11957"/>
              <w:tab w:val="right" w:pos="10309" w:leader="dot"/>
            </w:tabs>
            <w:rPr/>
          </w:pPr>
          <w:hyperlink w:anchor="__RefHeading___Toc7402_2150751134">
            <w:r>
              <w:rPr>
                <w:webHidden/>
                <w:rStyle w:val="IndexLink"/>
              </w:rPr>
              <w:t>Minimum Definition of Done</w:t>
              <w:tab/>
              <w:t>130</w:t>
            </w:r>
          </w:hyperlink>
        </w:p>
        <w:p>
          <w:pPr>
            <w:pStyle w:val="TOC1"/>
            <w:tabs>
              <w:tab w:val="clear" w:pos="12240"/>
              <w:tab w:val="right" w:pos="10309" w:leader="dot"/>
            </w:tabs>
            <w:rPr/>
          </w:pPr>
          <w:hyperlink w:anchor="__RefHeading___Toc7404_2150751134">
            <w:r>
              <w:rPr>
                <w:webHidden/>
                <w:rStyle w:val="IndexLink"/>
              </w:rPr>
              <w:t>Implementation Readiness Index</w:t>
              <w:tab/>
              <w:t>130</w:t>
            </w:r>
          </w:hyperlink>
        </w:p>
        <w:p>
          <w:pPr>
            <w:pStyle w:val="TOC1"/>
            <w:tabs>
              <w:tab w:val="clear" w:pos="12240"/>
              <w:tab w:val="right" w:pos="10309" w:leader="dot"/>
            </w:tabs>
            <w:rPr/>
          </w:pPr>
          <w:hyperlink w:anchor="__RefHeading___Toc7406_2150751134">
            <w:r>
              <w:rPr>
                <w:webHidden/>
                <w:rStyle w:val="IndexLink"/>
              </w:rPr>
              <w:t>Glossary of Core Terms</w:t>
              <w:tab/>
              <w:t>131</w:t>
            </w:r>
          </w:hyperlink>
        </w:p>
        <w:p>
          <w:pPr>
            <w:pStyle w:val="TOC1"/>
            <w:tabs>
              <w:tab w:val="clear" w:pos="12240"/>
              <w:tab w:val="right" w:pos="10309" w:leader="dot"/>
            </w:tabs>
            <w:rPr/>
          </w:pPr>
          <w:hyperlink w:anchor="__RefHeading___Toc7408_2150751134">
            <w:r>
              <w:rPr>
                <w:webHidden/>
                <w:rStyle w:val="IndexLink"/>
              </w:rPr>
              <w:t>Document Lineage and Stewardship</w:t>
              <w:tab/>
              <w:t>132</w:t>
            </w:r>
          </w:hyperlink>
          <w:r>
            <w:rPr>
              <w:rStyle w:val="IndexLink"/>
            </w:rPr>
            <w:fldChar w:fldCharType="end"/>
          </w:r>
        </w:p>
      </w:sdtContent>
    </w:sdt>
    <w:p>
      <w:pPr>
        <w:pStyle w:val="Small"/>
        <w:jc w:val="center"/>
        <w:rPr/>
      </w:pPr>
      <w:r>
        <w:rPr/>
        <w:t>The table is generated from Heading 1-3 styles. Microsoft Word may prompt to refresh fields when the document is opened.</w:t>
      </w:r>
    </w:p>
    <w:p>
      <w:pPr>
        <w:pStyle w:val="Normal"/>
        <w:rPr/>
      </w:pPr>
      <w:r>
        <w:rPr/>
      </w:r>
      <w:r>
        <w:br w:type="page"/>
      </w:r>
    </w:p>
    <w:p>
      <w:pPr>
        <w:pStyle w:val="Heading1"/>
        <w:spacing w:before="0" w:after="200"/>
        <w:rPr/>
      </w:pPr>
      <w:bookmarkStart w:id="3" w:name="__RefHeading___Toc6726_2150751134"/>
      <w:bookmarkEnd w:id="3"/>
      <w:r>
        <w:rPr/>
        <w:t>DOCUMENT CONVENTIONS</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33C7F2"/>
            </w:tcBorders>
            <w:shd w:fill="E9FBFF"/>
          </w:tcPr>
          <w:p>
            <w:pPr>
              <w:pStyle w:val="Normal"/>
              <w:widowControl/>
              <w:bidi w:val="0"/>
              <w:spacing w:lineRule="auto" w:line="259" w:before="0" w:after="100"/>
              <w:jc w:val="start"/>
              <w:rPr/>
            </w:pPr>
            <w:r>
              <w:rPr>
                <w:rFonts w:ascii="Inter Display" w:hAnsi="Inter Display"/>
                <w:b/>
                <w:color w:val="33C7F2"/>
                <w:sz w:val="16"/>
              </w:rPr>
              <w:t xml:space="preserve">NORMATIVE LANGUAGE  </w:t>
            </w:r>
            <w:r>
              <w:rPr>
                <w:color w:val="172236"/>
                <w:sz w:val="18"/>
              </w:rPr>
              <w:t>MUST indicates a mandatory architectural or engineering requirement. SHOULD identifies the default expectation. MAY indicates an optional capability. NEVER identifies prohibited behavior without explicit senior risk approval.</w:t>
            </w:r>
          </w:p>
        </w:tc>
      </w:tr>
    </w:tbl>
    <w:p>
      <w:pPr>
        <w:pStyle w:val="Normal"/>
        <w:spacing w:before="0" w:after="0"/>
        <w:rPr/>
      </w:pPr>
      <w:r>
        <w:rPr/>
      </w:r>
    </w:p>
    <w:tbl>
      <w:tblPr>
        <w:tblW w:w="10310" w:type="dxa"/>
        <w:jc w:val="center"/>
        <w:tblInd w:w="0" w:type="dxa"/>
        <w:tblLayout w:type="fixed"/>
        <w:tblCellMar>
          <w:top w:w="100" w:type="dxa"/>
          <w:start w:w="110" w:type="dxa"/>
          <w:bottom w:w="100" w:type="dxa"/>
          <w:end w:w="110" w:type="dxa"/>
        </w:tblCellMar>
        <w:tblLook w:val="04a0" w:noHBand="0" w:noVBand="1" w:firstColumn="1" w:lastRow="0" w:lastColumn="0" w:firstRow="1"/>
      </w:tblPr>
      <w:tblGrid>
        <w:gridCol w:w="5155"/>
        <w:gridCol w:w="5154"/>
      </w:tblGrid>
      <w:tr>
        <w:trPr>
          <w:tblHeader/>
          <w:cantSplit/>
        </w:trPr>
        <w:tc>
          <w:tcPr>
            <w:tcW w:w="5155" w:type="dxa"/>
            <w:tcBorders>
              <w:top w:val="single" w:sz="4" w:space="0" w:color="D9E2EC"/>
              <w:start w:val="single" w:sz="4" w:space="0" w:color="D9E2EC"/>
              <w:bottom w:val="single" w:sz="4" w:space="0" w:color="D9E2EC"/>
              <w:end w:val="single" w:sz="4" w:space="0" w:color="D9E2EC"/>
            </w:tcBorders>
            <w:shd w:fill="0D1C32"/>
          </w:tcPr>
          <w:p>
            <w:pPr>
              <w:pStyle w:val="Normal"/>
              <w:widowControl/>
              <w:bidi w:val="0"/>
              <w:spacing w:lineRule="auto" w:line="259" w:before="0" w:after="100"/>
              <w:jc w:val="start"/>
              <w:rPr/>
            </w:pPr>
            <w:r>
              <w:rPr>
                <w:rFonts w:ascii="Inter Display" w:hAnsi="Inter Display"/>
                <w:b/>
                <w:color w:val="33C7F2"/>
                <w:sz w:val="16"/>
              </w:rPr>
              <w:t>MUST</w:t>
            </w:r>
          </w:p>
        </w:tc>
        <w:tc>
          <w:tcPr>
            <w:tcW w:w="5154" w:type="dxa"/>
            <w:tcBorders>
              <w:top w:val="single" w:sz="4" w:space="0" w:color="D9E2EC"/>
              <w:start w:val="single" w:sz="4" w:space="0" w:color="D9E2EC"/>
              <w:bottom w:val="single" w:sz="4" w:space="0" w:color="D9E2EC"/>
              <w:end w:val="single" w:sz="4" w:space="0" w:color="D9E2EC"/>
            </w:tcBorders>
            <w:shd w:fill="F5F7FB"/>
          </w:tcPr>
          <w:p>
            <w:pPr>
              <w:pStyle w:val="Normal"/>
              <w:widowControl/>
              <w:bidi w:val="0"/>
              <w:spacing w:lineRule="auto" w:line="259" w:before="0" w:after="100"/>
              <w:jc w:val="start"/>
              <w:rPr/>
            </w:pPr>
            <w:r>
              <w:rPr>
                <w:color w:val="172236"/>
                <w:sz w:val="17"/>
              </w:rPr>
              <w:t>Mandatory. A deviation requires an explicit architecture or risk decision.</w:t>
            </w:r>
          </w:p>
        </w:tc>
      </w:tr>
      <w:tr>
        <w:trPr>
          <w:cantSplit/>
        </w:trPr>
        <w:tc>
          <w:tcPr>
            <w:tcW w:w="5155" w:type="dxa"/>
            <w:tcBorders>
              <w:top w:val="single" w:sz="4" w:space="0" w:color="D9E2EC"/>
              <w:start w:val="single" w:sz="4" w:space="0" w:color="D9E2EC"/>
              <w:bottom w:val="single" w:sz="4" w:space="0" w:color="D9E2EC"/>
              <w:end w:val="single" w:sz="4" w:space="0" w:color="D9E2EC"/>
            </w:tcBorders>
            <w:shd w:fill="0D1C32"/>
          </w:tcPr>
          <w:p>
            <w:pPr>
              <w:pStyle w:val="Normal"/>
              <w:widowControl/>
              <w:bidi w:val="0"/>
              <w:spacing w:lineRule="auto" w:line="259" w:before="0" w:after="100"/>
              <w:jc w:val="start"/>
              <w:rPr/>
            </w:pPr>
            <w:r>
              <w:rPr>
                <w:rFonts w:ascii="Inter Display" w:hAnsi="Inter Display"/>
                <w:b/>
                <w:color w:val="33C7F2"/>
                <w:sz w:val="16"/>
              </w:rPr>
              <w:t>SHOULD</w:t>
            </w:r>
          </w:p>
        </w:tc>
        <w:tc>
          <w:tcPr>
            <w:tcW w:w="5154" w:type="dxa"/>
            <w:tcBorders>
              <w:top w:val="single" w:sz="4" w:space="0" w:color="D9E2EC"/>
              <w:start w:val="single" w:sz="4" w:space="0" w:color="D9E2EC"/>
              <w:bottom w:val="single" w:sz="4" w:space="0" w:color="D9E2EC"/>
              <w:end w:val="single" w:sz="4" w:space="0" w:color="D9E2EC"/>
            </w:tcBorders>
            <w:shd w:fill="F5F7FB"/>
          </w:tcPr>
          <w:p>
            <w:pPr>
              <w:pStyle w:val="Normal"/>
              <w:widowControl/>
              <w:bidi w:val="0"/>
              <w:spacing w:lineRule="auto" w:line="259" w:before="0" w:after="100"/>
              <w:jc w:val="start"/>
              <w:rPr/>
            </w:pPr>
            <w:r>
              <w:rPr>
                <w:color w:val="172236"/>
                <w:sz w:val="17"/>
              </w:rPr>
              <w:t>The expected default. Deviations require a practical reason.</w:t>
            </w:r>
          </w:p>
        </w:tc>
      </w:tr>
      <w:tr>
        <w:trPr>
          <w:cantSplit/>
        </w:trPr>
        <w:tc>
          <w:tcPr>
            <w:tcW w:w="5155" w:type="dxa"/>
            <w:tcBorders>
              <w:top w:val="single" w:sz="4" w:space="0" w:color="D9E2EC"/>
              <w:start w:val="single" w:sz="4" w:space="0" w:color="D9E2EC"/>
              <w:bottom w:val="single" w:sz="4" w:space="0" w:color="D9E2EC"/>
              <w:end w:val="single" w:sz="4" w:space="0" w:color="D9E2EC"/>
            </w:tcBorders>
            <w:shd w:fill="0D1C32"/>
          </w:tcPr>
          <w:p>
            <w:pPr>
              <w:pStyle w:val="Normal"/>
              <w:widowControl/>
              <w:bidi w:val="0"/>
              <w:spacing w:lineRule="auto" w:line="259" w:before="0" w:after="100"/>
              <w:jc w:val="start"/>
              <w:rPr/>
            </w:pPr>
            <w:r>
              <w:rPr>
                <w:rFonts w:ascii="Inter Display" w:hAnsi="Inter Display"/>
                <w:b/>
                <w:color w:val="33C7F2"/>
                <w:sz w:val="16"/>
              </w:rPr>
              <w:t>MAY</w:t>
            </w:r>
          </w:p>
        </w:tc>
        <w:tc>
          <w:tcPr>
            <w:tcW w:w="5154" w:type="dxa"/>
            <w:tcBorders>
              <w:top w:val="single" w:sz="4" w:space="0" w:color="D9E2EC"/>
              <w:start w:val="single" w:sz="4" w:space="0" w:color="D9E2EC"/>
              <w:bottom w:val="single" w:sz="4" w:space="0" w:color="D9E2EC"/>
              <w:end w:val="single" w:sz="4" w:space="0" w:color="D9E2EC"/>
            </w:tcBorders>
            <w:shd w:fill="F5F7FB"/>
          </w:tcPr>
          <w:p>
            <w:pPr>
              <w:pStyle w:val="Normal"/>
              <w:widowControl/>
              <w:bidi w:val="0"/>
              <w:spacing w:lineRule="auto" w:line="259" w:before="0" w:after="100"/>
              <w:jc w:val="start"/>
              <w:rPr/>
            </w:pPr>
            <w:r>
              <w:rPr>
                <w:color w:val="172236"/>
                <w:sz w:val="17"/>
              </w:rPr>
              <w:t>Optional and acceptable when it increases value without violating stronger requirements.</w:t>
            </w:r>
          </w:p>
        </w:tc>
      </w:tr>
      <w:tr>
        <w:trPr>
          <w:cantSplit/>
        </w:trPr>
        <w:tc>
          <w:tcPr>
            <w:tcW w:w="5155" w:type="dxa"/>
            <w:tcBorders>
              <w:top w:val="single" w:sz="4" w:space="0" w:color="D9E2EC"/>
              <w:start w:val="single" w:sz="4" w:space="0" w:color="D9E2EC"/>
              <w:bottom w:val="single" w:sz="4" w:space="0" w:color="D9E2EC"/>
              <w:end w:val="single" w:sz="4" w:space="0" w:color="D9E2EC"/>
            </w:tcBorders>
            <w:shd w:fill="0D1C32"/>
          </w:tcPr>
          <w:p>
            <w:pPr>
              <w:pStyle w:val="Normal"/>
              <w:widowControl/>
              <w:bidi w:val="0"/>
              <w:spacing w:lineRule="auto" w:line="259" w:before="0" w:after="100"/>
              <w:jc w:val="start"/>
              <w:rPr/>
            </w:pPr>
            <w:r>
              <w:rPr>
                <w:rFonts w:ascii="Inter Display" w:hAnsi="Inter Display"/>
                <w:b/>
                <w:color w:val="33C7F2"/>
                <w:sz w:val="16"/>
              </w:rPr>
              <w:t>NEVER</w:t>
            </w:r>
          </w:p>
        </w:tc>
        <w:tc>
          <w:tcPr>
            <w:tcW w:w="5154" w:type="dxa"/>
            <w:tcBorders>
              <w:top w:val="single" w:sz="4" w:space="0" w:color="D9E2EC"/>
              <w:start w:val="single" w:sz="4" w:space="0" w:color="D9E2EC"/>
              <w:bottom w:val="single" w:sz="4" w:space="0" w:color="D9E2EC"/>
              <w:end w:val="single" w:sz="4" w:space="0" w:color="D9E2EC"/>
            </w:tcBorders>
            <w:shd w:fill="F5F7FB"/>
          </w:tcPr>
          <w:p>
            <w:pPr>
              <w:pStyle w:val="Normal"/>
              <w:widowControl/>
              <w:bidi w:val="0"/>
              <w:spacing w:lineRule="auto" w:line="259" w:before="0" w:after="100"/>
              <w:jc w:val="start"/>
              <w:rPr/>
            </w:pPr>
            <w:r>
              <w:rPr>
                <w:color w:val="172236"/>
                <w:sz w:val="17"/>
              </w:rPr>
              <w:t>Prohibited unless a senior reviewer explicitly accepts and records the risk.</w:t>
            </w:r>
          </w:p>
        </w:tc>
      </w:tr>
      <w:tr>
        <w:trPr>
          <w:cantSplit/>
        </w:trPr>
        <w:tc>
          <w:tcPr>
            <w:tcW w:w="5155" w:type="dxa"/>
            <w:tcBorders>
              <w:top w:val="single" w:sz="4" w:space="0" w:color="D9E2EC"/>
              <w:start w:val="single" w:sz="4" w:space="0" w:color="D9E2EC"/>
              <w:bottom w:val="single" w:sz="4" w:space="0" w:color="D9E2EC"/>
              <w:end w:val="single" w:sz="4" w:space="0" w:color="D9E2EC"/>
            </w:tcBorders>
            <w:shd w:fill="0D1C32"/>
          </w:tcPr>
          <w:p>
            <w:pPr>
              <w:pStyle w:val="Normal"/>
              <w:widowControl/>
              <w:bidi w:val="0"/>
              <w:spacing w:lineRule="auto" w:line="259" w:before="0" w:after="100"/>
              <w:jc w:val="start"/>
              <w:rPr/>
            </w:pPr>
            <w:r>
              <w:rPr>
                <w:rFonts w:ascii="Inter Display" w:hAnsi="Inter Display"/>
                <w:b/>
                <w:color w:val="33C7F2"/>
                <w:sz w:val="16"/>
              </w:rPr>
              <w:t>Evidence language</w:t>
            </w:r>
          </w:p>
        </w:tc>
        <w:tc>
          <w:tcPr>
            <w:tcW w:w="5154" w:type="dxa"/>
            <w:tcBorders>
              <w:top w:val="single" w:sz="4" w:space="0" w:color="D9E2EC"/>
              <w:start w:val="single" w:sz="4" w:space="0" w:color="D9E2EC"/>
              <w:bottom w:val="single" w:sz="4" w:space="0" w:color="D9E2EC"/>
              <w:end w:val="single" w:sz="4" w:space="0" w:color="D9E2EC"/>
            </w:tcBorders>
            <w:shd w:fill="F5F7FB"/>
          </w:tcPr>
          <w:p>
            <w:pPr>
              <w:pStyle w:val="Normal"/>
              <w:widowControl/>
              <w:bidi w:val="0"/>
              <w:spacing w:lineRule="auto" w:line="259" w:before="0" w:after="100"/>
              <w:jc w:val="start"/>
              <w:rPr/>
            </w:pPr>
            <w:r>
              <w:rPr>
                <w:color w:val="172236"/>
                <w:sz w:val="17"/>
              </w:rPr>
              <w:t>Forecasts, scores, and signals are estimates with provenance and uncertainty - never guarantees.</w:t>
            </w:r>
          </w:p>
        </w:tc>
      </w:tr>
    </w:tbl>
    <w:p>
      <w:pPr>
        <w:pStyle w:val="Heading2"/>
        <w:rPr/>
      </w:pPr>
      <w:bookmarkStart w:id="4" w:name="__RefHeading___Toc6728_2150751134"/>
      <w:bookmarkEnd w:id="4"/>
      <w:r>
        <w:rPr/>
        <w:t>How to Use This Report</w:t>
      </w:r>
    </w:p>
    <w:p>
      <w:pPr>
        <w:pStyle w:val="ListBullet"/>
        <w:numPr>
          <w:ilvl w:val="0"/>
          <w:numId w:val="1"/>
        </w:numPr>
        <w:rPr/>
      </w:pPr>
      <w:r>
        <w:rPr/>
        <w:t>Executives and partners should begin with the Executive Thesis, Mission, Capability Map, System Architecture, Security Doctrine, and Roadmap.</w:t>
      </w:r>
    </w:p>
    <w:p>
      <w:pPr>
        <w:pStyle w:val="ListBullet"/>
        <w:numPr>
          <w:ilvl w:val="0"/>
          <w:numId w:val="1"/>
        </w:numPr>
        <w:rPr/>
      </w:pPr>
      <w:r>
        <w:rPr/>
        <w:t>Product and design teams should focus on the Experience and Visual Design System, Detailed Feature Design, Opportunity Engine, AI Analyst, and workspace model.</w:t>
      </w:r>
    </w:p>
    <w:p>
      <w:pPr>
        <w:pStyle w:val="ListBullet"/>
        <w:numPr>
          <w:ilvl w:val="0"/>
          <w:numId w:val="1"/>
        </w:numPr>
        <w:rPr/>
      </w:pPr>
      <w:r>
        <w:rPr/>
        <w:t>Engineering teams should treat the provider ports, canonical domain model, data pipeline, storage, streaming, trait surfaces, and repository boundaries as implementation contracts.</w:t>
      </w:r>
    </w:p>
    <w:p>
      <w:pPr>
        <w:pStyle w:val="ListBullet"/>
        <w:numPr>
          <w:ilvl w:val="0"/>
          <w:numId w:val="1"/>
        </w:numPr>
        <w:rPr/>
      </w:pPr>
      <w:r>
        <w:rPr/>
        <w:t>Quantitative research teams should focus on the strategy runtime, backtesting, validation, simulation, model serving, feature store, and reproducibility manifest.</w:t>
      </w:r>
    </w:p>
    <w:p>
      <w:pPr>
        <w:pStyle w:val="ListBullet"/>
        <w:numPr>
          <w:ilvl w:val="0"/>
          <w:numId w:val="1"/>
        </w:numPr>
        <w:rPr/>
      </w:pPr>
      <w:r>
        <w:rPr/>
        <w:t>Security and operations teams should treat the security, cryptographic agility, on-premises deployment, observability, supply-chain, backup, and release sections as foundational controls.</w:t>
      </w:r>
    </w:p>
    <w:p>
      <w:pPr>
        <w:pStyle w:val="Normal"/>
        <w:spacing w:before="0" w:after="0"/>
        <w:jc w:val="center"/>
        <w:rPr/>
      </w:pPr>
      <w:r>
        <w:rPr/>
        <w:drawing>
          <wp:inline distT="0" distB="0" distL="0" distR="0">
            <wp:extent cx="6546850" cy="8174990"/>
            <wp:effectExtent l="0" t="0" r="0" b="0"/>
            <wp:docPr id="4" name="Picture 4" descr="Image: image4.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5"/>
                    <a:stretch>
                      <a:fillRect/>
                    </a:stretch>
                  </pic:blipFill>
                  <pic:spPr bwMode="auto">
                    <a:xfrm>
                      <a:off x="0" y="0"/>
                      <a:ext cx="6546850" cy="8174990"/>
                    </a:xfrm>
                    <a:prstGeom prst="rect">
                      <a:avLst/>
                    </a:prstGeom>
                    <a:noFill/>
                  </pic:spPr>
                </pic:pic>
              </a:graphicData>
            </a:graphic>
          </wp:inline>
        </w:drawing>
      </w:r>
    </w:p>
    <w:p>
      <w:pPr>
        <w:pStyle w:val="Normal"/>
        <w:rPr/>
      </w:pPr>
      <w:r>
        <w:rPr/>
      </w:r>
    </w:p>
    <w:p>
      <w:pPr>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965" w:right="965" w:gutter="0" w:header="360" w:top="893" w:footer="360" w:bottom="835"/>
          <w:pgNumType w:fmt="decimal"/>
          <w:formProt w:val="false"/>
          <w:textDirection w:val="lrTb"/>
          <w:docGrid w:type="default" w:linePitch="360" w:charSpace="0"/>
        </w:sectPr>
      </w:pPr>
      <w:r>
        <w:br w:type="page"/>
      </w:r>
    </w:p>
    <w:p>
      <w:pPr>
        <w:pStyle w:val="Heading1"/>
        <w:pBdr>
          <w:bottom w:val="single" w:sz="12" w:space="5" w:color="33C7F2"/>
        </w:pBdr>
        <w:rPr/>
      </w:pPr>
      <w:bookmarkStart w:id="5" w:name="__RefHeading___Toc6730_2150751134"/>
      <w:bookmarkEnd w:id="5"/>
      <w:r>
        <w:rPr>
          <w:rFonts w:ascii="Lato" w:hAnsi="Lato"/>
          <w:color w:val="172236"/>
          <w:sz w:val="42"/>
        </w:rPr>
        <w:t>1. Executive Summary</w:t>
      </w:r>
    </w:p>
    <w:p>
      <w:pPr>
        <w:pStyle w:val="Normal"/>
        <w:rPr/>
      </w:pPr>
      <w:r>
        <w:rPr>
          <w:color w:val="172236"/>
          <w:sz w:val="19"/>
        </w:rPr>
        <w:t xml:space="preserve">PRISMATIK is an advanced, multi-asset trading intelligence platform centered on </w:t>
      </w:r>
      <w:r>
        <w:rPr>
          <w:b/>
          <w:color w:val="172236"/>
          <w:sz w:val="19"/>
        </w:rPr>
        <w:t>decision quality</w:t>
      </w:r>
      <w:r>
        <w:rPr>
          <w:color w:val="172236"/>
          <w:sz w:val="19"/>
        </w:rPr>
        <w:t>, not unsupported promises of guaranteed returns. Its purpose is to transform fragmented market information into structured, testable, risk-aware trade hypotheses.</w:t>
      </w:r>
    </w:p>
    <w:p>
      <w:pPr>
        <w:pStyle w:val="Normal"/>
        <w:rPr/>
      </w:pPr>
      <w:r>
        <w:rPr>
          <w:color w:val="172236"/>
          <w:sz w:val="19"/>
        </w:rPr>
        <w:t>The solution converges:</w:t>
      </w:r>
    </w:p>
    <w:p>
      <w:pPr>
        <w:pStyle w:val="ListBullet"/>
        <w:numPr>
          <w:ilvl w:val="0"/>
          <w:numId w:val="1"/>
        </w:numPr>
        <w:rPr/>
      </w:pPr>
      <w:r>
        <w:rPr>
          <w:color w:val="172236"/>
          <w:sz w:val="18"/>
        </w:rPr>
        <w:t>U.S. equity and ETF intelligence.</w:t>
      </w:r>
    </w:p>
    <w:p>
      <w:pPr>
        <w:pStyle w:val="ListBullet"/>
        <w:numPr>
          <w:ilvl w:val="0"/>
          <w:numId w:val="1"/>
        </w:numPr>
        <w:rPr/>
      </w:pPr>
      <w:r>
        <w:rPr>
          <w:color w:val="172236"/>
          <w:sz w:val="18"/>
        </w:rPr>
        <w:t>Listed options flow, chain analytics, volatility analysis, and strategy construction.</w:t>
      </w:r>
    </w:p>
    <w:p>
      <w:pPr>
        <w:pStyle w:val="ListBullet"/>
        <w:numPr>
          <w:ilvl w:val="0"/>
          <w:numId w:val="1"/>
        </w:numPr>
        <w:rPr/>
      </w:pPr>
      <w:r>
        <w:rPr>
          <w:color w:val="172236"/>
          <w:sz w:val="18"/>
        </w:rPr>
        <w:t>Cryptocurrency market, token, exchange, category, derivative, and on-chain-adjacent intelligence.</w:t>
      </w:r>
    </w:p>
    <w:p>
      <w:pPr>
        <w:pStyle w:val="ListBullet"/>
        <w:numPr>
          <w:ilvl w:val="0"/>
          <w:numId w:val="1"/>
        </w:numPr>
        <w:rPr/>
      </w:pPr>
      <w:r>
        <w:rPr>
          <w:color w:val="172236"/>
          <w:sz w:val="18"/>
        </w:rPr>
        <w:t>SEC filing intelligence, including institutional holdings, insider transactions, ownership disclosures, and material corporate events.</w:t>
      </w:r>
    </w:p>
    <w:p>
      <w:pPr>
        <w:pStyle w:val="ListBullet"/>
        <w:numPr>
          <w:ilvl w:val="0"/>
          <w:numId w:val="1"/>
        </w:numPr>
        <w:rPr/>
      </w:pPr>
      <w:r>
        <w:rPr>
          <w:color w:val="172236"/>
          <w:sz w:val="18"/>
        </w:rPr>
        <w:t>CFTC Commitments of Traders positioning.</w:t>
      </w:r>
    </w:p>
    <w:p>
      <w:pPr>
        <w:pStyle w:val="ListBullet"/>
        <w:numPr>
          <w:ilvl w:val="0"/>
          <w:numId w:val="1"/>
        </w:numPr>
        <w:rPr/>
      </w:pPr>
      <w:r>
        <w:rPr>
          <w:color w:val="172236"/>
          <w:sz w:val="18"/>
        </w:rPr>
        <w:t>Macroeconomic data and event awareness.</w:t>
      </w:r>
    </w:p>
    <w:p>
      <w:pPr>
        <w:pStyle w:val="ListBullet"/>
        <w:numPr>
          <w:ilvl w:val="0"/>
          <w:numId w:val="1"/>
        </w:numPr>
        <w:rPr/>
      </w:pPr>
      <w:r>
        <w:rPr>
          <w:color w:val="172236"/>
          <w:sz w:val="18"/>
        </w:rPr>
        <w:t>Quantitative strategy definition, backtesting, validation, optimization, and Monte Carlo simulation.</w:t>
      </w:r>
    </w:p>
    <w:p>
      <w:pPr>
        <w:pStyle w:val="ListBullet"/>
        <w:numPr>
          <w:ilvl w:val="0"/>
          <w:numId w:val="1"/>
        </w:numPr>
        <w:rPr/>
      </w:pPr>
      <w:r>
        <w:rPr>
          <w:color w:val="172236"/>
          <w:sz w:val="18"/>
        </w:rPr>
        <w:t>Explainable probabilistic forecasts.</w:t>
      </w:r>
    </w:p>
    <w:p>
      <w:pPr>
        <w:pStyle w:val="ListBullet"/>
        <w:numPr>
          <w:ilvl w:val="0"/>
          <w:numId w:val="1"/>
        </w:numPr>
        <w:rPr/>
      </w:pPr>
      <w:r>
        <w:rPr>
          <w:color w:val="172236"/>
          <w:sz w:val="18"/>
        </w:rPr>
        <w:t>Portfolio risk, scenario analysis, journaling, and post-trade learning.</w:t>
      </w:r>
    </w:p>
    <w:p>
      <w:pPr>
        <w:pStyle w:val="ListBullet"/>
        <w:numPr>
          <w:ilvl w:val="0"/>
          <w:numId w:val="1"/>
        </w:numPr>
        <w:rPr/>
      </w:pPr>
      <w:r>
        <w:rPr>
          <w:color w:val="172236"/>
          <w:sz w:val="18"/>
        </w:rPr>
        <w:t>AI-assisted investigation through controlled tools and signed MCP integrations.</w:t>
      </w:r>
    </w:p>
    <w:p>
      <w:pPr>
        <w:pStyle w:val="ListBullet"/>
        <w:numPr>
          <w:ilvl w:val="0"/>
          <w:numId w:val="1"/>
        </w:numPr>
        <w:rPr/>
      </w:pPr>
      <w:r>
        <w:rPr>
          <w:color w:val="172236"/>
          <w:sz w:val="18"/>
        </w:rPr>
        <w:t>A premium desktop interface with refined animation, soft spectral glows, GPU-accelerated visualizations, and dense professional workflows.</w:t>
      </w:r>
    </w:p>
    <w:p>
      <w:pPr>
        <w:pStyle w:val="Normal"/>
        <w:rPr/>
      </w:pPr>
      <w:r>
        <w:rPr>
          <w:color w:val="172236"/>
          <w:sz w:val="19"/>
        </w:rPr>
        <w:t>PRISMATIK MUST not represent probabilistic model output as certainty. Every signal, forecast, and recommended structure MUST show:</w:t>
      </w:r>
    </w:p>
    <w:p>
      <w:pPr>
        <w:pStyle w:val="ListNumber"/>
        <w:numPr>
          <w:ilvl w:val="0"/>
          <w:numId w:val="4"/>
        </w:numPr>
        <w:rPr/>
      </w:pPr>
      <w:r>
        <w:rPr>
          <w:color w:val="172236"/>
          <w:sz w:val="18"/>
        </w:rPr>
        <w:t>The evidence used.</w:t>
      </w:r>
    </w:p>
    <w:p>
      <w:pPr>
        <w:pStyle w:val="ListNumber"/>
        <w:numPr>
          <w:ilvl w:val="0"/>
          <w:numId w:val="4"/>
        </w:numPr>
        <w:rPr/>
      </w:pPr>
      <w:r>
        <w:rPr>
          <w:color w:val="172236"/>
          <w:sz w:val="18"/>
        </w:rPr>
        <w:t>Data freshness and provider provenance.</w:t>
      </w:r>
    </w:p>
    <w:p>
      <w:pPr>
        <w:pStyle w:val="ListNumber"/>
        <w:numPr>
          <w:ilvl w:val="0"/>
          <w:numId w:val="4"/>
        </w:numPr>
        <w:rPr/>
      </w:pPr>
      <w:r>
        <w:rPr>
          <w:color w:val="172236"/>
          <w:sz w:val="18"/>
        </w:rPr>
        <w:t>Model or rule version.</w:t>
      </w:r>
    </w:p>
    <w:p>
      <w:pPr>
        <w:pStyle w:val="ListNumber"/>
        <w:numPr>
          <w:ilvl w:val="0"/>
          <w:numId w:val="4"/>
        </w:numPr>
        <w:rPr/>
      </w:pPr>
      <w:r>
        <w:rPr>
          <w:color w:val="172236"/>
          <w:sz w:val="18"/>
        </w:rPr>
        <w:t>Confidence and uncertainty.</w:t>
      </w:r>
    </w:p>
    <w:p>
      <w:pPr>
        <w:pStyle w:val="ListNumber"/>
        <w:numPr>
          <w:ilvl w:val="0"/>
          <w:numId w:val="4"/>
        </w:numPr>
        <w:rPr/>
      </w:pPr>
      <w:r>
        <w:rPr>
          <w:color w:val="172236"/>
          <w:sz w:val="18"/>
        </w:rPr>
        <w:t>Known blind spots.</w:t>
      </w:r>
    </w:p>
    <w:p>
      <w:pPr>
        <w:pStyle w:val="ListNumber"/>
        <w:numPr>
          <w:ilvl w:val="0"/>
          <w:numId w:val="4"/>
        </w:numPr>
        <w:rPr/>
      </w:pPr>
      <w:r>
        <w:rPr>
          <w:color w:val="172236"/>
          <w:sz w:val="18"/>
        </w:rPr>
        <w:t>Historical validation context.</w:t>
      </w:r>
    </w:p>
    <w:p>
      <w:pPr>
        <w:pStyle w:val="ListNumber"/>
        <w:numPr>
          <w:ilvl w:val="0"/>
          <w:numId w:val="4"/>
        </w:numPr>
        <w:rPr/>
      </w:pPr>
      <w:r>
        <w:rPr>
          <w:color w:val="172236"/>
          <w:sz w:val="18"/>
        </w:rPr>
        <w:t>Liquidity and execution constraints.</w:t>
      </w:r>
    </w:p>
    <w:p>
      <w:pPr>
        <w:pStyle w:val="ListNumber"/>
        <w:numPr>
          <w:ilvl w:val="0"/>
          <w:numId w:val="4"/>
        </w:numPr>
        <w:rPr/>
      </w:pPr>
      <w:r>
        <w:rPr>
          <w:color w:val="172236"/>
          <w:sz w:val="18"/>
        </w:rPr>
        <w:t>Risk of loss and invalidation conditions.</w:t>
      </w:r>
    </w:p>
    <w:p>
      <w:pPr>
        <w:pStyle w:val="Normal"/>
        <w:rPr/>
      </w:pPr>
      <w:r>
        <w:rPr>
          <w:color w:val="172236"/>
          <w:sz w:val="19"/>
        </w:rPr>
        <w:t xml:space="preserve">The platform begins as a </w:t>
      </w:r>
      <w:r>
        <w:rPr>
          <w:b/>
          <w:color w:val="172236"/>
          <w:sz w:val="19"/>
        </w:rPr>
        <w:t>modular monolith</w:t>
      </w:r>
      <w:r>
        <w:rPr>
          <w:color w:val="172236"/>
          <w:sz w:val="19"/>
        </w:rPr>
        <w:t xml:space="preserve"> with hard architectural boundaries, not an early microservice maze. Rust owns the trusted core, ingestion, quantitative computation, security, persistence, orchestration, and native integrations. SvelteKit/Svelte 5 and TypeScript own the presentation layer and interaction model. Tauri 2 delivers the secure desktop shell. WebGPU/wgpu powers visualizations and selected compute workloads where profiling proves value.</w:t>
      </w:r>
    </w:p>
    <w:p>
      <w:pPr>
        <w:pStyle w:val="Heading1"/>
        <w:pBdr>
          <w:bottom w:val="single" w:sz="12" w:space="5" w:color="33C7F2"/>
        </w:pBdr>
        <w:rPr/>
      </w:pPr>
      <w:bookmarkStart w:id="6" w:name="__RefHeading___Toc6732_2150751134"/>
      <w:bookmarkEnd w:id="6"/>
      <w:r>
        <w:rPr>
          <w:rFonts w:ascii="Lato" w:hAnsi="Lato"/>
          <w:color w:val="172236"/>
          <w:sz w:val="42"/>
        </w:rPr>
        <w:t>2. Product Mission, Positioning, and Guardrails</w:t>
      </w:r>
    </w:p>
    <w:p>
      <w:pPr>
        <w:pStyle w:val="Heading2"/>
        <w:pBdr>
          <w:left w:val="single" w:sz="14" w:space="4" w:color="8B5CF6"/>
        </w:pBdr>
        <w:rPr/>
      </w:pPr>
      <w:bookmarkStart w:id="7" w:name="__RefHeading___Toc6734_2150751134"/>
      <w:bookmarkEnd w:id="7"/>
      <w:r>
        <w:rPr>
          <w:rFonts w:ascii="Lato" w:hAnsi="Lato"/>
          <w:color w:val="172236"/>
          <w:sz w:val="29"/>
        </w:rPr>
        <w:t>2.1 Mission</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8B5CF6"/>
            </w:tcBorders>
            <w:shd w:fill="F2EDFF"/>
          </w:tcPr>
          <w:p>
            <w:pPr>
              <w:pStyle w:val="Normal"/>
              <w:spacing w:before="0" w:after="100"/>
              <w:rPr/>
            </w:pPr>
            <w:r>
              <w:rPr>
                <w:rFonts w:ascii="Inter Display" w:hAnsi="Inter Display"/>
                <w:b/>
                <w:color w:val="8B5CF6"/>
                <w:sz w:val="16"/>
              </w:rPr>
              <w:t xml:space="preserve">DESIGN PRINCIPLE  </w:t>
            </w:r>
            <w:r>
              <w:rPr>
                <w:color w:val="172236"/>
                <w:sz w:val="18"/>
              </w:rPr>
              <w:t>Help serious traders discover meaningful market setups, understand why they matter, test whether the thesis has historically held, choose an appropriate trade structure, quantify possible outcomes, and learn from actual results.</w:t>
            </w:r>
          </w:p>
        </w:tc>
      </w:tr>
    </w:tbl>
    <w:p>
      <w:pPr>
        <w:pStyle w:val="Normal"/>
        <w:spacing w:before="0" w:after="0"/>
        <w:rPr/>
      </w:pPr>
      <w:r>
        <w:rPr/>
      </w:r>
    </w:p>
    <w:p>
      <w:pPr>
        <w:pStyle w:val="Heading2"/>
        <w:pBdr>
          <w:left w:val="single" w:sz="14" w:space="4" w:color="8B5CF6"/>
        </w:pBdr>
        <w:rPr/>
      </w:pPr>
      <w:bookmarkStart w:id="8" w:name="__RefHeading___Toc6736_2150751134"/>
      <w:bookmarkEnd w:id="8"/>
      <w:r>
        <w:rPr>
          <w:rFonts w:ascii="Lato" w:hAnsi="Lato"/>
          <w:color w:val="172236"/>
          <w:sz w:val="29"/>
        </w:rPr>
        <w:t>2.2 Positioning</w:t>
      </w:r>
    </w:p>
    <w:p>
      <w:pPr>
        <w:pStyle w:val="Normal"/>
        <w:rPr/>
      </w:pPr>
      <w:r>
        <w:rPr>
          <w:color w:val="172236"/>
          <w:sz w:val="19"/>
        </w:rPr>
        <w:t>PRISMATIK is not merely:</w:t>
      </w:r>
    </w:p>
    <w:p>
      <w:pPr>
        <w:pStyle w:val="ListBullet"/>
        <w:numPr>
          <w:ilvl w:val="0"/>
          <w:numId w:val="1"/>
        </w:numPr>
        <w:rPr/>
      </w:pPr>
      <w:r>
        <w:rPr>
          <w:color w:val="172236"/>
          <w:sz w:val="18"/>
        </w:rPr>
        <w:t>A charting terminal.</w:t>
      </w:r>
    </w:p>
    <w:p>
      <w:pPr>
        <w:pStyle w:val="ListBullet"/>
        <w:numPr>
          <w:ilvl w:val="0"/>
          <w:numId w:val="1"/>
        </w:numPr>
        <w:rPr/>
      </w:pPr>
      <w:r>
        <w:rPr>
          <w:color w:val="172236"/>
          <w:sz w:val="18"/>
        </w:rPr>
        <w:t>A brokerage client.</w:t>
      </w:r>
    </w:p>
    <w:p>
      <w:pPr>
        <w:pStyle w:val="ListBullet"/>
        <w:numPr>
          <w:ilvl w:val="0"/>
          <w:numId w:val="1"/>
        </w:numPr>
        <w:rPr/>
      </w:pPr>
      <w:r>
        <w:rPr>
          <w:color w:val="172236"/>
          <w:sz w:val="18"/>
        </w:rPr>
        <w:t>An options-flow feed.</w:t>
      </w:r>
    </w:p>
    <w:p>
      <w:pPr>
        <w:pStyle w:val="ListBullet"/>
        <w:numPr>
          <w:ilvl w:val="0"/>
          <w:numId w:val="1"/>
        </w:numPr>
        <w:rPr/>
      </w:pPr>
      <w:r>
        <w:rPr>
          <w:color w:val="172236"/>
          <w:sz w:val="18"/>
        </w:rPr>
        <w:t>A cryptocurrency tracker.</w:t>
      </w:r>
    </w:p>
    <w:p>
      <w:pPr>
        <w:pStyle w:val="ListBullet"/>
        <w:numPr>
          <w:ilvl w:val="0"/>
          <w:numId w:val="1"/>
        </w:numPr>
        <w:rPr/>
      </w:pPr>
      <w:r>
        <w:rPr>
          <w:color w:val="172236"/>
          <w:sz w:val="18"/>
        </w:rPr>
        <w:t>A black-box “AI picks” product.</w:t>
      </w:r>
    </w:p>
    <w:p>
      <w:pPr>
        <w:pStyle w:val="ListBullet"/>
        <w:numPr>
          <w:ilvl w:val="0"/>
          <w:numId w:val="1"/>
        </w:numPr>
        <w:rPr/>
      </w:pPr>
      <w:r>
        <w:rPr>
          <w:color w:val="172236"/>
          <w:sz w:val="18"/>
        </w:rPr>
        <w:t>A social trading feed.</w:t>
      </w:r>
    </w:p>
    <w:p>
      <w:pPr>
        <w:pStyle w:val="ListBullet"/>
        <w:numPr>
          <w:ilvl w:val="0"/>
          <w:numId w:val="1"/>
        </w:numPr>
        <w:rPr/>
      </w:pPr>
      <w:r>
        <w:rPr>
          <w:color w:val="172236"/>
          <w:sz w:val="18"/>
        </w:rPr>
        <w:t>A strategy backtester.</w:t>
      </w:r>
    </w:p>
    <w:p>
      <w:pPr>
        <w:pStyle w:val="ListBullet"/>
        <w:numPr>
          <w:ilvl w:val="0"/>
          <w:numId w:val="1"/>
        </w:numPr>
        <w:rPr/>
      </w:pPr>
      <w:r>
        <w:rPr>
          <w:color w:val="172236"/>
          <w:sz w:val="18"/>
        </w:rPr>
        <w:t>A filing reader.</w:t>
      </w:r>
    </w:p>
    <w:p>
      <w:pPr>
        <w:pStyle w:val="Normal"/>
        <w:rPr/>
      </w:pPr>
      <w:r>
        <w:rPr>
          <w:color w:val="172236"/>
          <w:sz w:val="19"/>
        </w:rPr>
        <w:t xml:space="preserve">It is a </w:t>
      </w:r>
      <w:r>
        <w:rPr>
          <w:b/>
          <w:color w:val="172236"/>
          <w:sz w:val="19"/>
        </w:rPr>
        <w:t>market intelligence and quantitative decision operating system</w:t>
      </w:r>
      <w:r>
        <w:rPr>
          <w:color w:val="172236"/>
          <w:sz w:val="19"/>
        </w:rPr>
        <w:t xml:space="preserve"> that integrates all of those functions behind one typed, explainable, provider-independent architecture.</w:t>
      </w:r>
    </w:p>
    <w:p>
      <w:pPr>
        <w:pStyle w:val="Heading2"/>
        <w:pBdr>
          <w:left w:val="single" w:sz="14" w:space="4" w:color="8B5CF6"/>
        </w:pBdr>
        <w:rPr/>
      </w:pPr>
      <w:bookmarkStart w:id="9" w:name="__RefHeading___Toc6738_2150751134"/>
      <w:bookmarkEnd w:id="9"/>
      <w:r>
        <w:rPr>
          <w:rFonts w:ascii="Lato" w:hAnsi="Lato"/>
          <w:color w:val="172236"/>
          <w:sz w:val="29"/>
        </w:rPr>
        <w:t>2.3 Initial Market Wedge</w:t>
      </w:r>
    </w:p>
    <w:p>
      <w:pPr>
        <w:pStyle w:val="Normal"/>
        <w:rPr/>
      </w:pPr>
      <w:r>
        <w:rPr>
          <w:color w:val="172236"/>
          <w:sz w:val="19"/>
        </w:rPr>
        <w:t>The first defensible wedge SHOULD be:</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8B5CF6"/>
            </w:tcBorders>
            <w:shd w:fill="F2EDFF"/>
          </w:tcPr>
          <w:p>
            <w:pPr>
              <w:pStyle w:val="Normal"/>
              <w:spacing w:before="0" w:after="100"/>
              <w:rPr/>
            </w:pPr>
            <w:r>
              <w:rPr>
                <w:rFonts w:ascii="Inter Display" w:hAnsi="Inter Display"/>
                <w:b/>
                <w:color w:val="8B5CF6"/>
                <w:sz w:val="16"/>
              </w:rPr>
              <w:t xml:space="preserve">DESIGN PRINCIPLE  </w:t>
            </w:r>
            <w:r>
              <w:rPr>
                <w:color w:val="172236"/>
                <w:sz w:val="18"/>
              </w:rPr>
              <w:t>Event-aware options opportunity intelligence informed by flow, volatility, institutional activity, technical structure, macro regime, and quantitative validation.</w:t>
            </w:r>
          </w:p>
        </w:tc>
      </w:tr>
    </w:tbl>
    <w:p>
      <w:pPr>
        <w:pStyle w:val="Normal"/>
        <w:spacing w:before="0" w:after="0"/>
        <w:rPr/>
      </w:pPr>
      <w:r>
        <w:rPr/>
      </w:r>
    </w:p>
    <w:p>
      <w:pPr>
        <w:pStyle w:val="Normal"/>
        <w:rPr/>
      </w:pPr>
      <w:r>
        <w:rPr>
          <w:color w:val="172236"/>
          <w:sz w:val="19"/>
        </w:rPr>
        <w:t>This wedge is focused enough to produce differentiated value while the broader multi-asset platform matures.</w:t>
      </w:r>
    </w:p>
    <w:p>
      <w:pPr>
        <w:pStyle w:val="Heading2"/>
        <w:pBdr>
          <w:left w:val="single" w:sz="14" w:space="4" w:color="8B5CF6"/>
        </w:pBdr>
        <w:rPr/>
      </w:pPr>
      <w:bookmarkStart w:id="10" w:name="__RefHeading___Toc6740_2150751134"/>
      <w:bookmarkEnd w:id="10"/>
      <w:r>
        <w:rPr>
          <w:rFonts w:ascii="Lato" w:hAnsi="Lato"/>
          <w:color w:val="172236"/>
          <w:sz w:val="29"/>
        </w:rPr>
        <w:t>2.4 Product Guardrails</w:t>
      </w:r>
    </w:p>
    <w:p>
      <w:pPr>
        <w:pStyle w:val="Normal"/>
        <w:rPr/>
      </w:pPr>
      <w:r>
        <w:rPr>
          <w:color w:val="172236"/>
          <w:sz w:val="19"/>
        </w:rPr>
        <w:t>PRISMATIK MUST:</w:t>
      </w:r>
    </w:p>
    <w:p>
      <w:pPr>
        <w:pStyle w:val="ListBullet"/>
        <w:numPr>
          <w:ilvl w:val="0"/>
          <w:numId w:val="1"/>
        </w:numPr>
        <w:rPr/>
      </w:pPr>
      <w:r>
        <w:rPr>
          <w:color w:val="172236"/>
          <w:sz w:val="18"/>
        </w:rPr>
        <w:t>Distinguish research, simulation, paper trading, alerts, and live execution.</w:t>
      </w:r>
    </w:p>
    <w:p>
      <w:pPr>
        <w:pStyle w:val="ListBullet"/>
        <w:numPr>
          <w:ilvl w:val="0"/>
          <w:numId w:val="1"/>
        </w:numPr>
        <w:rPr/>
      </w:pPr>
      <w:r>
        <w:rPr>
          <w:color w:val="172236"/>
          <w:sz w:val="18"/>
        </w:rPr>
        <w:t>Default new accounts to research and paper-trading mode.</w:t>
      </w:r>
    </w:p>
    <w:p>
      <w:pPr>
        <w:pStyle w:val="ListBullet"/>
        <w:numPr>
          <w:ilvl w:val="0"/>
          <w:numId w:val="1"/>
        </w:numPr>
        <w:rPr/>
      </w:pPr>
      <w:r>
        <w:rPr>
          <w:color w:val="172236"/>
          <w:sz w:val="18"/>
        </w:rPr>
        <w:t>Require explicit enablement and step-up authorization for live execution.</w:t>
      </w:r>
    </w:p>
    <w:p>
      <w:pPr>
        <w:pStyle w:val="ListBullet"/>
        <w:numPr>
          <w:ilvl w:val="0"/>
          <w:numId w:val="1"/>
        </w:numPr>
        <w:rPr/>
      </w:pPr>
      <w:r>
        <w:rPr>
          <w:color w:val="172236"/>
          <w:sz w:val="18"/>
        </w:rPr>
        <w:t>Clearly mark delayed, derived, estimated, and incomplete data.</w:t>
      </w:r>
    </w:p>
    <w:p>
      <w:pPr>
        <w:pStyle w:val="ListBullet"/>
        <w:numPr>
          <w:ilvl w:val="0"/>
          <w:numId w:val="1"/>
        </w:numPr>
        <w:rPr/>
      </w:pPr>
      <w:r>
        <w:rPr>
          <w:color w:val="172236"/>
          <w:sz w:val="18"/>
        </w:rPr>
        <w:t>Never invent unavailable exchange, options, filing, or market data.</w:t>
      </w:r>
    </w:p>
    <w:p>
      <w:pPr>
        <w:pStyle w:val="ListBullet"/>
        <w:numPr>
          <w:ilvl w:val="0"/>
          <w:numId w:val="1"/>
        </w:numPr>
        <w:rPr/>
      </w:pPr>
      <w:r>
        <w:rPr>
          <w:color w:val="172236"/>
          <w:sz w:val="18"/>
        </w:rPr>
        <w:t>Preserve source provenance down to the provider endpoint and retrieval timestamp.</w:t>
      </w:r>
    </w:p>
    <w:p>
      <w:pPr>
        <w:pStyle w:val="ListBullet"/>
        <w:numPr>
          <w:ilvl w:val="0"/>
          <w:numId w:val="1"/>
        </w:numPr>
        <w:rPr/>
      </w:pPr>
      <w:r>
        <w:rPr>
          <w:color w:val="172236"/>
          <w:sz w:val="18"/>
        </w:rPr>
        <w:t>Detect stale feeds and fail closed for automation that depends on timely data.</w:t>
      </w:r>
    </w:p>
    <w:p>
      <w:pPr>
        <w:pStyle w:val="ListBullet"/>
        <w:numPr>
          <w:ilvl w:val="0"/>
          <w:numId w:val="1"/>
        </w:numPr>
        <w:rPr/>
      </w:pPr>
      <w:r>
        <w:rPr>
          <w:color w:val="172236"/>
          <w:sz w:val="18"/>
        </w:rPr>
        <w:t>Avoid dark patterns that encourage overtrading.</w:t>
      </w:r>
    </w:p>
    <w:p>
      <w:pPr>
        <w:pStyle w:val="ListBullet"/>
        <w:numPr>
          <w:ilvl w:val="0"/>
          <w:numId w:val="1"/>
        </w:numPr>
        <w:rPr/>
      </w:pPr>
      <w:r>
        <w:rPr>
          <w:color w:val="172236"/>
          <w:sz w:val="18"/>
        </w:rPr>
        <w:t>Support risk limits that cannot be bypassed casually.</w:t>
      </w:r>
    </w:p>
    <w:p>
      <w:pPr>
        <w:pStyle w:val="ListBullet"/>
        <w:numPr>
          <w:ilvl w:val="0"/>
          <w:numId w:val="1"/>
        </w:numPr>
        <w:rPr/>
      </w:pPr>
      <w:r>
        <w:rPr>
          <w:color w:val="172236"/>
          <w:sz w:val="18"/>
        </w:rPr>
        <w:t>Keep AI tool permissions narrowly scoped.</w:t>
      </w:r>
    </w:p>
    <w:p>
      <w:pPr>
        <w:pStyle w:val="ListBullet"/>
        <w:numPr>
          <w:ilvl w:val="0"/>
          <w:numId w:val="1"/>
        </w:numPr>
        <w:rPr/>
      </w:pPr>
      <w:r>
        <w:rPr>
          <w:color w:val="172236"/>
          <w:sz w:val="18"/>
        </w:rPr>
        <w:t>Record immutable audit events for sensitive operations.</w:t>
      </w:r>
    </w:p>
    <w:p>
      <w:pPr>
        <w:pStyle w:val="ListBullet"/>
        <w:numPr>
          <w:ilvl w:val="0"/>
          <w:numId w:val="1"/>
        </w:numPr>
        <w:rPr/>
      </w:pPr>
      <w:r>
        <w:rPr>
          <w:color w:val="172236"/>
          <w:sz w:val="18"/>
        </w:rPr>
        <w:t>Make all automated actions cancellable, bounded, idempotent, and observable.</w:t>
      </w:r>
    </w:p>
    <w:p>
      <w:pPr>
        <w:pStyle w:val="Heading1"/>
        <w:pBdr>
          <w:bottom w:val="single" w:sz="12" w:space="5" w:color="33C7F2"/>
        </w:pBdr>
        <w:rPr/>
      </w:pPr>
      <w:bookmarkStart w:id="11" w:name="__RefHeading___Toc6742_2150751134"/>
      <w:bookmarkEnd w:id="11"/>
      <w:r>
        <w:rPr>
          <w:rFonts w:ascii="Lato" w:hAnsi="Lato"/>
          <w:color w:val="172236"/>
          <w:sz w:val="42"/>
        </w:rPr>
        <w:t>3. User Personas and Primary Jobs to Be Done</w:t>
      </w:r>
    </w:p>
    <w:p>
      <w:pPr>
        <w:pStyle w:val="Heading2"/>
        <w:pBdr>
          <w:left w:val="single" w:sz="14" w:space="4" w:color="8B5CF6"/>
        </w:pBdr>
        <w:rPr/>
      </w:pPr>
      <w:bookmarkStart w:id="12" w:name="__RefHeading___Toc6744_2150751134"/>
      <w:bookmarkEnd w:id="12"/>
      <w:r>
        <w:rPr>
          <w:rFonts w:ascii="Lato" w:hAnsi="Lato"/>
          <w:color w:val="172236"/>
          <w:sz w:val="29"/>
        </w:rPr>
        <w:t>3.1 Advanced Retail Options Trader</w:t>
      </w:r>
    </w:p>
    <w:p>
      <w:pPr>
        <w:pStyle w:val="Normal"/>
        <w:rPr/>
      </w:pPr>
      <w:r>
        <w:rPr>
          <w:color w:val="172236"/>
          <w:sz w:val="19"/>
        </w:rPr>
        <w:t>Needs to:</w:t>
      </w:r>
    </w:p>
    <w:p>
      <w:pPr>
        <w:pStyle w:val="ListBullet"/>
        <w:numPr>
          <w:ilvl w:val="0"/>
          <w:numId w:val="1"/>
        </w:numPr>
        <w:rPr/>
      </w:pPr>
      <w:r>
        <w:rPr>
          <w:color w:val="172236"/>
          <w:sz w:val="18"/>
        </w:rPr>
        <w:t>Detect unusual options activity.</w:t>
      </w:r>
    </w:p>
    <w:p>
      <w:pPr>
        <w:pStyle w:val="ListBullet"/>
        <w:numPr>
          <w:ilvl w:val="0"/>
          <w:numId w:val="1"/>
        </w:numPr>
        <w:rPr/>
      </w:pPr>
      <w:r>
        <w:rPr>
          <w:color w:val="172236"/>
          <w:sz w:val="18"/>
        </w:rPr>
        <w:t>Determine whether activity is directional, hedging, closing, or part of a spread.</w:t>
      </w:r>
    </w:p>
    <w:p>
      <w:pPr>
        <w:pStyle w:val="ListBullet"/>
        <w:numPr>
          <w:ilvl w:val="0"/>
          <w:numId w:val="1"/>
        </w:numPr>
        <w:rPr/>
      </w:pPr>
      <w:r>
        <w:rPr>
          <w:color w:val="172236"/>
          <w:sz w:val="18"/>
        </w:rPr>
        <w:t>Compare implied movement with historical movement.</w:t>
      </w:r>
    </w:p>
    <w:p>
      <w:pPr>
        <w:pStyle w:val="ListBullet"/>
        <w:numPr>
          <w:ilvl w:val="0"/>
          <w:numId w:val="1"/>
        </w:numPr>
        <w:rPr/>
      </w:pPr>
      <w:r>
        <w:rPr>
          <w:color w:val="172236"/>
          <w:sz w:val="18"/>
        </w:rPr>
        <w:t>Select a structure with acceptable liquidity, break-even, theta, and volatility exposure.</w:t>
      </w:r>
    </w:p>
    <w:p>
      <w:pPr>
        <w:pStyle w:val="ListBullet"/>
        <w:numPr>
          <w:ilvl w:val="0"/>
          <w:numId w:val="1"/>
        </w:numPr>
        <w:rPr/>
      </w:pPr>
      <w:r>
        <w:rPr>
          <w:color w:val="172236"/>
          <w:sz w:val="18"/>
        </w:rPr>
        <w:t>Understand upcoming catalysts.</w:t>
      </w:r>
    </w:p>
    <w:p>
      <w:pPr>
        <w:pStyle w:val="ListBullet"/>
        <w:numPr>
          <w:ilvl w:val="0"/>
          <w:numId w:val="1"/>
        </w:numPr>
        <w:rPr/>
      </w:pPr>
      <w:r>
        <w:rPr>
          <w:color w:val="172236"/>
          <w:sz w:val="18"/>
        </w:rPr>
        <w:t>Test similar setups.</w:t>
      </w:r>
    </w:p>
    <w:p>
      <w:pPr>
        <w:pStyle w:val="ListBullet"/>
        <w:numPr>
          <w:ilvl w:val="0"/>
          <w:numId w:val="1"/>
        </w:numPr>
        <w:rPr/>
      </w:pPr>
      <w:r>
        <w:rPr>
          <w:color w:val="172236"/>
          <w:sz w:val="18"/>
        </w:rPr>
        <w:t>Receive alerts when thesis conditions align or invalidate.</w:t>
      </w:r>
    </w:p>
    <w:p>
      <w:pPr>
        <w:pStyle w:val="Heading2"/>
        <w:pBdr>
          <w:left w:val="single" w:sz="14" w:space="4" w:color="8B5CF6"/>
        </w:pBdr>
        <w:rPr/>
      </w:pPr>
      <w:bookmarkStart w:id="13" w:name="__RefHeading___Toc6746_2150751134"/>
      <w:bookmarkEnd w:id="13"/>
      <w:r>
        <w:rPr>
          <w:rFonts w:ascii="Lato" w:hAnsi="Lato"/>
          <w:color w:val="172236"/>
          <w:sz w:val="29"/>
        </w:rPr>
        <w:t>3.2 Quantitative Researcher</w:t>
      </w:r>
    </w:p>
    <w:p>
      <w:pPr>
        <w:pStyle w:val="Normal"/>
        <w:rPr/>
      </w:pPr>
      <w:r>
        <w:rPr>
          <w:color w:val="172236"/>
          <w:sz w:val="19"/>
        </w:rPr>
        <w:t>Needs to:</w:t>
      </w:r>
    </w:p>
    <w:p>
      <w:pPr>
        <w:pStyle w:val="ListBullet"/>
        <w:numPr>
          <w:ilvl w:val="0"/>
          <w:numId w:val="1"/>
        </w:numPr>
        <w:rPr/>
      </w:pPr>
      <w:r>
        <w:rPr>
          <w:color w:val="172236"/>
          <w:sz w:val="18"/>
        </w:rPr>
        <w:t>Create strategies using a visual DSL, SQL, Python, or Rust.</w:t>
      </w:r>
    </w:p>
    <w:p>
      <w:pPr>
        <w:pStyle w:val="ListBullet"/>
        <w:numPr>
          <w:ilvl w:val="0"/>
          <w:numId w:val="1"/>
        </w:numPr>
        <w:rPr/>
      </w:pPr>
      <w:r>
        <w:rPr>
          <w:color w:val="172236"/>
          <w:sz w:val="18"/>
        </w:rPr>
        <w:t>Run reproducible backtests.</w:t>
      </w:r>
    </w:p>
    <w:p>
      <w:pPr>
        <w:pStyle w:val="ListBullet"/>
        <w:numPr>
          <w:ilvl w:val="0"/>
          <w:numId w:val="1"/>
        </w:numPr>
        <w:rPr/>
      </w:pPr>
      <w:r>
        <w:rPr>
          <w:color w:val="172236"/>
          <w:sz w:val="18"/>
        </w:rPr>
        <w:t>Control survivorship, look-ahead, and corporate-action handling.</w:t>
      </w:r>
    </w:p>
    <w:p>
      <w:pPr>
        <w:pStyle w:val="ListBullet"/>
        <w:numPr>
          <w:ilvl w:val="0"/>
          <w:numId w:val="1"/>
        </w:numPr>
        <w:rPr/>
      </w:pPr>
      <w:r>
        <w:rPr>
          <w:color w:val="172236"/>
          <w:sz w:val="18"/>
        </w:rPr>
        <w:t>Run walk-forward and out-of-sample validation.</w:t>
      </w:r>
    </w:p>
    <w:p>
      <w:pPr>
        <w:pStyle w:val="ListBullet"/>
        <w:numPr>
          <w:ilvl w:val="0"/>
          <w:numId w:val="1"/>
        </w:numPr>
        <w:rPr/>
      </w:pPr>
      <w:r>
        <w:rPr>
          <w:color w:val="172236"/>
          <w:sz w:val="18"/>
        </w:rPr>
        <w:t>Compare parameter stability.</w:t>
      </w:r>
    </w:p>
    <w:p>
      <w:pPr>
        <w:pStyle w:val="ListBullet"/>
        <w:numPr>
          <w:ilvl w:val="0"/>
          <w:numId w:val="1"/>
        </w:numPr>
        <w:rPr/>
      </w:pPr>
      <w:r>
        <w:rPr>
          <w:color w:val="172236"/>
          <w:sz w:val="18"/>
        </w:rPr>
        <w:t>Simulate portfolio-level risk.</w:t>
      </w:r>
    </w:p>
    <w:p>
      <w:pPr>
        <w:pStyle w:val="ListBullet"/>
        <w:numPr>
          <w:ilvl w:val="0"/>
          <w:numId w:val="1"/>
        </w:numPr>
        <w:rPr/>
      </w:pPr>
      <w:r>
        <w:rPr>
          <w:color w:val="172236"/>
          <w:sz w:val="18"/>
        </w:rPr>
        <w:t>Export notebooks, datasets, and signed result manifests.</w:t>
      </w:r>
    </w:p>
    <w:p>
      <w:pPr>
        <w:pStyle w:val="Heading2"/>
        <w:pBdr>
          <w:left w:val="single" w:sz="14" w:space="4" w:color="8B5CF6"/>
        </w:pBdr>
        <w:rPr/>
      </w:pPr>
      <w:bookmarkStart w:id="14" w:name="__RefHeading___Toc6748_2150751134"/>
      <w:bookmarkEnd w:id="14"/>
      <w:r>
        <w:rPr>
          <w:rFonts w:ascii="Lato" w:hAnsi="Lato"/>
          <w:color w:val="172236"/>
          <w:sz w:val="29"/>
        </w:rPr>
        <w:t>3.3 Crypto Trader</w:t>
      </w:r>
    </w:p>
    <w:p>
      <w:pPr>
        <w:pStyle w:val="Normal"/>
        <w:rPr/>
      </w:pPr>
      <w:r>
        <w:rPr>
          <w:color w:val="172236"/>
          <w:sz w:val="19"/>
        </w:rPr>
        <w:t>Needs to:</w:t>
      </w:r>
    </w:p>
    <w:p>
      <w:pPr>
        <w:pStyle w:val="ListBullet"/>
        <w:numPr>
          <w:ilvl w:val="0"/>
          <w:numId w:val="1"/>
        </w:numPr>
        <w:rPr/>
      </w:pPr>
      <w:r>
        <w:rPr>
          <w:color w:val="172236"/>
          <w:sz w:val="18"/>
        </w:rPr>
        <w:t>View broad market and category conditions.</w:t>
      </w:r>
    </w:p>
    <w:p>
      <w:pPr>
        <w:pStyle w:val="ListBullet"/>
        <w:numPr>
          <w:ilvl w:val="0"/>
          <w:numId w:val="1"/>
        </w:numPr>
        <w:rPr/>
      </w:pPr>
      <w:r>
        <w:rPr>
          <w:color w:val="172236"/>
          <w:sz w:val="18"/>
        </w:rPr>
        <w:t>Analyze price, volume, market capitalization, liquidity, exchanges, and historical OHLCV.</w:t>
      </w:r>
    </w:p>
    <w:p>
      <w:pPr>
        <w:pStyle w:val="ListBullet"/>
        <w:numPr>
          <w:ilvl w:val="0"/>
          <w:numId w:val="1"/>
        </w:numPr>
        <w:rPr/>
      </w:pPr>
      <w:r>
        <w:rPr>
          <w:color w:val="172236"/>
          <w:sz w:val="18"/>
        </w:rPr>
        <w:t>Track trending assets, categories, and market dominance.</w:t>
      </w:r>
    </w:p>
    <w:p>
      <w:pPr>
        <w:pStyle w:val="ListBullet"/>
        <w:numPr>
          <w:ilvl w:val="0"/>
          <w:numId w:val="1"/>
        </w:numPr>
        <w:rPr/>
      </w:pPr>
      <w:r>
        <w:rPr>
          <w:color w:val="172236"/>
          <w:sz w:val="18"/>
        </w:rPr>
        <w:t>Compare centralized and decentralized market information.</w:t>
      </w:r>
    </w:p>
    <w:p>
      <w:pPr>
        <w:pStyle w:val="ListBullet"/>
        <w:numPr>
          <w:ilvl w:val="0"/>
          <w:numId w:val="1"/>
        </w:numPr>
        <w:rPr/>
      </w:pPr>
      <w:r>
        <w:rPr>
          <w:color w:val="172236"/>
          <w:sz w:val="18"/>
        </w:rPr>
        <w:t>Monitor derivatives and exchange-native data through optional adapters.</w:t>
      </w:r>
    </w:p>
    <w:p>
      <w:pPr>
        <w:pStyle w:val="ListBullet"/>
        <w:numPr>
          <w:ilvl w:val="0"/>
          <w:numId w:val="1"/>
        </w:numPr>
        <w:rPr/>
      </w:pPr>
      <w:r>
        <w:rPr>
          <w:color w:val="172236"/>
          <w:sz w:val="18"/>
        </w:rPr>
        <w:t>Analyze cross-asset correlation and regime effects.</w:t>
      </w:r>
    </w:p>
    <w:p>
      <w:pPr>
        <w:pStyle w:val="Heading2"/>
        <w:pBdr>
          <w:left w:val="single" w:sz="14" w:space="4" w:color="8B5CF6"/>
        </w:pBdr>
        <w:rPr/>
      </w:pPr>
      <w:bookmarkStart w:id="15" w:name="__RefHeading___Toc6750_2150751134"/>
      <w:bookmarkEnd w:id="15"/>
      <w:r>
        <w:rPr>
          <w:rFonts w:ascii="Lato" w:hAnsi="Lato"/>
          <w:color w:val="172236"/>
          <w:sz w:val="29"/>
        </w:rPr>
        <w:t>3.4 Long-Term Investor</w:t>
      </w:r>
    </w:p>
    <w:p>
      <w:pPr>
        <w:pStyle w:val="Normal"/>
        <w:rPr/>
      </w:pPr>
      <w:r>
        <w:rPr>
          <w:color w:val="172236"/>
          <w:sz w:val="19"/>
        </w:rPr>
        <w:t>Needs to:</w:t>
      </w:r>
    </w:p>
    <w:p>
      <w:pPr>
        <w:pStyle w:val="ListBullet"/>
        <w:numPr>
          <w:ilvl w:val="0"/>
          <w:numId w:val="1"/>
        </w:numPr>
        <w:rPr/>
      </w:pPr>
      <w:r>
        <w:rPr>
          <w:color w:val="172236"/>
          <w:sz w:val="18"/>
        </w:rPr>
        <w:t>Follow institutional ownership changes.</w:t>
      </w:r>
    </w:p>
    <w:p>
      <w:pPr>
        <w:pStyle w:val="ListBullet"/>
        <w:numPr>
          <w:ilvl w:val="0"/>
          <w:numId w:val="1"/>
        </w:numPr>
        <w:rPr/>
      </w:pPr>
      <w:r>
        <w:rPr>
          <w:color w:val="172236"/>
          <w:sz w:val="18"/>
        </w:rPr>
        <w:t>Read and summarize filings.</w:t>
      </w:r>
    </w:p>
    <w:p>
      <w:pPr>
        <w:pStyle w:val="ListBullet"/>
        <w:numPr>
          <w:ilvl w:val="0"/>
          <w:numId w:val="1"/>
        </w:numPr>
        <w:rPr/>
      </w:pPr>
      <w:r>
        <w:rPr>
          <w:color w:val="172236"/>
          <w:sz w:val="18"/>
        </w:rPr>
        <w:t>Track insiders and major holders.</w:t>
      </w:r>
    </w:p>
    <w:p>
      <w:pPr>
        <w:pStyle w:val="ListBullet"/>
        <w:numPr>
          <w:ilvl w:val="0"/>
          <w:numId w:val="1"/>
        </w:numPr>
        <w:rPr/>
      </w:pPr>
      <w:r>
        <w:rPr>
          <w:color w:val="172236"/>
          <w:sz w:val="18"/>
        </w:rPr>
        <w:t>Understand portfolio concentration, factor exposure, and drawdown risk.</w:t>
      </w:r>
    </w:p>
    <w:p>
      <w:pPr>
        <w:pStyle w:val="ListBullet"/>
        <w:numPr>
          <w:ilvl w:val="0"/>
          <w:numId w:val="1"/>
        </w:numPr>
        <w:rPr/>
      </w:pPr>
      <w:r>
        <w:rPr>
          <w:color w:val="172236"/>
          <w:sz w:val="18"/>
        </w:rPr>
        <w:t>Separate short-term noise from long-term thesis changes.</w:t>
      </w:r>
    </w:p>
    <w:p>
      <w:pPr>
        <w:pStyle w:val="Heading2"/>
        <w:pBdr>
          <w:left w:val="single" w:sz="14" w:space="4" w:color="8B5CF6"/>
        </w:pBdr>
        <w:rPr/>
      </w:pPr>
      <w:bookmarkStart w:id="16" w:name="__RefHeading___Toc6752_2150751134"/>
      <w:bookmarkEnd w:id="16"/>
      <w:r>
        <w:rPr>
          <w:rFonts w:ascii="Lato" w:hAnsi="Lato"/>
          <w:color w:val="172236"/>
          <w:sz w:val="29"/>
        </w:rPr>
        <w:t>3.5 Risk Manager or Trading Team Lead</w:t>
      </w:r>
    </w:p>
    <w:p>
      <w:pPr>
        <w:pStyle w:val="Normal"/>
        <w:rPr/>
      </w:pPr>
      <w:r>
        <w:rPr>
          <w:color w:val="172236"/>
          <w:sz w:val="19"/>
        </w:rPr>
        <w:t>Needs to:</w:t>
      </w:r>
    </w:p>
    <w:p>
      <w:pPr>
        <w:pStyle w:val="ListBullet"/>
        <w:numPr>
          <w:ilvl w:val="0"/>
          <w:numId w:val="1"/>
        </w:numPr>
        <w:rPr/>
      </w:pPr>
      <w:r>
        <w:rPr>
          <w:color w:val="172236"/>
          <w:sz w:val="18"/>
        </w:rPr>
        <w:t>Define account and strategy limits.</w:t>
      </w:r>
    </w:p>
    <w:p>
      <w:pPr>
        <w:pStyle w:val="ListBullet"/>
        <w:numPr>
          <w:ilvl w:val="0"/>
          <w:numId w:val="1"/>
        </w:numPr>
        <w:rPr/>
      </w:pPr>
      <w:r>
        <w:rPr>
          <w:color w:val="172236"/>
          <w:sz w:val="18"/>
        </w:rPr>
        <w:t>Review aggregate exposures and correlated risk.</w:t>
      </w:r>
    </w:p>
    <w:p>
      <w:pPr>
        <w:pStyle w:val="ListBullet"/>
        <w:numPr>
          <w:ilvl w:val="0"/>
          <w:numId w:val="1"/>
        </w:numPr>
        <w:rPr/>
      </w:pPr>
      <w:r>
        <w:rPr>
          <w:color w:val="172236"/>
          <w:sz w:val="18"/>
        </w:rPr>
        <w:t>Enforce approval workflows.</w:t>
      </w:r>
    </w:p>
    <w:p>
      <w:pPr>
        <w:pStyle w:val="ListBullet"/>
        <w:numPr>
          <w:ilvl w:val="0"/>
          <w:numId w:val="1"/>
        </w:numPr>
        <w:rPr/>
      </w:pPr>
      <w:r>
        <w:rPr>
          <w:color w:val="172236"/>
          <w:sz w:val="18"/>
        </w:rPr>
        <w:t>Audit model changes and automated actions.</w:t>
      </w:r>
    </w:p>
    <w:p>
      <w:pPr>
        <w:pStyle w:val="ListBullet"/>
        <w:numPr>
          <w:ilvl w:val="0"/>
          <w:numId w:val="1"/>
        </w:numPr>
        <w:rPr/>
      </w:pPr>
      <w:r>
        <w:rPr>
          <w:color w:val="172236"/>
          <w:sz w:val="18"/>
        </w:rPr>
        <w:t>Run stress scenarios and emergency stop procedures.</w:t>
      </w:r>
    </w:p>
    <w:p>
      <w:pPr>
        <w:pStyle w:val="Heading2"/>
        <w:pBdr>
          <w:left w:val="single" w:sz="14" w:space="4" w:color="8B5CF6"/>
        </w:pBdr>
        <w:rPr/>
      </w:pPr>
      <w:bookmarkStart w:id="17" w:name="__RefHeading___Toc6754_2150751134"/>
      <w:bookmarkEnd w:id="17"/>
      <w:r>
        <w:rPr>
          <w:rFonts w:ascii="Lato" w:hAnsi="Lato"/>
          <w:color w:val="172236"/>
          <w:sz w:val="29"/>
        </w:rPr>
        <w:t>3.6 Platform Administrator</w:t>
      </w:r>
    </w:p>
    <w:p>
      <w:pPr>
        <w:pStyle w:val="Normal"/>
        <w:rPr/>
      </w:pPr>
      <w:r>
        <w:rPr>
          <w:color w:val="172236"/>
          <w:sz w:val="19"/>
        </w:rPr>
        <w:t>Needs to:</w:t>
      </w:r>
    </w:p>
    <w:p>
      <w:pPr>
        <w:pStyle w:val="ListBullet"/>
        <w:numPr>
          <w:ilvl w:val="0"/>
          <w:numId w:val="1"/>
        </w:numPr>
        <w:rPr/>
      </w:pPr>
      <w:r>
        <w:rPr>
          <w:color w:val="172236"/>
          <w:sz w:val="18"/>
        </w:rPr>
        <w:t>Configure providers, credentials, entitlements, retention, and deployment.</w:t>
      </w:r>
    </w:p>
    <w:p>
      <w:pPr>
        <w:pStyle w:val="ListBullet"/>
        <w:numPr>
          <w:ilvl w:val="0"/>
          <w:numId w:val="1"/>
        </w:numPr>
        <w:rPr/>
      </w:pPr>
      <w:r>
        <w:rPr>
          <w:color w:val="172236"/>
          <w:sz w:val="18"/>
        </w:rPr>
        <w:t>Monitor health, rate limits, costs, errors, and latency.</w:t>
      </w:r>
    </w:p>
    <w:p>
      <w:pPr>
        <w:pStyle w:val="ListBullet"/>
        <w:numPr>
          <w:ilvl w:val="0"/>
          <w:numId w:val="1"/>
        </w:numPr>
        <w:rPr/>
      </w:pPr>
      <w:r>
        <w:rPr>
          <w:color w:val="172236"/>
          <w:sz w:val="18"/>
        </w:rPr>
        <w:t>Enforce RBAC/ABAC policies.</w:t>
      </w:r>
    </w:p>
    <w:p>
      <w:pPr>
        <w:pStyle w:val="ListBullet"/>
        <w:numPr>
          <w:ilvl w:val="0"/>
          <w:numId w:val="1"/>
        </w:numPr>
        <w:rPr/>
      </w:pPr>
      <w:r>
        <w:rPr>
          <w:color w:val="172236"/>
          <w:sz w:val="18"/>
        </w:rPr>
        <w:t>Rotate secrets and cryptographic material.</w:t>
      </w:r>
    </w:p>
    <w:p>
      <w:pPr>
        <w:pStyle w:val="ListBullet"/>
        <w:numPr>
          <w:ilvl w:val="0"/>
          <w:numId w:val="1"/>
        </w:numPr>
        <w:rPr/>
      </w:pPr>
      <w:r>
        <w:rPr>
          <w:color w:val="172236"/>
          <w:sz w:val="18"/>
        </w:rPr>
        <w:t>Manage signed plugins and MCP servers.</w:t>
      </w:r>
    </w:p>
    <w:p>
      <w:pPr>
        <w:pStyle w:val="ListBullet"/>
        <w:numPr>
          <w:ilvl w:val="0"/>
          <w:numId w:val="1"/>
        </w:numPr>
        <w:rPr/>
      </w:pPr>
      <w:r>
        <w:rPr>
          <w:color w:val="172236"/>
          <w:sz w:val="18"/>
        </w:rPr>
        <w:t>Export compliance and audit records.</w:t>
      </w:r>
    </w:p>
    <w:p>
      <w:pPr>
        <w:pStyle w:val="Heading1"/>
        <w:pBdr>
          <w:bottom w:val="single" w:sz="12" w:space="5" w:color="33C7F2"/>
        </w:pBdr>
        <w:rPr/>
      </w:pPr>
      <w:bookmarkStart w:id="18" w:name="__RefHeading___Toc6756_2150751134"/>
      <w:bookmarkEnd w:id="18"/>
      <w:r>
        <w:rPr>
          <w:rFonts w:ascii="Lato" w:hAnsi="Lato"/>
          <w:color w:val="172236"/>
          <w:sz w:val="42"/>
        </w:rPr>
        <w:t>4. Product Principles</w:t>
      </w:r>
    </w:p>
    <w:p>
      <w:pPr>
        <w:pStyle w:val="Heading2"/>
        <w:pBdr>
          <w:left w:val="single" w:sz="14" w:space="4" w:color="8B5CF6"/>
        </w:pBdr>
        <w:rPr/>
      </w:pPr>
      <w:bookmarkStart w:id="19" w:name="__RefHeading___Toc6758_2150751134"/>
      <w:bookmarkEnd w:id="19"/>
      <w:r>
        <w:rPr>
          <w:rFonts w:ascii="Lato" w:hAnsi="Lato"/>
          <w:color w:val="172236"/>
          <w:sz w:val="29"/>
        </w:rPr>
        <w:t>4.1 Evidence Before Conclusion</w:t>
      </w:r>
    </w:p>
    <w:p>
      <w:pPr>
        <w:pStyle w:val="Normal"/>
        <w:rPr/>
      </w:pPr>
      <w:r>
        <w:rPr>
          <w:color w:val="172236"/>
          <w:sz w:val="19"/>
        </w:rPr>
        <w:t>Every opportunity MUST expose the evidence chain that produced it.</w:t>
      </w:r>
    </w:p>
    <w:p>
      <w:pPr>
        <w:pStyle w:val="Heading2"/>
        <w:pBdr>
          <w:left w:val="single" w:sz="14" w:space="4" w:color="8B5CF6"/>
        </w:pBdr>
        <w:rPr/>
      </w:pPr>
      <w:bookmarkStart w:id="20" w:name="__RefHeading___Toc6760_2150751134"/>
      <w:bookmarkEnd w:id="20"/>
      <w:r>
        <w:rPr>
          <w:rFonts w:ascii="Lato" w:hAnsi="Lato"/>
          <w:color w:val="172236"/>
          <w:sz w:val="29"/>
        </w:rPr>
        <w:t>4.2 Probability, Not Prophecy</w:t>
      </w:r>
    </w:p>
    <w:p>
      <w:pPr>
        <w:pStyle w:val="Normal"/>
        <w:rPr/>
      </w:pPr>
      <w:r>
        <w:rPr>
          <w:color w:val="172236"/>
          <w:sz w:val="19"/>
        </w:rPr>
        <w:t>Model output MUST be expressed as a distribution, interval, calibrated probability, ranking, or scenario set—not a guaranteed prediction.</w:t>
      </w:r>
    </w:p>
    <w:p>
      <w:pPr>
        <w:pStyle w:val="Heading2"/>
        <w:pBdr>
          <w:left w:val="single" w:sz="14" w:space="4" w:color="8B5CF6"/>
        </w:pBdr>
        <w:rPr/>
      </w:pPr>
      <w:bookmarkStart w:id="21" w:name="__RefHeading___Toc6762_2150751134"/>
      <w:bookmarkEnd w:id="21"/>
      <w:r>
        <w:rPr>
          <w:rFonts w:ascii="Lato" w:hAnsi="Lato"/>
          <w:color w:val="172236"/>
          <w:sz w:val="29"/>
        </w:rPr>
        <w:t>4.3 Provider Independence</w:t>
      </w:r>
    </w:p>
    <w:p>
      <w:pPr>
        <w:pStyle w:val="Normal"/>
        <w:rPr/>
      </w:pPr>
      <w:r>
        <w:rPr>
          <w:color w:val="172236"/>
          <w:sz w:val="19"/>
        </w:rPr>
        <w:t>Business logic MUST depend on domain ports, never directly on a vendor SDK or endpoint.</w:t>
      </w:r>
    </w:p>
    <w:p>
      <w:pPr>
        <w:pStyle w:val="Heading2"/>
        <w:pBdr>
          <w:left w:val="single" w:sz="14" w:space="4" w:color="8B5CF6"/>
        </w:pBdr>
        <w:rPr/>
      </w:pPr>
      <w:bookmarkStart w:id="22" w:name="__RefHeading___Toc6764_2150751134"/>
      <w:bookmarkEnd w:id="22"/>
      <w:r>
        <w:rPr>
          <w:rFonts w:ascii="Lato" w:hAnsi="Lato"/>
          <w:color w:val="172236"/>
          <w:sz w:val="29"/>
        </w:rPr>
        <w:t>4.4 Local-First Where Valuable</w:t>
      </w:r>
    </w:p>
    <w:p>
      <w:pPr>
        <w:pStyle w:val="Normal"/>
        <w:rPr/>
      </w:pPr>
      <w:r>
        <w:rPr>
          <w:color w:val="172236"/>
          <w:sz w:val="19"/>
        </w:rPr>
        <w:t>Watchlists, layouts, journals, cached research, model metadata, and selected datasets SHOULD remain available offline. Cloud sync is optional and encrypted.</w:t>
      </w:r>
    </w:p>
    <w:p>
      <w:pPr>
        <w:pStyle w:val="Heading2"/>
        <w:pBdr>
          <w:left w:val="single" w:sz="14" w:space="4" w:color="8B5CF6"/>
        </w:pBdr>
        <w:rPr/>
      </w:pPr>
      <w:bookmarkStart w:id="23" w:name="__RefHeading___Toc6766_2150751134"/>
      <w:bookmarkEnd w:id="23"/>
      <w:r>
        <w:rPr>
          <w:rFonts w:ascii="Lato" w:hAnsi="Lato"/>
          <w:color w:val="172236"/>
          <w:sz w:val="29"/>
        </w:rPr>
        <w:t>4.5 Security as Architecture</w:t>
      </w:r>
    </w:p>
    <w:p>
      <w:pPr>
        <w:pStyle w:val="Normal"/>
        <w:rPr/>
      </w:pPr>
      <w:r>
        <w:rPr>
          <w:color w:val="172236"/>
          <w:sz w:val="19"/>
        </w:rPr>
        <w:t>Secrets, execution credentials, personal financial data, strategy intellectual property, model artifacts, and audit logs are high-value assets.</w:t>
      </w:r>
    </w:p>
    <w:p>
      <w:pPr>
        <w:pStyle w:val="Heading2"/>
        <w:pBdr>
          <w:left w:val="single" w:sz="14" w:space="4" w:color="8B5CF6"/>
        </w:pBdr>
        <w:rPr/>
      </w:pPr>
      <w:bookmarkStart w:id="24" w:name="__RefHeading___Toc6768_2150751134"/>
      <w:bookmarkEnd w:id="24"/>
      <w:r>
        <w:rPr>
          <w:rFonts w:ascii="Lato" w:hAnsi="Lato"/>
          <w:color w:val="172236"/>
          <w:sz w:val="29"/>
        </w:rPr>
        <w:t>4.6 Professional Density Without Confusion</w:t>
      </w:r>
    </w:p>
    <w:p>
      <w:pPr>
        <w:pStyle w:val="Normal"/>
        <w:rPr/>
      </w:pPr>
      <w:r>
        <w:rPr>
          <w:color w:val="172236"/>
          <w:sz w:val="19"/>
        </w:rPr>
        <w:t>The interface can be information-rich, but every screen MUST support progressive disclosure, keyboard navigation, saved layouts, and clear provenance.</w:t>
      </w:r>
    </w:p>
    <w:p>
      <w:pPr>
        <w:pStyle w:val="Heading2"/>
        <w:pBdr>
          <w:left w:val="single" w:sz="14" w:space="4" w:color="8B5CF6"/>
        </w:pBdr>
        <w:rPr/>
      </w:pPr>
      <w:bookmarkStart w:id="25" w:name="__RefHeading___Toc6770_2150751134"/>
      <w:bookmarkEnd w:id="25"/>
      <w:r>
        <w:rPr>
          <w:rFonts w:ascii="Lato" w:hAnsi="Lato"/>
          <w:color w:val="172236"/>
          <w:sz w:val="29"/>
        </w:rPr>
        <w:t>4.7 Reproducibility</w:t>
      </w:r>
    </w:p>
    <w:p>
      <w:pPr>
        <w:pStyle w:val="Normal"/>
        <w:rPr/>
      </w:pPr>
      <w:r>
        <w:rPr>
          <w:color w:val="172236"/>
          <w:sz w:val="19"/>
        </w:rPr>
        <w:t>A backtest or forecast MUST be reproducible from:</w:t>
      </w:r>
    </w:p>
    <w:p>
      <w:pPr>
        <w:pStyle w:val="ListBullet"/>
        <w:numPr>
          <w:ilvl w:val="0"/>
          <w:numId w:val="1"/>
        </w:numPr>
        <w:rPr/>
      </w:pPr>
      <w:r>
        <w:rPr>
          <w:color w:val="172236"/>
          <w:sz w:val="18"/>
        </w:rPr>
        <w:t>Dataset snapshot.</w:t>
      </w:r>
    </w:p>
    <w:p>
      <w:pPr>
        <w:pStyle w:val="ListBullet"/>
        <w:numPr>
          <w:ilvl w:val="0"/>
          <w:numId w:val="1"/>
        </w:numPr>
        <w:rPr/>
      </w:pPr>
      <w:r>
        <w:rPr>
          <w:color w:val="172236"/>
          <w:sz w:val="18"/>
        </w:rPr>
        <w:t>Data-cleaning policy.</w:t>
      </w:r>
    </w:p>
    <w:p>
      <w:pPr>
        <w:pStyle w:val="ListBullet"/>
        <w:numPr>
          <w:ilvl w:val="0"/>
          <w:numId w:val="1"/>
        </w:numPr>
        <w:rPr/>
      </w:pPr>
      <w:r>
        <w:rPr>
          <w:color w:val="172236"/>
          <w:sz w:val="18"/>
        </w:rPr>
        <w:t>Strategy/model version.</w:t>
      </w:r>
    </w:p>
    <w:p>
      <w:pPr>
        <w:pStyle w:val="ListBullet"/>
        <w:numPr>
          <w:ilvl w:val="0"/>
          <w:numId w:val="1"/>
        </w:numPr>
        <w:rPr/>
      </w:pPr>
      <w:r>
        <w:rPr>
          <w:color w:val="172236"/>
          <w:sz w:val="18"/>
        </w:rPr>
        <w:t>Parameters.</w:t>
      </w:r>
    </w:p>
    <w:p>
      <w:pPr>
        <w:pStyle w:val="ListBullet"/>
        <w:numPr>
          <w:ilvl w:val="0"/>
          <w:numId w:val="1"/>
        </w:numPr>
        <w:rPr/>
      </w:pPr>
      <w:r>
        <w:rPr>
          <w:color w:val="172236"/>
          <w:sz w:val="18"/>
        </w:rPr>
        <w:t>Random seed.</w:t>
      </w:r>
    </w:p>
    <w:p>
      <w:pPr>
        <w:pStyle w:val="ListBullet"/>
        <w:numPr>
          <w:ilvl w:val="0"/>
          <w:numId w:val="1"/>
        </w:numPr>
        <w:rPr/>
      </w:pPr>
      <w:r>
        <w:rPr>
          <w:color w:val="172236"/>
          <w:sz w:val="18"/>
        </w:rPr>
        <w:t>Execution assumptions.</w:t>
      </w:r>
    </w:p>
    <w:p>
      <w:pPr>
        <w:pStyle w:val="ListBullet"/>
        <w:numPr>
          <w:ilvl w:val="0"/>
          <w:numId w:val="1"/>
        </w:numPr>
        <w:rPr/>
      </w:pPr>
      <w:r>
        <w:rPr>
          <w:color w:val="172236"/>
          <w:sz w:val="18"/>
        </w:rPr>
        <w:t>Code and dependency versions.</w:t>
      </w:r>
    </w:p>
    <w:p>
      <w:pPr>
        <w:pStyle w:val="Heading2"/>
        <w:pBdr>
          <w:left w:val="single" w:sz="14" w:space="4" w:color="8B5CF6"/>
        </w:pBdr>
        <w:rPr/>
      </w:pPr>
      <w:bookmarkStart w:id="26" w:name="__RefHeading___Toc6772_2150751134"/>
      <w:bookmarkEnd w:id="26"/>
      <w:r>
        <w:rPr>
          <w:rFonts w:ascii="Lato" w:hAnsi="Lato"/>
          <w:color w:val="172236"/>
          <w:sz w:val="29"/>
        </w:rPr>
        <w:t>4.8 Graceful Degradation</w:t>
      </w:r>
    </w:p>
    <w:p>
      <w:pPr>
        <w:pStyle w:val="Normal"/>
        <w:rPr/>
      </w:pPr>
      <w:r>
        <w:rPr>
          <w:color w:val="172236"/>
          <w:sz w:val="19"/>
        </w:rPr>
        <w:t>If advanced GPU rendering, a provider, AI model, or streaming feed is unavailable, the application MUST preserve core workflows in a reduced-capability mode.</w:t>
      </w:r>
    </w:p>
    <w:p>
      <w:pPr>
        <w:pStyle w:val="Heading1"/>
        <w:pBdr>
          <w:bottom w:val="single" w:sz="12" w:space="5" w:color="33C7F2"/>
        </w:pBdr>
        <w:rPr/>
      </w:pPr>
      <w:bookmarkStart w:id="27" w:name="__RefHeading___Toc6774_2150751134"/>
      <w:bookmarkEnd w:id="27"/>
      <w:r>
        <w:rPr>
          <w:rFonts w:ascii="Lato" w:hAnsi="Lato"/>
          <w:color w:val="172236"/>
          <w:sz w:val="42"/>
        </w:rPr>
        <w:t>5. Scope and Asset Coverage</w:t>
      </w:r>
    </w:p>
    <w:p>
      <w:pPr>
        <w:pStyle w:val="Heading2"/>
        <w:pBdr>
          <w:left w:val="single" w:sz="14" w:space="4" w:color="8B5CF6"/>
        </w:pBdr>
        <w:rPr/>
      </w:pPr>
      <w:bookmarkStart w:id="28" w:name="__RefHeading___Toc6776_2150751134"/>
      <w:bookmarkEnd w:id="28"/>
      <w:r>
        <w:rPr>
          <w:rFonts w:ascii="Lato" w:hAnsi="Lato"/>
          <w:color w:val="172236"/>
          <w:sz w:val="29"/>
        </w:rPr>
        <w:t>5.1 Phase-One Asset Classes</w:t>
      </w:r>
    </w:p>
    <w:p>
      <w:pPr>
        <w:pStyle w:val="ListBullet"/>
        <w:numPr>
          <w:ilvl w:val="0"/>
          <w:numId w:val="1"/>
        </w:numPr>
        <w:rPr/>
      </w:pPr>
      <w:r>
        <w:rPr>
          <w:color w:val="172236"/>
          <w:sz w:val="18"/>
        </w:rPr>
        <w:t>U.S. common stocks.</w:t>
      </w:r>
    </w:p>
    <w:p>
      <w:pPr>
        <w:pStyle w:val="ListBullet"/>
        <w:numPr>
          <w:ilvl w:val="0"/>
          <w:numId w:val="1"/>
        </w:numPr>
        <w:rPr/>
      </w:pPr>
      <w:r>
        <w:rPr>
          <w:color w:val="172236"/>
          <w:sz w:val="18"/>
        </w:rPr>
        <w:t>U.S. ETFs.</w:t>
      </w:r>
    </w:p>
    <w:p>
      <w:pPr>
        <w:pStyle w:val="ListBullet"/>
        <w:numPr>
          <w:ilvl w:val="0"/>
          <w:numId w:val="1"/>
        </w:numPr>
        <w:rPr/>
      </w:pPr>
      <w:r>
        <w:rPr>
          <w:color w:val="172236"/>
          <w:sz w:val="18"/>
        </w:rPr>
        <w:t>Listed equity and ETF options.</w:t>
      </w:r>
    </w:p>
    <w:p>
      <w:pPr>
        <w:pStyle w:val="ListBullet"/>
        <w:numPr>
          <w:ilvl w:val="0"/>
          <w:numId w:val="1"/>
        </w:numPr>
        <w:rPr/>
      </w:pPr>
      <w:r>
        <w:rPr>
          <w:color w:val="172236"/>
          <w:sz w:val="18"/>
        </w:rPr>
        <w:t>Cryptocurrency spot-market intelligence.</w:t>
      </w:r>
    </w:p>
    <w:p>
      <w:pPr>
        <w:pStyle w:val="ListBullet"/>
        <w:numPr>
          <w:ilvl w:val="0"/>
          <w:numId w:val="1"/>
        </w:numPr>
        <w:rPr/>
      </w:pPr>
      <w:r>
        <w:rPr>
          <w:color w:val="172236"/>
          <w:sz w:val="18"/>
        </w:rPr>
        <w:t>Cryptocurrency reference, category, exchange, and historical data.</w:t>
      </w:r>
    </w:p>
    <w:p>
      <w:pPr>
        <w:pStyle w:val="ListBullet"/>
        <w:numPr>
          <w:ilvl w:val="0"/>
          <w:numId w:val="1"/>
        </w:numPr>
        <w:rPr/>
      </w:pPr>
      <w:r>
        <w:rPr>
          <w:color w:val="172236"/>
          <w:sz w:val="18"/>
        </w:rPr>
        <w:t>Macro instruments relevant to risk regime analysis.</w:t>
      </w:r>
    </w:p>
    <w:p>
      <w:pPr>
        <w:pStyle w:val="ListBullet"/>
        <w:numPr>
          <w:ilvl w:val="0"/>
          <w:numId w:val="1"/>
        </w:numPr>
        <w:rPr/>
      </w:pPr>
      <w:r>
        <w:rPr>
          <w:color w:val="172236"/>
          <w:sz w:val="18"/>
        </w:rPr>
        <w:t>Futures-positioning intelligence from CFTC COT reports.</w:t>
      </w:r>
    </w:p>
    <w:p>
      <w:pPr>
        <w:pStyle w:val="Heading2"/>
        <w:pBdr>
          <w:left w:val="single" w:sz="14" w:space="4" w:color="8B5CF6"/>
        </w:pBdr>
        <w:rPr/>
      </w:pPr>
      <w:bookmarkStart w:id="29" w:name="__RefHeading___Toc6778_2150751134"/>
      <w:bookmarkEnd w:id="29"/>
      <w:r>
        <w:rPr>
          <w:rFonts w:ascii="Lato" w:hAnsi="Lato"/>
          <w:color w:val="172236"/>
          <w:sz w:val="29"/>
        </w:rPr>
        <w:t>5.2 Later Asset Classes</w:t>
      </w:r>
    </w:p>
    <w:p>
      <w:pPr>
        <w:pStyle w:val="ListBullet"/>
        <w:numPr>
          <w:ilvl w:val="0"/>
          <w:numId w:val="1"/>
        </w:numPr>
        <w:rPr/>
      </w:pPr>
      <w:r>
        <w:rPr>
          <w:color w:val="172236"/>
          <w:sz w:val="18"/>
        </w:rPr>
        <w:t>Crypto perpetual futures and options through exchange-specific adapters.</w:t>
      </w:r>
    </w:p>
    <w:p>
      <w:pPr>
        <w:pStyle w:val="ListBullet"/>
        <w:numPr>
          <w:ilvl w:val="0"/>
          <w:numId w:val="1"/>
        </w:numPr>
        <w:rPr/>
      </w:pPr>
      <w:r>
        <w:rPr>
          <w:color w:val="172236"/>
          <w:sz w:val="18"/>
        </w:rPr>
        <w:t>U.S. index options.</w:t>
      </w:r>
    </w:p>
    <w:p>
      <w:pPr>
        <w:pStyle w:val="ListBullet"/>
        <w:numPr>
          <w:ilvl w:val="0"/>
          <w:numId w:val="1"/>
        </w:numPr>
        <w:rPr/>
      </w:pPr>
      <w:r>
        <w:rPr>
          <w:color w:val="172236"/>
          <w:sz w:val="18"/>
        </w:rPr>
        <w:t>Futures and options on futures.</w:t>
      </w:r>
    </w:p>
    <w:p>
      <w:pPr>
        <w:pStyle w:val="ListBullet"/>
        <w:numPr>
          <w:ilvl w:val="0"/>
          <w:numId w:val="1"/>
        </w:numPr>
        <w:rPr/>
      </w:pPr>
      <w:r>
        <w:rPr>
          <w:color w:val="172236"/>
          <w:sz w:val="18"/>
        </w:rPr>
        <w:t>Foreign exchange.</w:t>
      </w:r>
    </w:p>
    <w:p>
      <w:pPr>
        <w:pStyle w:val="ListBullet"/>
        <w:numPr>
          <w:ilvl w:val="0"/>
          <w:numId w:val="1"/>
        </w:numPr>
        <w:rPr/>
      </w:pPr>
      <w:r>
        <w:rPr>
          <w:color w:val="172236"/>
          <w:sz w:val="18"/>
        </w:rPr>
        <w:t>Fixed income and yield curves.</w:t>
      </w:r>
    </w:p>
    <w:p>
      <w:pPr>
        <w:pStyle w:val="ListBullet"/>
        <w:numPr>
          <w:ilvl w:val="0"/>
          <w:numId w:val="1"/>
        </w:numPr>
        <w:rPr/>
      </w:pPr>
      <w:r>
        <w:rPr>
          <w:color w:val="172236"/>
          <w:sz w:val="18"/>
        </w:rPr>
        <w:t>Commodities.</w:t>
      </w:r>
    </w:p>
    <w:p>
      <w:pPr>
        <w:pStyle w:val="ListBullet"/>
        <w:numPr>
          <w:ilvl w:val="0"/>
          <w:numId w:val="1"/>
        </w:numPr>
        <w:rPr/>
      </w:pPr>
      <w:r>
        <w:rPr>
          <w:color w:val="172236"/>
          <w:sz w:val="18"/>
        </w:rPr>
        <w:t>Prediction markets.</w:t>
      </w:r>
    </w:p>
    <w:p>
      <w:pPr>
        <w:pStyle w:val="ListBullet"/>
        <w:numPr>
          <w:ilvl w:val="0"/>
          <w:numId w:val="1"/>
        </w:numPr>
        <w:rPr/>
      </w:pPr>
      <w:r>
        <w:rPr>
          <w:color w:val="172236"/>
          <w:sz w:val="18"/>
        </w:rPr>
        <w:t>International equities where licensing permits.</w:t>
      </w:r>
    </w:p>
    <w:p>
      <w:pPr>
        <w:pStyle w:val="Heading2"/>
        <w:pBdr>
          <w:left w:val="single" w:sz="14" w:space="4" w:color="8B5CF6"/>
        </w:pBdr>
        <w:rPr/>
      </w:pPr>
      <w:bookmarkStart w:id="30" w:name="__RefHeading___Toc6780_2150751134"/>
      <w:bookmarkEnd w:id="30"/>
      <w:r>
        <w:rPr>
          <w:rFonts w:ascii="Lato" w:hAnsi="Lato"/>
          <w:color w:val="172236"/>
          <w:sz w:val="29"/>
        </w:rPr>
        <w:t>5.3 Data Rights and Entitlements</w:t>
      </w:r>
    </w:p>
    <w:p>
      <w:pPr>
        <w:pStyle w:val="Normal"/>
        <w:rPr/>
      </w:pPr>
      <w:r>
        <w:rPr>
          <w:color w:val="172236"/>
          <w:sz w:val="19"/>
        </w:rPr>
        <w:t>The platform MUST maintain a data-entitlement registry that records:</w:t>
      </w:r>
    </w:p>
    <w:p>
      <w:pPr>
        <w:pStyle w:val="ListBullet"/>
        <w:numPr>
          <w:ilvl w:val="0"/>
          <w:numId w:val="1"/>
        </w:numPr>
        <w:rPr/>
      </w:pPr>
      <w:r>
        <w:rPr>
          <w:color w:val="172236"/>
          <w:sz w:val="18"/>
        </w:rPr>
        <w:t>Provider.</w:t>
      </w:r>
    </w:p>
    <w:p>
      <w:pPr>
        <w:pStyle w:val="ListBullet"/>
        <w:numPr>
          <w:ilvl w:val="0"/>
          <w:numId w:val="1"/>
        </w:numPr>
        <w:rPr/>
      </w:pPr>
      <w:r>
        <w:rPr>
          <w:color w:val="172236"/>
          <w:sz w:val="18"/>
        </w:rPr>
        <w:t>Plan/tier.</w:t>
      </w:r>
    </w:p>
    <w:p>
      <w:pPr>
        <w:pStyle w:val="ListBullet"/>
        <w:numPr>
          <w:ilvl w:val="0"/>
          <w:numId w:val="1"/>
        </w:numPr>
        <w:rPr/>
      </w:pPr>
      <w:r>
        <w:rPr>
          <w:color w:val="172236"/>
          <w:sz w:val="18"/>
        </w:rPr>
        <w:t>Licensed use.</w:t>
      </w:r>
    </w:p>
    <w:p>
      <w:pPr>
        <w:pStyle w:val="ListBullet"/>
        <w:numPr>
          <w:ilvl w:val="0"/>
          <w:numId w:val="1"/>
        </w:numPr>
        <w:rPr/>
      </w:pPr>
      <w:r>
        <w:rPr>
          <w:color w:val="172236"/>
          <w:sz w:val="18"/>
        </w:rPr>
        <w:t>Redistribution restrictions.</w:t>
      </w:r>
    </w:p>
    <w:p>
      <w:pPr>
        <w:pStyle w:val="ListBullet"/>
        <w:numPr>
          <w:ilvl w:val="0"/>
          <w:numId w:val="1"/>
        </w:numPr>
        <w:rPr/>
      </w:pPr>
      <w:r>
        <w:rPr>
          <w:color w:val="172236"/>
          <w:sz w:val="18"/>
        </w:rPr>
        <w:t>Display rights.</w:t>
      </w:r>
    </w:p>
    <w:p>
      <w:pPr>
        <w:pStyle w:val="ListBullet"/>
        <w:numPr>
          <w:ilvl w:val="0"/>
          <w:numId w:val="1"/>
        </w:numPr>
        <w:rPr/>
      </w:pPr>
      <w:r>
        <w:rPr>
          <w:color w:val="172236"/>
          <w:sz w:val="18"/>
        </w:rPr>
        <w:t>Historical retention rights.</w:t>
      </w:r>
    </w:p>
    <w:p>
      <w:pPr>
        <w:pStyle w:val="ListBullet"/>
        <w:numPr>
          <w:ilvl w:val="0"/>
          <w:numId w:val="1"/>
        </w:numPr>
        <w:rPr/>
      </w:pPr>
      <w:r>
        <w:rPr>
          <w:color w:val="172236"/>
          <w:sz w:val="18"/>
        </w:rPr>
        <w:t>Derived-data rights.</w:t>
      </w:r>
    </w:p>
    <w:p>
      <w:pPr>
        <w:pStyle w:val="ListBullet"/>
        <w:numPr>
          <w:ilvl w:val="0"/>
          <w:numId w:val="1"/>
        </w:numPr>
        <w:rPr/>
      </w:pPr>
      <w:r>
        <w:rPr>
          <w:color w:val="172236"/>
          <w:sz w:val="18"/>
        </w:rPr>
        <w:t>User or organization scope.</w:t>
      </w:r>
    </w:p>
    <w:p>
      <w:pPr>
        <w:pStyle w:val="ListBullet"/>
        <w:numPr>
          <w:ilvl w:val="0"/>
          <w:numId w:val="1"/>
        </w:numPr>
        <w:rPr/>
      </w:pPr>
      <w:r>
        <w:rPr>
          <w:color w:val="172236"/>
          <w:sz w:val="18"/>
        </w:rPr>
        <w:t>Expiration.</w:t>
      </w:r>
    </w:p>
    <w:p>
      <w:pPr>
        <w:pStyle w:val="ListBullet"/>
        <w:numPr>
          <w:ilvl w:val="0"/>
          <w:numId w:val="1"/>
        </w:numPr>
        <w:rPr/>
      </w:pPr>
      <w:r>
        <w:rPr>
          <w:color w:val="172236"/>
          <w:sz w:val="18"/>
        </w:rPr>
        <w:t>Required attribution.</w:t>
      </w:r>
    </w:p>
    <w:p>
      <w:pPr>
        <w:pStyle w:val="ListBullet"/>
        <w:numPr>
          <w:ilvl w:val="0"/>
          <w:numId w:val="1"/>
        </w:numPr>
        <w:rPr/>
      </w:pPr>
      <w:r>
        <w:rPr>
          <w:color w:val="172236"/>
          <w:sz w:val="18"/>
        </w:rPr>
        <w:t>Audit owner.</w:t>
      </w:r>
    </w:p>
    <w:p>
      <w:pPr>
        <w:pStyle w:val="Normal"/>
        <w:rPr/>
      </w:pPr>
      <w:r>
        <w:rPr>
          <w:color w:val="172236"/>
          <w:sz w:val="19"/>
        </w:rPr>
        <w:t>No endpoint integration is production-ready until legal and licensing constraints are documented.</w:t>
      </w:r>
    </w:p>
    <w:p>
      <w:pPr>
        <w:pStyle w:val="Heading1"/>
        <w:pBdr>
          <w:bottom w:val="single" w:sz="12" w:space="5" w:color="33C7F2"/>
        </w:pBdr>
        <w:rPr/>
      </w:pPr>
      <w:bookmarkStart w:id="31" w:name="__RefHeading___Toc6782_2150751134"/>
      <w:bookmarkEnd w:id="31"/>
      <w:r>
        <w:rPr>
          <w:rFonts w:ascii="Lato" w:hAnsi="Lato"/>
          <w:color w:val="172236"/>
          <w:sz w:val="42"/>
        </w:rPr>
        <w:t>6. Experience and Visual Design System</w:t>
      </w:r>
    </w:p>
    <w:p>
      <w:pPr>
        <w:pStyle w:val="Heading2"/>
        <w:pBdr>
          <w:left w:val="single" w:sz="14" w:space="4" w:color="8B5CF6"/>
        </w:pBdr>
        <w:rPr/>
      </w:pPr>
      <w:bookmarkStart w:id="32" w:name="__RefHeading___Toc6784_2150751134"/>
      <w:bookmarkEnd w:id="32"/>
      <w:r>
        <w:rPr>
          <w:rFonts w:ascii="Lato" w:hAnsi="Lato"/>
          <w:color w:val="172236"/>
          <w:sz w:val="29"/>
        </w:rPr>
        <w:t>6.1 Design Vision</w:t>
      </w:r>
    </w:p>
    <w:p>
      <w:pPr>
        <w:pStyle w:val="Normal"/>
        <w:rPr/>
      </w:pPr>
      <w:r>
        <w:rPr>
          <w:color w:val="172236"/>
          <w:sz w:val="19"/>
        </w:rPr>
        <w:t>The visual language should feel like a fusion of:</w:t>
      </w:r>
    </w:p>
    <w:p>
      <w:pPr>
        <w:pStyle w:val="ListBullet"/>
        <w:numPr>
          <w:ilvl w:val="0"/>
          <w:numId w:val="1"/>
        </w:numPr>
        <w:rPr/>
      </w:pPr>
      <w:r>
        <w:rPr>
          <w:color w:val="172236"/>
          <w:sz w:val="18"/>
        </w:rPr>
        <w:t>A professional trading terminal.</w:t>
      </w:r>
    </w:p>
    <w:p>
      <w:pPr>
        <w:pStyle w:val="ListBullet"/>
        <w:numPr>
          <w:ilvl w:val="0"/>
          <w:numId w:val="1"/>
        </w:numPr>
        <w:rPr/>
      </w:pPr>
      <w:r>
        <w:rPr>
          <w:color w:val="172236"/>
          <w:sz w:val="18"/>
        </w:rPr>
        <w:t>A high-end scientific instrument.</w:t>
      </w:r>
    </w:p>
    <w:p>
      <w:pPr>
        <w:pStyle w:val="ListBullet"/>
        <w:numPr>
          <w:ilvl w:val="0"/>
          <w:numId w:val="1"/>
        </w:numPr>
        <w:rPr/>
      </w:pPr>
      <w:r>
        <w:rPr>
          <w:color w:val="172236"/>
          <w:sz w:val="18"/>
        </w:rPr>
        <w:t>A cinematic observatory.</w:t>
      </w:r>
    </w:p>
    <w:p>
      <w:pPr>
        <w:pStyle w:val="ListBullet"/>
        <w:numPr>
          <w:ilvl w:val="0"/>
          <w:numId w:val="1"/>
        </w:numPr>
        <w:rPr/>
      </w:pPr>
      <w:r>
        <w:rPr>
          <w:color w:val="172236"/>
          <w:sz w:val="18"/>
        </w:rPr>
        <w:t>A modern security operations center.</w:t>
      </w:r>
    </w:p>
    <w:p>
      <w:pPr>
        <w:pStyle w:val="ListBullet"/>
        <w:numPr>
          <w:ilvl w:val="0"/>
          <w:numId w:val="1"/>
        </w:numPr>
        <w:rPr/>
      </w:pPr>
      <w:r>
        <w:rPr>
          <w:color w:val="172236"/>
          <w:sz w:val="18"/>
        </w:rPr>
        <w:t>A restrained, premium, spectral interface.</w:t>
      </w:r>
    </w:p>
    <w:p>
      <w:pPr>
        <w:pStyle w:val="Normal"/>
        <w:rPr/>
      </w:pPr>
      <w:r>
        <w:rPr>
          <w:color w:val="172236"/>
          <w:sz w:val="19"/>
        </w:rPr>
        <w:t>The interface MUST be captivating without undermining readability or making motion distracting.</w:t>
      </w:r>
    </w:p>
    <w:p>
      <w:pPr>
        <w:pStyle w:val="Heading2"/>
        <w:pBdr>
          <w:left w:val="single" w:sz="14" w:space="4" w:color="8B5CF6"/>
        </w:pBdr>
        <w:rPr/>
      </w:pPr>
      <w:bookmarkStart w:id="33" w:name="__RefHeading___Toc6786_2150751134"/>
      <w:bookmarkEnd w:id="33"/>
      <w:r>
        <w:rPr>
          <w:rFonts w:ascii="Lato" w:hAnsi="Lato"/>
          <w:color w:val="172236"/>
          <w:sz w:val="29"/>
        </w:rPr>
        <w:t>6.2 Visual Characteristics</w:t>
      </w:r>
    </w:p>
    <w:p>
      <w:pPr>
        <w:pStyle w:val="ListBullet"/>
        <w:numPr>
          <w:ilvl w:val="0"/>
          <w:numId w:val="1"/>
        </w:numPr>
        <w:rPr/>
      </w:pPr>
      <w:r>
        <w:rPr>
          <w:color w:val="172236"/>
          <w:sz w:val="18"/>
        </w:rPr>
        <w:t>Deep graphite, obsidian, and midnight surfaces.</w:t>
      </w:r>
    </w:p>
    <w:p>
      <w:pPr>
        <w:pStyle w:val="ListBullet"/>
        <w:numPr>
          <w:ilvl w:val="0"/>
          <w:numId w:val="1"/>
        </w:numPr>
        <w:rPr/>
      </w:pPr>
      <w:r>
        <w:rPr>
          <w:color w:val="172236"/>
          <w:sz w:val="18"/>
        </w:rPr>
        <w:t>Layered translucent panels with subtle depth.</w:t>
      </w:r>
    </w:p>
    <w:p>
      <w:pPr>
        <w:pStyle w:val="ListBullet"/>
        <w:numPr>
          <w:ilvl w:val="0"/>
          <w:numId w:val="1"/>
        </w:numPr>
        <w:rPr/>
      </w:pPr>
      <w:r>
        <w:rPr>
          <w:color w:val="172236"/>
          <w:sz w:val="18"/>
        </w:rPr>
        <w:t>Soft spectral glows rather than harsh neon borders.</w:t>
      </w:r>
    </w:p>
    <w:p>
      <w:pPr>
        <w:pStyle w:val="ListBullet"/>
        <w:numPr>
          <w:ilvl w:val="0"/>
          <w:numId w:val="1"/>
        </w:numPr>
        <w:rPr/>
      </w:pPr>
      <w:r>
        <w:rPr>
          <w:color w:val="172236"/>
          <w:sz w:val="18"/>
        </w:rPr>
        <w:t>Prismatic accents that change by domain:</w:t>
      </w:r>
    </w:p>
    <w:p>
      <w:pPr>
        <w:pStyle w:val="ListBullet2"/>
        <w:numPr>
          <w:ilvl w:val="0"/>
          <w:numId w:val="2"/>
        </w:numPr>
        <w:rPr/>
      </w:pPr>
      <w:r>
        <w:rPr>
          <w:color w:val="172236"/>
          <w:sz w:val="18"/>
        </w:rPr>
        <w:t>Cyan: data and neutral intelligence.</w:t>
      </w:r>
    </w:p>
    <w:p>
      <w:pPr>
        <w:pStyle w:val="ListBullet2"/>
        <w:numPr>
          <w:ilvl w:val="0"/>
          <w:numId w:val="2"/>
        </w:numPr>
        <w:rPr/>
      </w:pPr>
      <w:r>
        <w:rPr>
          <w:color w:val="172236"/>
          <w:sz w:val="18"/>
        </w:rPr>
        <w:t>Emerald: favorable or positive conditions.</w:t>
      </w:r>
    </w:p>
    <w:p>
      <w:pPr>
        <w:pStyle w:val="ListBullet2"/>
        <w:numPr>
          <w:ilvl w:val="0"/>
          <w:numId w:val="2"/>
        </w:numPr>
        <w:rPr/>
      </w:pPr>
      <w:r>
        <w:rPr>
          <w:color w:val="172236"/>
          <w:sz w:val="18"/>
        </w:rPr>
        <w:t>Amber: uncertainty, catalyst proximity, or caution.</w:t>
      </w:r>
    </w:p>
    <w:p>
      <w:pPr>
        <w:pStyle w:val="ListBullet2"/>
        <w:numPr>
          <w:ilvl w:val="0"/>
          <w:numId w:val="2"/>
        </w:numPr>
        <w:rPr/>
      </w:pPr>
      <w:r>
        <w:rPr>
          <w:color w:val="172236"/>
          <w:sz w:val="18"/>
        </w:rPr>
        <w:t>Magenta/violet: AI and model-derived intelligence.</w:t>
      </w:r>
    </w:p>
    <w:p>
      <w:pPr>
        <w:pStyle w:val="ListBullet2"/>
        <w:numPr>
          <w:ilvl w:val="0"/>
          <w:numId w:val="2"/>
        </w:numPr>
        <w:rPr/>
      </w:pPr>
      <w:r>
        <w:rPr>
          <w:color w:val="172236"/>
          <w:sz w:val="18"/>
        </w:rPr>
        <w:t>Red: actual risk, failure, or invalidation—not decoration.</w:t>
      </w:r>
    </w:p>
    <w:p>
      <w:pPr>
        <w:pStyle w:val="ListBullet"/>
        <w:numPr>
          <w:ilvl w:val="0"/>
          <w:numId w:val="1"/>
        </w:numPr>
        <w:rPr/>
      </w:pPr>
      <w:r>
        <w:rPr>
          <w:color w:val="172236"/>
          <w:sz w:val="18"/>
        </w:rPr>
        <w:t>Fine grid textures and subtle star-field/noise effects at low opacity.</w:t>
      </w:r>
    </w:p>
    <w:p>
      <w:pPr>
        <w:pStyle w:val="ListBullet"/>
        <w:numPr>
          <w:ilvl w:val="0"/>
          <w:numId w:val="1"/>
        </w:numPr>
        <w:rPr/>
      </w:pPr>
      <w:r>
        <w:rPr>
          <w:color w:val="172236"/>
          <w:sz w:val="18"/>
        </w:rPr>
        <w:t>Responsive light refraction on focus changes.</w:t>
      </w:r>
    </w:p>
    <w:p>
      <w:pPr>
        <w:pStyle w:val="ListBullet"/>
        <w:numPr>
          <w:ilvl w:val="0"/>
          <w:numId w:val="1"/>
        </w:numPr>
        <w:rPr/>
      </w:pPr>
      <w:r>
        <w:rPr>
          <w:color w:val="172236"/>
          <w:sz w:val="18"/>
        </w:rPr>
        <w:t>Controlled bloom around high-value active elements.</w:t>
      </w:r>
    </w:p>
    <w:p>
      <w:pPr>
        <w:pStyle w:val="ListBullet"/>
        <w:numPr>
          <w:ilvl w:val="0"/>
          <w:numId w:val="1"/>
        </w:numPr>
        <w:rPr/>
      </w:pPr>
      <w:r>
        <w:rPr>
          <w:color w:val="172236"/>
          <w:sz w:val="18"/>
        </w:rPr>
        <w:t>Smooth panel docking and tab transitions.</w:t>
      </w:r>
    </w:p>
    <w:p>
      <w:pPr>
        <w:pStyle w:val="ListBullet"/>
        <w:numPr>
          <w:ilvl w:val="0"/>
          <w:numId w:val="1"/>
        </w:numPr>
        <w:rPr/>
      </w:pPr>
      <w:r>
        <w:rPr>
          <w:color w:val="172236"/>
          <w:sz w:val="18"/>
        </w:rPr>
        <w:t>GPU-rendered heatmaps, risk surfaces, network graphs, and time-series layers.</w:t>
      </w:r>
    </w:p>
    <w:p>
      <w:pPr>
        <w:pStyle w:val="ListBullet"/>
        <w:numPr>
          <w:ilvl w:val="0"/>
          <w:numId w:val="1"/>
        </w:numPr>
        <w:rPr/>
      </w:pPr>
      <w:r>
        <w:rPr>
          <w:color w:val="172236"/>
          <w:sz w:val="18"/>
        </w:rPr>
        <w:t>Reduced-motion and high-contrast modes.</w:t>
      </w:r>
    </w:p>
    <w:p>
      <w:pPr>
        <w:pStyle w:val="Heading2"/>
        <w:pBdr>
          <w:left w:val="single" w:sz="14" w:space="4" w:color="8B5CF6"/>
        </w:pBdr>
        <w:rPr/>
      </w:pPr>
      <w:bookmarkStart w:id="34" w:name="__RefHeading___Toc6788_2150751134"/>
      <w:bookmarkEnd w:id="34"/>
      <w:r>
        <w:rPr>
          <w:rFonts w:ascii="Lato" w:hAnsi="Lato"/>
          <w:color w:val="172236"/>
          <w:sz w:val="29"/>
        </w:rPr>
        <w:t>6.3 Motion System</w:t>
      </w:r>
    </w:p>
    <w:p>
      <w:pPr>
        <w:pStyle w:val="Normal"/>
        <w:rPr/>
      </w:pPr>
      <w:r>
        <w:rPr>
          <w:color w:val="172236"/>
          <w:sz w:val="19"/>
        </w:rPr>
        <w:t>Motion MUST communicate state.</w:t>
      </w:r>
    </w:p>
    <w:p>
      <w:pPr>
        <w:pStyle w:val="Normal"/>
        <w:rPr/>
      </w:pPr>
      <w:r>
        <w:rPr>
          <w:color w:val="172236"/>
          <w:sz w:val="19"/>
        </w:rPr>
        <w:t>Approved motion categories:</w:t>
      </w:r>
    </w:p>
    <w:p>
      <w:pPr>
        <w:pStyle w:val="ListNumber"/>
        <w:numPr>
          <w:ilvl w:val="0"/>
          <w:numId w:val="4"/>
        </w:numPr>
        <w:rPr/>
      </w:pPr>
      <w:r>
        <w:rPr>
          <w:b/>
          <w:color w:val="172236"/>
          <w:sz w:val="18"/>
        </w:rPr>
        <w:t>Focus motion:</w:t>
      </w:r>
      <w:r>
        <w:rPr>
          <w:color w:val="172236"/>
          <w:sz w:val="18"/>
        </w:rPr>
        <w:t xml:space="preserve"> subtle glow and 100–180 ms elevation.</w:t>
      </w:r>
    </w:p>
    <w:p>
      <w:pPr>
        <w:pStyle w:val="ListNumber"/>
        <w:numPr>
          <w:ilvl w:val="0"/>
          <w:numId w:val="4"/>
        </w:numPr>
        <w:rPr/>
      </w:pPr>
      <w:r>
        <w:rPr>
          <w:b/>
          <w:color w:val="172236"/>
          <w:sz w:val="18"/>
        </w:rPr>
        <w:t>Context transition:</w:t>
      </w:r>
      <w:r>
        <w:rPr>
          <w:color w:val="172236"/>
          <w:sz w:val="18"/>
        </w:rPr>
        <w:t xml:space="preserve"> 180–280 ms crossfade/slide with preserved spatial orientation.</w:t>
      </w:r>
    </w:p>
    <w:p>
      <w:pPr>
        <w:pStyle w:val="ListNumber"/>
        <w:numPr>
          <w:ilvl w:val="0"/>
          <w:numId w:val="4"/>
        </w:numPr>
        <w:rPr/>
      </w:pPr>
      <w:r>
        <w:rPr>
          <w:b/>
          <w:color w:val="172236"/>
          <w:sz w:val="18"/>
        </w:rPr>
        <w:t>Streaming pulse:</w:t>
      </w:r>
      <w:r>
        <w:rPr>
          <w:color w:val="172236"/>
          <w:sz w:val="18"/>
        </w:rPr>
        <w:t xml:space="preserve"> low-amplitude pulse when fresh data arrives.</w:t>
      </w:r>
    </w:p>
    <w:p>
      <w:pPr>
        <w:pStyle w:val="ListNumber"/>
        <w:numPr>
          <w:ilvl w:val="0"/>
          <w:numId w:val="4"/>
        </w:numPr>
        <w:rPr/>
      </w:pPr>
      <w:r>
        <w:rPr>
          <w:b/>
          <w:color w:val="172236"/>
          <w:sz w:val="18"/>
        </w:rPr>
        <w:t>Alert emergence:</w:t>
      </w:r>
      <w:r>
        <w:rPr>
          <w:color w:val="172236"/>
          <w:sz w:val="18"/>
        </w:rPr>
        <w:t xml:space="preserve"> staged reveal that communicates severity without flashing.</w:t>
      </w:r>
    </w:p>
    <w:p>
      <w:pPr>
        <w:pStyle w:val="ListNumber"/>
        <w:numPr>
          <w:ilvl w:val="0"/>
          <w:numId w:val="4"/>
        </w:numPr>
        <w:rPr/>
      </w:pPr>
      <w:r>
        <w:rPr>
          <w:b/>
          <w:color w:val="172236"/>
          <w:sz w:val="18"/>
        </w:rPr>
        <w:t>Simulation playback:</w:t>
      </w:r>
      <w:r>
        <w:rPr>
          <w:color w:val="172236"/>
          <w:sz w:val="18"/>
        </w:rPr>
        <w:t xml:space="preserve"> timeline scrub, scenario paths, and distribution evolution.</w:t>
      </w:r>
    </w:p>
    <w:p>
      <w:pPr>
        <w:pStyle w:val="ListNumber"/>
        <w:numPr>
          <w:ilvl w:val="0"/>
          <w:numId w:val="4"/>
        </w:numPr>
        <w:rPr/>
      </w:pPr>
      <w:r>
        <w:rPr>
          <w:b/>
          <w:color w:val="172236"/>
          <w:sz w:val="18"/>
        </w:rPr>
        <w:t>Execution state:</w:t>
      </w:r>
      <w:r>
        <w:rPr>
          <w:color w:val="172236"/>
          <w:sz w:val="18"/>
        </w:rPr>
        <w:t xml:space="preserve"> explicit pending, acknowledged, partially filled, filled, cancelled, or rejected animation.</w:t>
      </w:r>
    </w:p>
    <w:p>
      <w:pPr>
        <w:pStyle w:val="ListNumber"/>
        <w:numPr>
          <w:ilvl w:val="0"/>
          <w:numId w:val="4"/>
        </w:numPr>
        <w:rPr/>
      </w:pPr>
      <w:r>
        <w:rPr>
          <w:b/>
          <w:color w:val="172236"/>
          <w:sz w:val="18"/>
        </w:rPr>
        <w:t>Background ambience:</w:t>
      </w:r>
      <w:r>
        <w:rPr>
          <w:color w:val="172236"/>
          <w:sz w:val="18"/>
        </w:rPr>
        <w:t xml:space="preserve"> optional, GPU-cheap, slow, and disabled by reduced-motion settings.</w:t>
      </w:r>
    </w:p>
    <w:p>
      <w:pPr>
        <w:pStyle w:val="Normal"/>
        <w:rPr/>
      </w:pPr>
      <w:r>
        <w:rPr>
          <w:color w:val="172236"/>
          <w:sz w:val="19"/>
        </w:rPr>
        <w:t>Animation budgets MUST be measured. No animation may block input, delay risk information, or reduce chart accuracy.</w:t>
      </w:r>
    </w:p>
    <w:p>
      <w:pPr>
        <w:pStyle w:val="Heading2"/>
        <w:pBdr>
          <w:left w:val="single" w:sz="14" w:space="4" w:color="8B5CF6"/>
        </w:pBdr>
        <w:rPr/>
      </w:pPr>
      <w:bookmarkStart w:id="35" w:name="__RefHeading___Toc6790_2150751134"/>
      <w:bookmarkEnd w:id="35"/>
      <w:r>
        <w:rPr>
          <w:rFonts w:ascii="Lato" w:hAnsi="Lato"/>
          <w:color w:val="172236"/>
          <w:sz w:val="29"/>
        </w:rPr>
        <w:t>6.4 Workspace Model</w:t>
      </w:r>
    </w:p>
    <w:p>
      <w:pPr>
        <w:pStyle w:val="Normal"/>
        <w:rPr/>
      </w:pPr>
      <w:r>
        <w:rPr>
          <w:color w:val="172236"/>
          <w:sz w:val="19"/>
        </w:rPr>
        <w:t>The application SHOULD support:</w:t>
      </w:r>
    </w:p>
    <w:p>
      <w:pPr>
        <w:pStyle w:val="ListBullet"/>
        <w:numPr>
          <w:ilvl w:val="0"/>
          <w:numId w:val="1"/>
        </w:numPr>
        <w:rPr/>
      </w:pPr>
      <w:r>
        <w:rPr>
          <w:color w:val="172236"/>
          <w:sz w:val="18"/>
        </w:rPr>
        <w:t>Dockable panels.</w:t>
      </w:r>
    </w:p>
    <w:p>
      <w:pPr>
        <w:pStyle w:val="ListBullet"/>
        <w:numPr>
          <w:ilvl w:val="0"/>
          <w:numId w:val="1"/>
        </w:numPr>
        <w:rPr/>
      </w:pPr>
      <w:r>
        <w:rPr>
          <w:color w:val="172236"/>
          <w:sz w:val="18"/>
        </w:rPr>
        <w:t>Resizable regions.</w:t>
      </w:r>
    </w:p>
    <w:p>
      <w:pPr>
        <w:pStyle w:val="ListBullet"/>
        <w:numPr>
          <w:ilvl w:val="0"/>
          <w:numId w:val="1"/>
        </w:numPr>
        <w:rPr/>
      </w:pPr>
      <w:r>
        <w:rPr>
          <w:color w:val="172236"/>
          <w:sz w:val="18"/>
        </w:rPr>
        <w:t>Multi-monitor workspaces.</w:t>
      </w:r>
    </w:p>
    <w:p>
      <w:pPr>
        <w:pStyle w:val="ListBullet"/>
        <w:numPr>
          <w:ilvl w:val="0"/>
          <w:numId w:val="1"/>
        </w:numPr>
        <w:rPr/>
      </w:pPr>
      <w:r>
        <w:rPr>
          <w:color w:val="172236"/>
          <w:sz w:val="18"/>
        </w:rPr>
        <w:t>Named layouts.</w:t>
      </w:r>
    </w:p>
    <w:p>
      <w:pPr>
        <w:pStyle w:val="ListBullet"/>
        <w:numPr>
          <w:ilvl w:val="0"/>
          <w:numId w:val="1"/>
        </w:numPr>
        <w:rPr/>
      </w:pPr>
      <w:r>
        <w:rPr>
          <w:color w:val="172236"/>
          <w:sz w:val="18"/>
        </w:rPr>
        <w:t>Per-strategy workspaces.</w:t>
      </w:r>
    </w:p>
    <w:p>
      <w:pPr>
        <w:pStyle w:val="ListBullet"/>
        <w:numPr>
          <w:ilvl w:val="0"/>
          <w:numId w:val="1"/>
        </w:numPr>
        <w:rPr/>
      </w:pPr>
      <w:r>
        <w:rPr>
          <w:color w:val="172236"/>
          <w:sz w:val="18"/>
        </w:rPr>
        <w:t>Keyboard command palette.</w:t>
      </w:r>
    </w:p>
    <w:p>
      <w:pPr>
        <w:pStyle w:val="ListBullet"/>
        <w:numPr>
          <w:ilvl w:val="0"/>
          <w:numId w:val="1"/>
        </w:numPr>
        <w:rPr/>
      </w:pPr>
      <w:r>
        <w:rPr>
          <w:color w:val="172236"/>
          <w:sz w:val="18"/>
        </w:rPr>
        <w:t>Quick symbol switcher.</w:t>
      </w:r>
    </w:p>
    <w:p>
      <w:pPr>
        <w:pStyle w:val="ListBullet"/>
        <w:numPr>
          <w:ilvl w:val="0"/>
          <w:numId w:val="1"/>
        </w:numPr>
        <w:rPr/>
      </w:pPr>
      <w:r>
        <w:rPr>
          <w:color w:val="172236"/>
          <w:sz w:val="18"/>
        </w:rPr>
        <w:t>Linked panels by symbol, timeframe, strategy, or account.</w:t>
      </w:r>
    </w:p>
    <w:p>
      <w:pPr>
        <w:pStyle w:val="ListBullet"/>
        <w:numPr>
          <w:ilvl w:val="0"/>
          <w:numId w:val="1"/>
        </w:numPr>
        <w:rPr/>
      </w:pPr>
      <w:r>
        <w:rPr>
          <w:color w:val="172236"/>
          <w:sz w:val="18"/>
        </w:rPr>
        <w:t>Pop-out native windows.</w:t>
      </w:r>
    </w:p>
    <w:p>
      <w:pPr>
        <w:pStyle w:val="ListBullet"/>
        <w:numPr>
          <w:ilvl w:val="0"/>
          <w:numId w:val="1"/>
        </w:numPr>
        <w:rPr/>
      </w:pPr>
      <w:r>
        <w:rPr>
          <w:color w:val="172236"/>
          <w:sz w:val="18"/>
        </w:rPr>
        <w:t>Layout snapshots and restore.</w:t>
      </w:r>
    </w:p>
    <w:p>
      <w:pPr>
        <w:pStyle w:val="ListBullet"/>
        <w:numPr>
          <w:ilvl w:val="0"/>
          <w:numId w:val="1"/>
        </w:numPr>
        <w:rPr/>
      </w:pPr>
      <w:r>
        <w:rPr>
          <w:color w:val="172236"/>
          <w:sz w:val="18"/>
        </w:rPr>
        <w:t>Role-based default workspaces.</w:t>
      </w:r>
    </w:p>
    <w:p>
      <w:pPr>
        <w:pStyle w:val="Heading2"/>
        <w:pBdr>
          <w:left w:val="single" w:sz="14" w:space="4" w:color="8B5CF6"/>
        </w:pBdr>
        <w:rPr/>
      </w:pPr>
      <w:bookmarkStart w:id="36" w:name="__RefHeading___Toc6792_2150751134"/>
      <w:bookmarkEnd w:id="36"/>
      <w:r>
        <w:rPr>
          <w:rFonts w:ascii="Lato" w:hAnsi="Lato"/>
          <w:color w:val="172236"/>
          <w:sz w:val="29"/>
        </w:rPr>
        <w:t>6.5 Primary Navigation</w:t>
      </w:r>
    </w:p>
    <w:p>
      <w:pPr>
        <w:pStyle w:val="Normal"/>
        <w:rPr/>
      </w:pPr>
      <w:r>
        <w:rPr>
          <w:color w:val="172236"/>
          <w:sz w:val="19"/>
        </w:rPr>
        <w:t>Recommended sections:</w:t>
      </w:r>
    </w:p>
    <w:p>
      <w:pPr>
        <w:pStyle w:val="ListBullet"/>
        <w:numPr>
          <w:ilvl w:val="0"/>
          <w:numId w:val="1"/>
        </w:numPr>
        <w:rPr/>
      </w:pPr>
      <w:r>
        <w:rPr>
          <w:b/>
          <w:color w:val="172236"/>
          <w:sz w:val="18"/>
        </w:rPr>
        <w:t>Command</w:t>
      </w:r>
    </w:p>
    <w:p>
      <w:pPr>
        <w:pStyle w:val="ListBullet"/>
        <w:numPr>
          <w:ilvl w:val="0"/>
          <w:numId w:val="1"/>
        </w:numPr>
        <w:rPr/>
      </w:pPr>
      <w:r>
        <w:rPr>
          <w:b/>
          <w:color w:val="172236"/>
          <w:sz w:val="18"/>
        </w:rPr>
        <w:t>Markets</w:t>
      </w:r>
    </w:p>
    <w:p>
      <w:pPr>
        <w:pStyle w:val="ListBullet"/>
        <w:numPr>
          <w:ilvl w:val="0"/>
          <w:numId w:val="1"/>
        </w:numPr>
        <w:rPr/>
      </w:pPr>
      <w:r>
        <w:rPr>
          <w:b/>
          <w:color w:val="172236"/>
          <w:sz w:val="18"/>
        </w:rPr>
        <w:t>Options</w:t>
      </w:r>
    </w:p>
    <w:p>
      <w:pPr>
        <w:pStyle w:val="ListBullet"/>
        <w:numPr>
          <w:ilvl w:val="0"/>
          <w:numId w:val="1"/>
        </w:numPr>
        <w:rPr/>
      </w:pPr>
      <w:r>
        <w:rPr>
          <w:b/>
          <w:color w:val="172236"/>
          <w:sz w:val="18"/>
        </w:rPr>
        <w:t>Crypto</w:t>
      </w:r>
    </w:p>
    <w:p>
      <w:pPr>
        <w:pStyle w:val="ListBullet"/>
        <w:numPr>
          <w:ilvl w:val="0"/>
          <w:numId w:val="1"/>
        </w:numPr>
        <w:rPr/>
      </w:pPr>
      <w:r>
        <w:rPr>
          <w:b/>
          <w:color w:val="172236"/>
          <w:sz w:val="18"/>
        </w:rPr>
        <w:t>Institutions</w:t>
      </w:r>
    </w:p>
    <w:p>
      <w:pPr>
        <w:pStyle w:val="ListBullet"/>
        <w:numPr>
          <w:ilvl w:val="0"/>
          <w:numId w:val="1"/>
        </w:numPr>
        <w:rPr/>
      </w:pPr>
      <w:r>
        <w:rPr>
          <w:b/>
          <w:color w:val="172236"/>
          <w:sz w:val="18"/>
        </w:rPr>
        <w:t>Events</w:t>
      </w:r>
    </w:p>
    <w:p>
      <w:pPr>
        <w:pStyle w:val="ListBullet"/>
        <w:numPr>
          <w:ilvl w:val="0"/>
          <w:numId w:val="1"/>
        </w:numPr>
        <w:rPr/>
      </w:pPr>
      <w:r>
        <w:rPr>
          <w:b/>
          <w:color w:val="172236"/>
          <w:sz w:val="18"/>
        </w:rPr>
        <w:t>Research</w:t>
      </w:r>
    </w:p>
    <w:p>
      <w:pPr>
        <w:pStyle w:val="ListBullet"/>
        <w:numPr>
          <w:ilvl w:val="0"/>
          <w:numId w:val="1"/>
        </w:numPr>
        <w:rPr/>
      </w:pPr>
      <w:r>
        <w:rPr>
          <w:b/>
          <w:color w:val="172236"/>
          <w:sz w:val="18"/>
        </w:rPr>
        <w:t>Strategies</w:t>
      </w:r>
    </w:p>
    <w:p>
      <w:pPr>
        <w:pStyle w:val="ListBullet"/>
        <w:numPr>
          <w:ilvl w:val="0"/>
          <w:numId w:val="1"/>
        </w:numPr>
        <w:rPr/>
      </w:pPr>
      <w:r>
        <w:rPr>
          <w:b/>
          <w:color w:val="172236"/>
          <w:sz w:val="18"/>
        </w:rPr>
        <w:t>Simulations</w:t>
      </w:r>
    </w:p>
    <w:p>
      <w:pPr>
        <w:pStyle w:val="ListBullet"/>
        <w:numPr>
          <w:ilvl w:val="0"/>
          <w:numId w:val="1"/>
        </w:numPr>
        <w:rPr/>
      </w:pPr>
      <w:r>
        <w:rPr>
          <w:b/>
          <w:color w:val="172236"/>
          <w:sz w:val="18"/>
        </w:rPr>
        <w:t>Portfolio</w:t>
      </w:r>
    </w:p>
    <w:p>
      <w:pPr>
        <w:pStyle w:val="ListBullet"/>
        <w:numPr>
          <w:ilvl w:val="0"/>
          <w:numId w:val="1"/>
        </w:numPr>
        <w:rPr/>
      </w:pPr>
      <w:r>
        <w:rPr>
          <w:b/>
          <w:color w:val="172236"/>
          <w:sz w:val="18"/>
        </w:rPr>
        <w:t>Journal</w:t>
      </w:r>
    </w:p>
    <w:p>
      <w:pPr>
        <w:pStyle w:val="ListBullet"/>
        <w:numPr>
          <w:ilvl w:val="0"/>
          <w:numId w:val="1"/>
        </w:numPr>
        <w:rPr/>
      </w:pPr>
      <w:r>
        <w:rPr>
          <w:b/>
          <w:color w:val="172236"/>
          <w:sz w:val="18"/>
        </w:rPr>
        <w:t>Automations</w:t>
      </w:r>
    </w:p>
    <w:p>
      <w:pPr>
        <w:pStyle w:val="ListBullet"/>
        <w:numPr>
          <w:ilvl w:val="0"/>
          <w:numId w:val="1"/>
        </w:numPr>
        <w:rPr/>
      </w:pPr>
      <w:r>
        <w:rPr>
          <w:b/>
          <w:color w:val="172236"/>
          <w:sz w:val="18"/>
        </w:rPr>
        <w:t>AI Analyst</w:t>
      </w:r>
    </w:p>
    <w:p>
      <w:pPr>
        <w:pStyle w:val="ListBullet"/>
        <w:numPr>
          <w:ilvl w:val="0"/>
          <w:numId w:val="1"/>
        </w:numPr>
        <w:rPr/>
      </w:pPr>
      <w:r>
        <w:rPr>
          <w:b/>
          <w:color w:val="172236"/>
          <w:sz w:val="18"/>
        </w:rPr>
        <w:t>Data</w:t>
      </w:r>
    </w:p>
    <w:p>
      <w:pPr>
        <w:pStyle w:val="ListBullet"/>
        <w:numPr>
          <w:ilvl w:val="0"/>
          <w:numId w:val="1"/>
        </w:numPr>
        <w:rPr/>
      </w:pPr>
      <w:r>
        <w:rPr>
          <w:b/>
          <w:color w:val="172236"/>
          <w:sz w:val="18"/>
        </w:rPr>
        <w:t>Administration</w:t>
      </w:r>
    </w:p>
    <w:p>
      <w:pPr>
        <w:pStyle w:val="Heading1"/>
        <w:pBdr>
          <w:bottom w:val="single" w:sz="12" w:space="5" w:color="33C7F2"/>
        </w:pBdr>
        <w:rPr/>
      </w:pPr>
      <w:bookmarkStart w:id="37" w:name="__RefHeading___Toc6794_2150751134"/>
      <w:bookmarkEnd w:id="37"/>
      <w:r>
        <w:rPr>
          <w:rFonts w:ascii="Lato" w:hAnsi="Lato"/>
          <w:color w:val="172236"/>
          <w:sz w:val="42"/>
        </w:rPr>
        <w:t>7. Functional Capability Map</w:t>
      </w:r>
    </w:p>
    <w:p>
      <w:pPr>
        <w:pStyle w:val="Normal"/>
        <w:spacing w:before="140" w:after="20"/>
        <w:jc w:val="center"/>
        <w:rPr/>
      </w:pPr>
      <w:r>
        <w:rPr/>
        <w:drawing>
          <wp:inline distT="0" distB="0" distL="0" distR="0">
            <wp:extent cx="6263640" cy="3502025"/>
            <wp:effectExtent l="0" t="0" r="0" b="0"/>
            <wp:docPr id="5" name="Picture 5" descr="Image: image5.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2"/>
                    <a:stretch>
                      <a:fillRect/>
                    </a:stretch>
                  </pic:blipFill>
                  <pic:spPr bwMode="auto">
                    <a:xfrm>
                      <a:off x="0" y="0"/>
                      <a:ext cx="6263640" cy="3502025"/>
                    </a:xfrm>
                    <a:prstGeom prst="rect">
                      <a:avLst/>
                    </a:prstGeom>
                    <a:noFill/>
                  </pic:spPr>
                </pic:pic>
              </a:graphicData>
            </a:graphic>
          </wp:inline>
        </w:drawing>
      </w:r>
    </w:p>
    <w:p>
      <w:pPr>
        <w:pStyle w:val="CaptionCustom"/>
        <w:rPr/>
      </w:pPr>
      <w:r>
        <w:rPr/>
        <w:t>Figure 3 - PRISMATIK capability system from discovery through governed operation.</w:t>
      </w:r>
    </w:p>
    <w:p>
      <w:pPr>
        <w:pStyle w:val="Heading2"/>
        <w:pBdr>
          <w:left w:val="single" w:sz="14" w:space="4" w:color="8B5CF6"/>
        </w:pBdr>
        <w:rPr/>
      </w:pPr>
      <w:bookmarkStart w:id="38" w:name="__RefHeading___Toc6796_2150751134"/>
      <w:bookmarkEnd w:id="38"/>
      <w:r>
        <w:rPr>
          <w:rFonts w:ascii="Lato" w:hAnsi="Lato"/>
          <w:color w:val="172236"/>
          <w:sz w:val="29"/>
        </w:rPr>
        <w:t>7.1 Market Command Center</w:t>
      </w:r>
    </w:p>
    <w:p>
      <w:pPr>
        <w:pStyle w:val="ListBullet"/>
        <w:numPr>
          <w:ilvl w:val="0"/>
          <w:numId w:val="1"/>
        </w:numPr>
        <w:rPr/>
      </w:pPr>
      <w:r>
        <w:rPr>
          <w:color w:val="172236"/>
          <w:sz w:val="18"/>
        </w:rPr>
        <w:t>Global market state.</w:t>
      </w:r>
    </w:p>
    <w:p>
      <w:pPr>
        <w:pStyle w:val="ListBullet"/>
        <w:numPr>
          <w:ilvl w:val="0"/>
          <w:numId w:val="1"/>
        </w:numPr>
        <w:rPr/>
      </w:pPr>
      <w:r>
        <w:rPr>
          <w:color w:val="172236"/>
          <w:sz w:val="18"/>
        </w:rPr>
        <w:t>U.S. equity index overview.</w:t>
      </w:r>
    </w:p>
    <w:p>
      <w:pPr>
        <w:pStyle w:val="ListBullet"/>
        <w:numPr>
          <w:ilvl w:val="0"/>
          <w:numId w:val="1"/>
        </w:numPr>
        <w:rPr/>
      </w:pPr>
      <w:r>
        <w:rPr>
          <w:color w:val="172236"/>
          <w:sz w:val="18"/>
        </w:rPr>
        <w:t>Sector and industry performance.</w:t>
      </w:r>
    </w:p>
    <w:p>
      <w:pPr>
        <w:pStyle w:val="ListBullet"/>
        <w:numPr>
          <w:ilvl w:val="0"/>
          <w:numId w:val="1"/>
        </w:numPr>
        <w:rPr/>
      </w:pPr>
      <w:r>
        <w:rPr>
          <w:color w:val="172236"/>
          <w:sz w:val="18"/>
        </w:rPr>
        <w:t>Crypto market overview.</w:t>
      </w:r>
    </w:p>
    <w:p>
      <w:pPr>
        <w:pStyle w:val="ListBullet"/>
        <w:numPr>
          <w:ilvl w:val="0"/>
          <w:numId w:val="1"/>
        </w:numPr>
        <w:rPr/>
      </w:pPr>
      <w:r>
        <w:rPr>
          <w:color w:val="172236"/>
          <w:sz w:val="18"/>
        </w:rPr>
        <w:t>Volatility and breadth.</w:t>
      </w:r>
    </w:p>
    <w:p>
      <w:pPr>
        <w:pStyle w:val="ListBullet"/>
        <w:numPr>
          <w:ilvl w:val="0"/>
          <w:numId w:val="1"/>
        </w:numPr>
        <w:rPr/>
      </w:pPr>
      <w:r>
        <w:rPr>
          <w:color w:val="172236"/>
          <w:sz w:val="18"/>
        </w:rPr>
        <w:t>Macro calendar.</w:t>
      </w:r>
    </w:p>
    <w:p>
      <w:pPr>
        <w:pStyle w:val="ListBullet"/>
        <w:numPr>
          <w:ilvl w:val="0"/>
          <w:numId w:val="1"/>
        </w:numPr>
        <w:rPr/>
      </w:pPr>
      <w:r>
        <w:rPr>
          <w:color w:val="172236"/>
          <w:sz w:val="18"/>
        </w:rPr>
        <w:t>Event risk.</w:t>
      </w:r>
    </w:p>
    <w:p>
      <w:pPr>
        <w:pStyle w:val="ListBullet"/>
        <w:numPr>
          <w:ilvl w:val="0"/>
          <w:numId w:val="1"/>
        </w:numPr>
        <w:rPr/>
      </w:pPr>
      <w:r>
        <w:rPr>
          <w:color w:val="172236"/>
          <w:sz w:val="18"/>
        </w:rPr>
        <w:t>Watchlists.</w:t>
      </w:r>
    </w:p>
    <w:p>
      <w:pPr>
        <w:pStyle w:val="ListBullet"/>
        <w:numPr>
          <w:ilvl w:val="0"/>
          <w:numId w:val="1"/>
        </w:numPr>
        <w:rPr/>
      </w:pPr>
      <w:r>
        <w:rPr>
          <w:color w:val="172236"/>
          <w:sz w:val="18"/>
        </w:rPr>
        <w:t>Top opportunities.</w:t>
      </w:r>
    </w:p>
    <w:p>
      <w:pPr>
        <w:pStyle w:val="ListBullet"/>
        <w:numPr>
          <w:ilvl w:val="0"/>
          <w:numId w:val="1"/>
        </w:numPr>
        <w:rPr/>
      </w:pPr>
      <w:r>
        <w:rPr>
          <w:color w:val="172236"/>
          <w:sz w:val="18"/>
        </w:rPr>
        <w:t>Portfolio alerts.</w:t>
      </w:r>
    </w:p>
    <w:p>
      <w:pPr>
        <w:pStyle w:val="ListBullet"/>
        <w:numPr>
          <w:ilvl w:val="0"/>
          <w:numId w:val="1"/>
        </w:numPr>
        <w:rPr/>
      </w:pPr>
      <w:r>
        <w:rPr>
          <w:color w:val="172236"/>
          <w:sz w:val="18"/>
        </w:rPr>
        <w:t>Feed health and freshness.</w:t>
      </w:r>
    </w:p>
    <w:p>
      <w:pPr>
        <w:pStyle w:val="Heading2"/>
        <w:pBdr>
          <w:left w:val="single" w:sz="14" w:space="4" w:color="8B5CF6"/>
        </w:pBdr>
        <w:rPr/>
      </w:pPr>
      <w:bookmarkStart w:id="39" w:name="__RefHeading___Toc6798_2150751134"/>
      <w:bookmarkEnd w:id="39"/>
      <w:r>
        <w:rPr>
          <w:rFonts w:ascii="Lato" w:hAnsi="Lato"/>
          <w:color w:val="172236"/>
          <w:sz w:val="29"/>
        </w:rPr>
        <w:t>7.2 Opportunity Engine</w:t>
      </w:r>
    </w:p>
    <w:p>
      <w:pPr>
        <w:pStyle w:val="ListBullet"/>
        <w:numPr>
          <w:ilvl w:val="0"/>
          <w:numId w:val="1"/>
        </w:numPr>
        <w:rPr/>
      </w:pPr>
      <w:r>
        <w:rPr>
          <w:color w:val="172236"/>
          <w:sz w:val="18"/>
        </w:rPr>
        <w:t>Candidate generation.</w:t>
      </w:r>
    </w:p>
    <w:p>
      <w:pPr>
        <w:pStyle w:val="ListBullet"/>
        <w:numPr>
          <w:ilvl w:val="0"/>
          <w:numId w:val="1"/>
        </w:numPr>
        <w:rPr/>
      </w:pPr>
      <w:r>
        <w:rPr>
          <w:color w:val="172236"/>
          <w:sz w:val="18"/>
        </w:rPr>
        <w:t>Rule/model scoring.</w:t>
      </w:r>
    </w:p>
    <w:p>
      <w:pPr>
        <w:pStyle w:val="ListBullet"/>
        <w:numPr>
          <w:ilvl w:val="0"/>
          <w:numId w:val="1"/>
        </w:numPr>
        <w:rPr/>
      </w:pPr>
      <w:r>
        <w:rPr>
          <w:color w:val="172236"/>
          <w:sz w:val="18"/>
        </w:rPr>
        <w:t>Evidence fusion.</w:t>
      </w:r>
    </w:p>
    <w:p>
      <w:pPr>
        <w:pStyle w:val="ListBullet"/>
        <w:numPr>
          <w:ilvl w:val="0"/>
          <w:numId w:val="1"/>
        </w:numPr>
        <w:rPr/>
      </w:pPr>
      <w:r>
        <w:rPr>
          <w:color w:val="172236"/>
          <w:sz w:val="18"/>
        </w:rPr>
        <w:t>Liquidity filtering.</w:t>
      </w:r>
    </w:p>
    <w:p>
      <w:pPr>
        <w:pStyle w:val="ListBullet"/>
        <w:numPr>
          <w:ilvl w:val="0"/>
          <w:numId w:val="1"/>
        </w:numPr>
        <w:rPr/>
      </w:pPr>
      <w:r>
        <w:rPr>
          <w:color w:val="172236"/>
          <w:sz w:val="18"/>
        </w:rPr>
        <w:t>Event-aware ranking.</w:t>
      </w:r>
    </w:p>
    <w:p>
      <w:pPr>
        <w:pStyle w:val="ListBullet"/>
        <w:numPr>
          <w:ilvl w:val="0"/>
          <w:numId w:val="1"/>
        </w:numPr>
        <w:rPr/>
      </w:pPr>
      <w:r>
        <w:rPr>
          <w:color w:val="172236"/>
          <w:sz w:val="18"/>
        </w:rPr>
        <w:t>Risk-adjusted ranking.</w:t>
      </w:r>
    </w:p>
    <w:p>
      <w:pPr>
        <w:pStyle w:val="ListBullet"/>
        <w:numPr>
          <w:ilvl w:val="0"/>
          <w:numId w:val="1"/>
        </w:numPr>
        <w:rPr/>
      </w:pPr>
      <w:r>
        <w:rPr>
          <w:color w:val="172236"/>
          <w:sz w:val="18"/>
        </w:rPr>
        <w:t>Duplicate thesis collapse.</w:t>
      </w:r>
    </w:p>
    <w:p>
      <w:pPr>
        <w:pStyle w:val="ListBullet"/>
        <w:numPr>
          <w:ilvl w:val="0"/>
          <w:numId w:val="1"/>
        </w:numPr>
        <w:rPr/>
      </w:pPr>
      <w:r>
        <w:rPr>
          <w:color w:val="172236"/>
          <w:sz w:val="18"/>
        </w:rPr>
        <w:t>User-specific suitability filters.</w:t>
      </w:r>
    </w:p>
    <w:p>
      <w:pPr>
        <w:pStyle w:val="ListBullet"/>
        <w:numPr>
          <w:ilvl w:val="0"/>
          <w:numId w:val="1"/>
        </w:numPr>
        <w:rPr/>
      </w:pPr>
      <w:r>
        <w:rPr>
          <w:color w:val="172236"/>
          <w:sz w:val="18"/>
        </w:rPr>
        <w:t>Explainable opportunity cards.</w:t>
      </w:r>
    </w:p>
    <w:p>
      <w:pPr>
        <w:pStyle w:val="Heading2"/>
        <w:pBdr>
          <w:left w:val="single" w:sz="14" w:space="4" w:color="8B5CF6"/>
        </w:pBdr>
        <w:rPr/>
      </w:pPr>
      <w:bookmarkStart w:id="40" w:name="__RefHeading___Toc6800_2150751134"/>
      <w:bookmarkEnd w:id="40"/>
      <w:r>
        <w:rPr>
          <w:rFonts w:ascii="Lato" w:hAnsi="Lato"/>
          <w:color w:val="172236"/>
          <w:sz w:val="29"/>
        </w:rPr>
        <w:t>7.3 Options Intelligence</w:t>
      </w:r>
    </w:p>
    <w:p>
      <w:pPr>
        <w:pStyle w:val="ListBullet"/>
        <w:numPr>
          <w:ilvl w:val="0"/>
          <w:numId w:val="1"/>
        </w:numPr>
        <w:rPr/>
      </w:pPr>
      <w:r>
        <w:rPr>
          <w:color w:val="172236"/>
          <w:sz w:val="18"/>
        </w:rPr>
        <w:t>Chains.</w:t>
      </w:r>
    </w:p>
    <w:p>
      <w:pPr>
        <w:pStyle w:val="ListBullet"/>
        <w:numPr>
          <w:ilvl w:val="0"/>
          <w:numId w:val="1"/>
        </w:numPr>
        <w:rPr/>
      </w:pPr>
      <w:r>
        <w:rPr>
          <w:color w:val="172236"/>
          <w:sz w:val="18"/>
        </w:rPr>
        <w:t>Greeks.</w:t>
      </w:r>
    </w:p>
    <w:p>
      <w:pPr>
        <w:pStyle w:val="ListBullet"/>
        <w:numPr>
          <w:ilvl w:val="0"/>
          <w:numId w:val="1"/>
        </w:numPr>
        <w:rPr/>
      </w:pPr>
      <w:r>
        <w:rPr>
          <w:color w:val="172236"/>
          <w:sz w:val="18"/>
        </w:rPr>
        <w:t>Open interest and volume.</w:t>
      </w:r>
    </w:p>
    <w:p>
      <w:pPr>
        <w:pStyle w:val="ListBullet"/>
        <w:numPr>
          <w:ilvl w:val="0"/>
          <w:numId w:val="1"/>
        </w:numPr>
        <w:rPr/>
      </w:pPr>
      <w:r>
        <w:rPr>
          <w:color w:val="172236"/>
          <w:sz w:val="18"/>
        </w:rPr>
        <w:t>Flow.</w:t>
      </w:r>
    </w:p>
    <w:p>
      <w:pPr>
        <w:pStyle w:val="ListBullet"/>
        <w:numPr>
          <w:ilvl w:val="0"/>
          <w:numId w:val="1"/>
        </w:numPr>
        <w:rPr/>
      </w:pPr>
      <w:r>
        <w:rPr>
          <w:color w:val="172236"/>
          <w:sz w:val="18"/>
        </w:rPr>
        <w:t>Sweeps and blocks.</w:t>
      </w:r>
    </w:p>
    <w:p>
      <w:pPr>
        <w:pStyle w:val="ListBullet"/>
        <w:numPr>
          <w:ilvl w:val="0"/>
          <w:numId w:val="1"/>
        </w:numPr>
        <w:rPr/>
      </w:pPr>
      <w:r>
        <w:rPr>
          <w:color w:val="172236"/>
          <w:sz w:val="18"/>
        </w:rPr>
        <w:t>Volatility surface.</w:t>
      </w:r>
    </w:p>
    <w:p>
      <w:pPr>
        <w:pStyle w:val="ListBullet"/>
        <w:numPr>
          <w:ilvl w:val="0"/>
          <w:numId w:val="1"/>
        </w:numPr>
        <w:rPr/>
      </w:pPr>
      <w:r>
        <w:rPr>
          <w:color w:val="172236"/>
          <w:sz w:val="18"/>
        </w:rPr>
        <w:t>Skew and term structure.</w:t>
      </w:r>
    </w:p>
    <w:p>
      <w:pPr>
        <w:pStyle w:val="ListBullet"/>
        <w:numPr>
          <w:ilvl w:val="0"/>
          <w:numId w:val="1"/>
        </w:numPr>
        <w:rPr/>
      </w:pPr>
      <w:r>
        <w:rPr>
          <w:color w:val="172236"/>
          <w:sz w:val="18"/>
        </w:rPr>
        <w:t>Implied move.</w:t>
      </w:r>
    </w:p>
    <w:p>
      <w:pPr>
        <w:pStyle w:val="ListBullet"/>
        <w:numPr>
          <w:ilvl w:val="0"/>
          <w:numId w:val="1"/>
        </w:numPr>
        <w:rPr/>
      </w:pPr>
      <w:r>
        <w:rPr>
          <w:color w:val="172236"/>
          <w:sz w:val="18"/>
        </w:rPr>
        <w:t>Dealer-exposure estimates.</w:t>
      </w:r>
    </w:p>
    <w:p>
      <w:pPr>
        <w:pStyle w:val="ListBullet"/>
        <w:numPr>
          <w:ilvl w:val="0"/>
          <w:numId w:val="1"/>
        </w:numPr>
        <w:rPr/>
      </w:pPr>
      <w:r>
        <w:rPr>
          <w:color w:val="172236"/>
          <w:sz w:val="18"/>
        </w:rPr>
        <w:t>Strategy builder.</w:t>
      </w:r>
    </w:p>
    <w:p>
      <w:pPr>
        <w:pStyle w:val="ListBullet"/>
        <w:numPr>
          <w:ilvl w:val="0"/>
          <w:numId w:val="1"/>
        </w:numPr>
        <w:rPr/>
      </w:pPr>
      <w:r>
        <w:rPr>
          <w:color w:val="172236"/>
          <w:sz w:val="18"/>
        </w:rPr>
        <w:t>Scenario P/L.</w:t>
      </w:r>
    </w:p>
    <w:p>
      <w:pPr>
        <w:pStyle w:val="ListBullet"/>
        <w:numPr>
          <w:ilvl w:val="0"/>
          <w:numId w:val="1"/>
        </w:numPr>
        <w:rPr/>
      </w:pPr>
      <w:r>
        <w:rPr>
          <w:color w:val="172236"/>
          <w:sz w:val="18"/>
        </w:rPr>
        <w:t>Monte Carlo distribution.</w:t>
      </w:r>
    </w:p>
    <w:p>
      <w:pPr>
        <w:pStyle w:val="ListBullet"/>
        <w:numPr>
          <w:ilvl w:val="0"/>
          <w:numId w:val="1"/>
        </w:numPr>
        <w:rPr/>
      </w:pPr>
      <w:r>
        <w:rPr>
          <w:color w:val="172236"/>
          <w:sz w:val="18"/>
        </w:rPr>
        <w:t>Liquidity and fill-quality scoring.</w:t>
      </w:r>
    </w:p>
    <w:p>
      <w:pPr>
        <w:pStyle w:val="Heading2"/>
        <w:pBdr>
          <w:left w:val="single" w:sz="14" w:space="4" w:color="8B5CF6"/>
        </w:pBdr>
        <w:rPr/>
      </w:pPr>
      <w:bookmarkStart w:id="41" w:name="__RefHeading___Toc6802_2150751134"/>
      <w:bookmarkEnd w:id="41"/>
      <w:r>
        <w:rPr>
          <w:rFonts w:ascii="Lato" w:hAnsi="Lato"/>
          <w:color w:val="172236"/>
          <w:sz w:val="29"/>
        </w:rPr>
        <w:t>7.4 Institutional Intelligence</w:t>
      </w:r>
    </w:p>
    <w:p>
      <w:pPr>
        <w:pStyle w:val="ListBullet"/>
        <w:numPr>
          <w:ilvl w:val="0"/>
          <w:numId w:val="1"/>
        </w:numPr>
        <w:rPr/>
      </w:pPr>
      <w:r>
        <w:rPr>
          <w:color w:val="172236"/>
          <w:sz w:val="18"/>
        </w:rPr>
        <w:t>13F holdings and deltas.</w:t>
      </w:r>
    </w:p>
    <w:p>
      <w:pPr>
        <w:pStyle w:val="ListBullet"/>
        <w:numPr>
          <w:ilvl w:val="0"/>
          <w:numId w:val="1"/>
        </w:numPr>
        <w:rPr/>
      </w:pPr>
      <w:r>
        <w:rPr>
          <w:color w:val="172236"/>
          <w:sz w:val="18"/>
        </w:rPr>
        <w:t>13D/13G ownership.</w:t>
      </w:r>
    </w:p>
    <w:p>
      <w:pPr>
        <w:pStyle w:val="ListBullet"/>
        <w:numPr>
          <w:ilvl w:val="0"/>
          <w:numId w:val="1"/>
        </w:numPr>
        <w:rPr/>
      </w:pPr>
      <w:r>
        <w:rPr>
          <w:color w:val="172236"/>
          <w:sz w:val="18"/>
        </w:rPr>
        <w:t>Form 4 insider activity.</w:t>
      </w:r>
    </w:p>
    <w:p>
      <w:pPr>
        <w:pStyle w:val="ListBullet"/>
        <w:numPr>
          <w:ilvl w:val="0"/>
          <w:numId w:val="1"/>
        </w:numPr>
        <w:rPr/>
      </w:pPr>
      <w:r>
        <w:rPr>
          <w:color w:val="172236"/>
          <w:sz w:val="18"/>
        </w:rPr>
        <w:t>8-K event extraction.</w:t>
      </w:r>
    </w:p>
    <w:p>
      <w:pPr>
        <w:pStyle w:val="ListBullet"/>
        <w:numPr>
          <w:ilvl w:val="0"/>
          <w:numId w:val="1"/>
        </w:numPr>
        <w:rPr/>
      </w:pPr>
      <w:r>
        <w:rPr>
          <w:color w:val="172236"/>
          <w:sz w:val="18"/>
        </w:rPr>
        <w:t>CFTC COT positioning.</w:t>
      </w:r>
    </w:p>
    <w:p>
      <w:pPr>
        <w:pStyle w:val="ListBullet"/>
        <w:numPr>
          <w:ilvl w:val="0"/>
          <w:numId w:val="1"/>
        </w:numPr>
        <w:rPr/>
      </w:pPr>
      <w:r>
        <w:rPr>
          <w:color w:val="172236"/>
          <w:sz w:val="18"/>
        </w:rPr>
        <w:t>Congressional data where legally and contractually available.</w:t>
      </w:r>
    </w:p>
    <w:p>
      <w:pPr>
        <w:pStyle w:val="ListBullet"/>
        <w:numPr>
          <w:ilvl w:val="0"/>
          <w:numId w:val="1"/>
        </w:numPr>
        <w:rPr/>
      </w:pPr>
      <w:r>
        <w:rPr>
          <w:color w:val="172236"/>
          <w:sz w:val="18"/>
        </w:rPr>
        <w:t>Dark-pool and block activity where available.</w:t>
      </w:r>
    </w:p>
    <w:p>
      <w:pPr>
        <w:pStyle w:val="ListBullet"/>
        <w:numPr>
          <w:ilvl w:val="0"/>
          <w:numId w:val="1"/>
        </w:numPr>
        <w:rPr/>
      </w:pPr>
      <w:r>
        <w:rPr>
          <w:color w:val="172236"/>
          <w:sz w:val="18"/>
        </w:rPr>
        <w:t>Institution/company relationship graph.</w:t>
      </w:r>
    </w:p>
    <w:p>
      <w:pPr>
        <w:pStyle w:val="Heading2"/>
        <w:pBdr>
          <w:left w:val="single" w:sz="14" w:space="4" w:color="8B5CF6"/>
        </w:pBdr>
        <w:rPr/>
      </w:pPr>
      <w:bookmarkStart w:id="42" w:name="__RefHeading___Toc6804_2150751134"/>
      <w:bookmarkEnd w:id="42"/>
      <w:r>
        <w:rPr>
          <w:rFonts w:ascii="Lato" w:hAnsi="Lato"/>
          <w:color w:val="172236"/>
          <w:sz w:val="29"/>
        </w:rPr>
        <w:t>7.5 Crypto Intelligence</w:t>
      </w:r>
    </w:p>
    <w:p>
      <w:pPr>
        <w:pStyle w:val="ListBullet"/>
        <w:numPr>
          <w:ilvl w:val="0"/>
          <w:numId w:val="1"/>
        </w:numPr>
        <w:rPr/>
      </w:pPr>
      <w:r>
        <w:rPr>
          <w:color w:val="172236"/>
          <w:sz w:val="18"/>
        </w:rPr>
        <w:t>Prices and market data.</w:t>
      </w:r>
    </w:p>
    <w:p>
      <w:pPr>
        <w:pStyle w:val="ListBullet"/>
        <w:numPr>
          <w:ilvl w:val="0"/>
          <w:numId w:val="1"/>
        </w:numPr>
        <w:rPr/>
      </w:pPr>
      <w:r>
        <w:rPr>
          <w:color w:val="172236"/>
          <w:sz w:val="18"/>
        </w:rPr>
        <w:t>Categories and narratives.</w:t>
      </w:r>
    </w:p>
    <w:p>
      <w:pPr>
        <w:pStyle w:val="ListBullet"/>
        <w:numPr>
          <w:ilvl w:val="0"/>
          <w:numId w:val="1"/>
        </w:numPr>
        <w:rPr/>
      </w:pPr>
      <w:r>
        <w:rPr>
          <w:color w:val="172236"/>
          <w:sz w:val="18"/>
        </w:rPr>
        <w:t>Market dominance.</w:t>
      </w:r>
    </w:p>
    <w:p>
      <w:pPr>
        <w:pStyle w:val="ListBullet"/>
        <w:numPr>
          <w:ilvl w:val="0"/>
          <w:numId w:val="1"/>
        </w:numPr>
        <w:rPr/>
      </w:pPr>
      <w:r>
        <w:rPr>
          <w:color w:val="172236"/>
          <w:sz w:val="18"/>
        </w:rPr>
        <w:t>Trending assets.</w:t>
      </w:r>
    </w:p>
    <w:p>
      <w:pPr>
        <w:pStyle w:val="ListBullet"/>
        <w:numPr>
          <w:ilvl w:val="0"/>
          <w:numId w:val="1"/>
        </w:numPr>
        <w:rPr/>
      </w:pPr>
      <w:r>
        <w:rPr>
          <w:color w:val="172236"/>
          <w:sz w:val="18"/>
        </w:rPr>
        <w:t>Exchange metadata.</w:t>
      </w:r>
    </w:p>
    <w:p>
      <w:pPr>
        <w:pStyle w:val="ListBullet"/>
        <w:numPr>
          <w:ilvl w:val="0"/>
          <w:numId w:val="1"/>
        </w:numPr>
        <w:rPr/>
      </w:pPr>
      <w:r>
        <w:rPr>
          <w:color w:val="172236"/>
          <w:sz w:val="18"/>
        </w:rPr>
        <w:t>Historical market charts.</w:t>
      </w:r>
    </w:p>
    <w:p>
      <w:pPr>
        <w:pStyle w:val="ListBullet"/>
        <w:numPr>
          <w:ilvl w:val="0"/>
          <w:numId w:val="1"/>
        </w:numPr>
        <w:rPr/>
      </w:pPr>
      <w:r>
        <w:rPr>
          <w:color w:val="172236"/>
          <w:sz w:val="18"/>
        </w:rPr>
        <w:t>OHLC.</w:t>
      </w:r>
    </w:p>
    <w:p>
      <w:pPr>
        <w:pStyle w:val="ListBullet"/>
        <w:numPr>
          <w:ilvl w:val="0"/>
          <w:numId w:val="1"/>
        </w:numPr>
        <w:rPr/>
      </w:pPr>
      <w:r>
        <w:rPr>
          <w:color w:val="172236"/>
          <w:sz w:val="18"/>
        </w:rPr>
        <w:t>Token metadata.</w:t>
      </w:r>
    </w:p>
    <w:p>
      <w:pPr>
        <w:pStyle w:val="ListBullet"/>
        <w:numPr>
          <w:ilvl w:val="0"/>
          <w:numId w:val="1"/>
        </w:numPr>
        <w:rPr/>
      </w:pPr>
      <w:r>
        <w:rPr>
          <w:color w:val="172236"/>
          <w:sz w:val="18"/>
        </w:rPr>
        <w:t>Derivative summaries where provider coverage allows.</w:t>
      </w:r>
    </w:p>
    <w:p>
      <w:pPr>
        <w:pStyle w:val="ListBullet"/>
        <w:numPr>
          <w:ilvl w:val="0"/>
          <w:numId w:val="1"/>
        </w:numPr>
        <w:rPr/>
      </w:pPr>
      <w:r>
        <w:rPr>
          <w:color w:val="172236"/>
          <w:sz w:val="18"/>
        </w:rPr>
        <w:t>DEX/pool intelligence where covered.</w:t>
      </w:r>
    </w:p>
    <w:p>
      <w:pPr>
        <w:pStyle w:val="ListBullet"/>
        <w:numPr>
          <w:ilvl w:val="0"/>
          <w:numId w:val="1"/>
        </w:numPr>
        <w:rPr/>
      </w:pPr>
      <w:r>
        <w:rPr>
          <w:color w:val="172236"/>
          <w:sz w:val="18"/>
        </w:rPr>
        <w:t>Optional exchange-native order-book adapters.</w:t>
      </w:r>
    </w:p>
    <w:p>
      <w:pPr>
        <w:pStyle w:val="Heading2"/>
        <w:pBdr>
          <w:left w:val="single" w:sz="14" w:space="4" w:color="8B5CF6"/>
        </w:pBdr>
        <w:rPr/>
      </w:pPr>
      <w:bookmarkStart w:id="43" w:name="__RefHeading___Toc6806_2150751134"/>
      <w:bookmarkEnd w:id="43"/>
      <w:r>
        <w:rPr>
          <w:rFonts w:ascii="Lato" w:hAnsi="Lato"/>
          <w:color w:val="172236"/>
          <w:sz w:val="29"/>
        </w:rPr>
        <w:t>7.6 Research and Quant Lab</w:t>
      </w:r>
    </w:p>
    <w:p>
      <w:pPr>
        <w:pStyle w:val="ListBullet"/>
        <w:numPr>
          <w:ilvl w:val="0"/>
          <w:numId w:val="1"/>
        </w:numPr>
        <w:rPr/>
      </w:pPr>
      <w:r>
        <w:rPr>
          <w:color w:val="172236"/>
          <w:sz w:val="18"/>
        </w:rPr>
        <w:t>Visual rule builder.</w:t>
      </w:r>
    </w:p>
    <w:p>
      <w:pPr>
        <w:pStyle w:val="ListBullet"/>
        <w:numPr>
          <w:ilvl w:val="0"/>
          <w:numId w:val="1"/>
        </w:numPr>
        <w:rPr/>
      </w:pPr>
      <w:r>
        <w:rPr>
          <w:color w:val="172236"/>
          <w:sz w:val="18"/>
        </w:rPr>
        <w:t>Strategy DSL.</w:t>
      </w:r>
    </w:p>
    <w:p>
      <w:pPr>
        <w:pStyle w:val="ListBullet"/>
        <w:numPr>
          <w:ilvl w:val="0"/>
          <w:numId w:val="1"/>
        </w:numPr>
        <w:rPr/>
      </w:pPr>
      <w:r>
        <w:rPr>
          <w:color w:val="172236"/>
          <w:sz w:val="18"/>
        </w:rPr>
        <w:t>Python research environment.</w:t>
      </w:r>
    </w:p>
    <w:p>
      <w:pPr>
        <w:pStyle w:val="ListBullet"/>
        <w:numPr>
          <w:ilvl w:val="0"/>
          <w:numId w:val="1"/>
        </w:numPr>
        <w:rPr/>
      </w:pPr>
      <w:r>
        <w:rPr>
          <w:color w:val="172236"/>
          <w:sz w:val="18"/>
        </w:rPr>
        <w:t>Rust strategy SDK.</w:t>
      </w:r>
    </w:p>
    <w:p>
      <w:pPr>
        <w:pStyle w:val="ListBullet"/>
        <w:numPr>
          <w:ilvl w:val="0"/>
          <w:numId w:val="1"/>
        </w:numPr>
        <w:rPr/>
      </w:pPr>
      <w:r>
        <w:rPr>
          <w:color w:val="172236"/>
          <w:sz w:val="18"/>
        </w:rPr>
        <w:t>SQL analytics.</w:t>
      </w:r>
    </w:p>
    <w:p>
      <w:pPr>
        <w:pStyle w:val="ListBullet"/>
        <w:numPr>
          <w:ilvl w:val="0"/>
          <w:numId w:val="1"/>
        </w:numPr>
        <w:rPr/>
      </w:pPr>
      <w:r>
        <w:rPr>
          <w:color w:val="172236"/>
          <w:sz w:val="18"/>
        </w:rPr>
        <w:t>Backtesting.</w:t>
      </w:r>
    </w:p>
    <w:p>
      <w:pPr>
        <w:pStyle w:val="ListBullet"/>
        <w:numPr>
          <w:ilvl w:val="0"/>
          <w:numId w:val="1"/>
        </w:numPr>
        <w:rPr/>
      </w:pPr>
      <w:r>
        <w:rPr>
          <w:color w:val="172236"/>
          <w:sz w:val="18"/>
        </w:rPr>
        <w:t>Walk-forward validation.</w:t>
      </w:r>
    </w:p>
    <w:p>
      <w:pPr>
        <w:pStyle w:val="ListBullet"/>
        <w:numPr>
          <w:ilvl w:val="0"/>
          <w:numId w:val="1"/>
        </w:numPr>
        <w:rPr/>
      </w:pPr>
      <w:r>
        <w:rPr>
          <w:color w:val="172236"/>
          <w:sz w:val="18"/>
        </w:rPr>
        <w:t>Monte Carlo.</w:t>
      </w:r>
    </w:p>
    <w:p>
      <w:pPr>
        <w:pStyle w:val="ListBullet"/>
        <w:numPr>
          <w:ilvl w:val="0"/>
          <w:numId w:val="1"/>
        </w:numPr>
        <w:rPr/>
      </w:pPr>
      <w:r>
        <w:rPr>
          <w:color w:val="172236"/>
          <w:sz w:val="18"/>
        </w:rPr>
        <w:t>Parameter sensitivity.</w:t>
      </w:r>
    </w:p>
    <w:p>
      <w:pPr>
        <w:pStyle w:val="ListBullet"/>
        <w:numPr>
          <w:ilvl w:val="0"/>
          <w:numId w:val="1"/>
        </w:numPr>
        <w:rPr/>
      </w:pPr>
      <w:r>
        <w:rPr>
          <w:color w:val="172236"/>
          <w:sz w:val="18"/>
        </w:rPr>
        <w:t>Regime analysis.</w:t>
      </w:r>
    </w:p>
    <w:p>
      <w:pPr>
        <w:pStyle w:val="ListBullet"/>
        <w:numPr>
          <w:ilvl w:val="0"/>
          <w:numId w:val="1"/>
        </w:numPr>
        <w:rPr/>
      </w:pPr>
      <w:r>
        <w:rPr>
          <w:color w:val="172236"/>
          <w:sz w:val="18"/>
        </w:rPr>
        <w:t>Portfolio simulation.</w:t>
      </w:r>
    </w:p>
    <w:p>
      <w:pPr>
        <w:pStyle w:val="ListBullet"/>
        <w:numPr>
          <w:ilvl w:val="0"/>
          <w:numId w:val="1"/>
        </w:numPr>
        <w:rPr/>
      </w:pPr>
      <w:r>
        <w:rPr>
          <w:color w:val="172236"/>
          <w:sz w:val="18"/>
        </w:rPr>
        <w:t>Reproducibility manifests.</w:t>
      </w:r>
    </w:p>
    <w:p>
      <w:pPr>
        <w:pStyle w:val="Heading2"/>
        <w:pBdr>
          <w:left w:val="single" w:sz="14" w:space="4" w:color="8B5CF6"/>
        </w:pBdr>
        <w:rPr/>
      </w:pPr>
      <w:bookmarkStart w:id="44" w:name="__RefHeading___Toc6808_2150751134"/>
      <w:bookmarkEnd w:id="44"/>
      <w:r>
        <w:rPr>
          <w:rFonts w:ascii="Lato" w:hAnsi="Lato"/>
          <w:color w:val="172236"/>
          <w:sz w:val="29"/>
        </w:rPr>
        <w:t>7.7 Risk and Portfolio</w:t>
      </w:r>
    </w:p>
    <w:p>
      <w:pPr>
        <w:pStyle w:val="ListBullet"/>
        <w:numPr>
          <w:ilvl w:val="0"/>
          <w:numId w:val="1"/>
        </w:numPr>
        <w:rPr/>
      </w:pPr>
      <w:r>
        <w:rPr>
          <w:color w:val="172236"/>
          <w:sz w:val="18"/>
        </w:rPr>
        <w:t>Positions and transactions.</w:t>
      </w:r>
    </w:p>
    <w:p>
      <w:pPr>
        <w:pStyle w:val="ListBullet"/>
        <w:numPr>
          <w:ilvl w:val="0"/>
          <w:numId w:val="1"/>
        </w:numPr>
        <w:rPr/>
      </w:pPr>
      <w:r>
        <w:rPr>
          <w:color w:val="172236"/>
          <w:sz w:val="18"/>
        </w:rPr>
        <w:t>Exposure.</w:t>
      </w:r>
    </w:p>
    <w:p>
      <w:pPr>
        <w:pStyle w:val="ListBullet"/>
        <w:numPr>
          <w:ilvl w:val="0"/>
          <w:numId w:val="1"/>
        </w:numPr>
        <w:rPr/>
      </w:pPr>
      <w:r>
        <w:rPr>
          <w:color w:val="172236"/>
          <w:sz w:val="18"/>
        </w:rPr>
        <w:t>Greeks.</w:t>
      </w:r>
    </w:p>
    <w:p>
      <w:pPr>
        <w:pStyle w:val="ListBullet"/>
        <w:numPr>
          <w:ilvl w:val="0"/>
          <w:numId w:val="1"/>
        </w:numPr>
        <w:rPr/>
      </w:pPr>
      <w:r>
        <w:rPr>
          <w:color w:val="172236"/>
          <w:sz w:val="18"/>
        </w:rPr>
        <w:t>Concentration.</w:t>
      </w:r>
    </w:p>
    <w:p>
      <w:pPr>
        <w:pStyle w:val="ListBullet"/>
        <w:numPr>
          <w:ilvl w:val="0"/>
          <w:numId w:val="1"/>
        </w:numPr>
        <w:rPr/>
      </w:pPr>
      <w:r>
        <w:rPr>
          <w:color w:val="172236"/>
          <w:sz w:val="18"/>
        </w:rPr>
        <w:t>Correlation.</w:t>
      </w:r>
    </w:p>
    <w:p>
      <w:pPr>
        <w:pStyle w:val="ListBullet"/>
        <w:numPr>
          <w:ilvl w:val="0"/>
          <w:numId w:val="1"/>
        </w:numPr>
        <w:rPr/>
      </w:pPr>
      <w:r>
        <w:rPr>
          <w:color w:val="172236"/>
          <w:sz w:val="18"/>
        </w:rPr>
        <w:t>Factor exposure.</w:t>
      </w:r>
    </w:p>
    <w:p>
      <w:pPr>
        <w:pStyle w:val="ListBullet"/>
        <w:numPr>
          <w:ilvl w:val="0"/>
          <w:numId w:val="1"/>
        </w:numPr>
        <w:rPr/>
      </w:pPr>
      <w:r>
        <w:rPr>
          <w:color w:val="172236"/>
          <w:sz w:val="18"/>
        </w:rPr>
        <w:t>Drawdown.</w:t>
      </w:r>
    </w:p>
    <w:p>
      <w:pPr>
        <w:pStyle w:val="ListBullet"/>
        <w:numPr>
          <w:ilvl w:val="0"/>
          <w:numId w:val="1"/>
        </w:numPr>
        <w:rPr/>
      </w:pPr>
      <w:r>
        <w:rPr>
          <w:color w:val="172236"/>
          <w:sz w:val="18"/>
        </w:rPr>
        <w:t>Stress tests.</w:t>
      </w:r>
    </w:p>
    <w:p>
      <w:pPr>
        <w:pStyle w:val="ListBullet"/>
        <w:numPr>
          <w:ilvl w:val="0"/>
          <w:numId w:val="1"/>
        </w:numPr>
        <w:rPr/>
      </w:pPr>
      <w:r>
        <w:rPr>
          <w:color w:val="172236"/>
          <w:sz w:val="18"/>
        </w:rPr>
        <w:t>VaR/CVaR as supplemental measures.</w:t>
      </w:r>
    </w:p>
    <w:p>
      <w:pPr>
        <w:pStyle w:val="ListBullet"/>
        <w:numPr>
          <w:ilvl w:val="0"/>
          <w:numId w:val="1"/>
        </w:numPr>
        <w:rPr/>
      </w:pPr>
      <w:r>
        <w:rPr>
          <w:color w:val="172236"/>
          <w:sz w:val="18"/>
        </w:rPr>
        <w:t>Scenario analysis.</w:t>
      </w:r>
    </w:p>
    <w:p>
      <w:pPr>
        <w:pStyle w:val="ListBullet"/>
        <w:numPr>
          <w:ilvl w:val="0"/>
          <w:numId w:val="1"/>
        </w:numPr>
        <w:rPr/>
      </w:pPr>
      <w:r>
        <w:rPr>
          <w:color w:val="172236"/>
          <w:sz w:val="18"/>
        </w:rPr>
        <w:t>Pre-trade guardrails.</w:t>
      </w:r>
    </w:p>
    <w:p>
      <w:pPr>
        <w:pStyle w:val="ListBullet"/>
        <w:numPr>
          <w:ilvl w:val="0"/>
          <w:numId w:val="1"/>
        </w:numPr>
        <w:rPr/>
      </w:pPr>
      <w:r>
        <w:rPr>
          <w:color w:val="172236"/>
          <w:sz w:val="18"/>
        </w:rPr>
        <w:t>Portfolio kill switches.</w:t>
      </w:r>
    </w:p>
    <w:p>
      <w:pPr>
        <w:pStyle w:val="Heading2"/>
        <w:pBdr>
          <w:left w:val="single" w:sz="14" w:space="4" w:color="8B5CF6"/>
        </w:pBdr>
        <w:rPr/>
      </w:pPr>
      <w:bookmarkStart w:id="45" w:name="__RefHeading___Toc6810_2150751134"/>
      <w:bookmarkEnd w:id="45"/>
      <w:r>
        <w:rPr>
          <w:rFonts w:ascii="Lato" w:hAnsi="Lato"/>
          <w:color w:val="172236"/>
          <w:sz w:val="29"/>
        </w:rPr>
        <w:t>7.8 Journal and Learning</w:t>
      </w:r>
    </w:p>
    <w:p>
      <w:pPr>
        <w:pStyle w:val="ListBullet"/>
        <w:numPr>
          <w:ilvl w:val="0"/>
          <w:numId w:val="1"/>
        </w:numPr>
        <w:rPr/>
      </w:pPr>
      <w:r>
        <w:rPr>
          <w:color w:val="172236"/>
          <w:sz w:val="18"/>
        </w:rPr>
        <w:t>Automatic trade capture.</w:t>
      </w:r>
    </w:p>
    <w:p>
      <w:pPr>
        <w:pStyle w:val="ListBullet"/>
        <w:numPr>
          <w:ilvl w:val="0"/>
          <w:numId w:val="1"/>
        </w:numPr>
        <w:rPr/>
      </w:pPr>
      <w:r>
        <w:rPr>
          <w:color w:val="172236"/>
          <w:sz w:val="18"/>
        </w:rPr>
        <w:t>Manual thesis.</w:t>
      </w:r>
    </w:p>
    <w:p>
      <w:pPr>
        <w:pStyle w:val="ListBullet"/>
        <w:numPr>
          <w:ilvl w:val="0"/>
          <w:numId w:val="1"/>
        </w:numPr>
        <w:rPr/>
      </w:pPr>
      <w:r>
        <w:rPr>
          <w:color w:val="172236"/>
          <w:sz w:val="18"/>
        </w:rPr>
        <w:t>Screenshots and chart state.</w:t>
      </w:r>
    </w:p>
    <w:p>
      <w:pPr>
        <w:pStyle w:val="ListBullet"/>
        <w:numPr>
          <w:ilvl w:val="0"/>
          <w:numId w:val="1"/>
        </w:numPr>
        <w:rPr/>
      </w:pPr>
      <w:r>
        <w:rPr>
          <w:color w:val="172236"/>
          <w:sz w:val="18"/>
        </w:rPr>
        <w:t>Emotional/behavior tags.</w:t>
      </w:r>
    </w:p>
    <w:p>
      <w:pPr>
        <w:pStyle w:val="ListBullet"/>
        <w:numPr>
          <w:ilvl w:val="0"/>
          <w:numId w:val="1"/>
        </w:numPr>
        <w:rPr/>
      </w:pPr>
      <w:r>
        <w:rPr>
          <w:color w:val="172236"/>
          <w:sz w:val="18"/>
        </w:rPr>
        <w:t>Planned versus actual execution.</w:t>
      </w:r>
    </w:p>
    <w:p>
      <w:pPr>
        <w:pStyle w:val="ListBullet"/>
        <w:numPr>
          <w:ilvl w:val="0"/>
          <w:numId w:val="1"/>
        </w:numPr>
        <w:rPr/>
      </w:pPr>
      <w:r>
        <w:rPr>
          <w:color w:val="172236"/>
          <w:sz w:val="18"/>
        </w:rPr>
        <w:t>Post-trade review.</w:t>
      </w:r>
    </w:p>
    <w:p>
      <w:pPr>
        <w:pStyle w:val="ListBullet"/>
        <w:numPr>
          <w:ilvl w:val="0"/>
          <w:numId w:val="1"/>
        </w:numPr>
        <w:rPr/>
      </w:pPr>
      <w:r>
        <w:rPr>
          <w:color w:val="172236"/>
          <w:sz w:val="18"/>
        </w:rPr>
        <w:t>Mistake taxonomy.</w:t>
      </w:r>
    </w:p>
    <w:p>
      <w:pPr>
        <w:pStyle w:val="ListBullet"/>
        <w:numPr>
          <w:ilvl w:val="0"/>
          <w:numId w:val="1"/>
        </w:numPr>
        <w:rPr/>
      </w:pPr>
      <w:r>
        <w:rPr>
          <w:color w:val="172236"/>
          <w:sz w:val="18"/>
        </w:rPr>
        <w:t>AI pattern discovery.</w:t>
      </w:r>
    </w:p>
    <w:p>
      <w:pPr>
        <w:pStyle w:val="ListBullet"/>
        <w:numPr>
          <w:ilvl w:val="0"/>
          <w:numId w:val="1"/>
        </w:numPr>
        <w:rPr/>
      </w:pPr>
      <w:r>
        <w:rPr>
          <w:color w:val="172236"/>
          <w:sz w:val="18"/>
        </w:rPr>
        <w:t>Strategy-specific scorecards.</w:t>
      </w:r>
    </w:p>
    <w:p>
      <w:pPr>
        <w:pStyle w:val="Heading2"/>
        <w:pBdr>
          <w:left w:val="single" w:sz="14" w:space="4" w:color="8B5CF6"/>
        </w:pBdr>
        <w:rPr/>
      </w:pPr>
      <w:bookmarkStart w:id="46" w:name="__RefHeading___Toc6812_2150751134"/>
      <w:bookmarkEnd w:id="46"/>
      <w:r>
        <w:rPr>
          <w:rFonts w:ascii="Lato" w:hAnsi="Lato"/>
          <w:color w:val="172236"/>
          <w:sz w:val="29"/>
        </w:rPr>
        <w:t>7.9 Automation</w:t>
      </w:r>
    </w:p>
    <w:p>
      <w:pPr>
        <w:pStyle w:val="ListBullet"/>
        <w:numPr>
          <w:ilvl w:val="0"/>
          <w:numId w:val="1"/>
        </w:numPr>
        <w:rPr/>
      </w:pPr>
      <w:r>
        <w:rPr>
          <w:color w:val="172236"/>
          <w:sz w:val="18"/>
        </w:rPr>
        <w:t>Alerts.</w:t>
      </w:r>
    </w:p>
    <w:p>
      <w:pPr>
        <w:pStyle w:val="ListBullet"/>
        <w:numPr>
          <w:ilvl w:val="0"/>
          <w:numId w:val="1"/>
        </w:numPr>
        <w:rPr/>
      </w:pPr>
      <w:r>
        <w:rPr>
          <w:color w:val="172236"/>
          <w:sz w:val="18"/>
        </w:rPr>
        <w:t>Scheduled scans.</w:t>
      </w:r>
    </w:p>
    <w:p>
      <w:pPr>
        <w:pStyle w:val="ListBullet"/>
        <w:numPr>
          <w:ilvl w:val="0"/>
          <w:numId w:val="1"/>
        </w:numPr>
        <w:rPr/>
      </w:pPr>
      <w:r>
        <w:rPr>
          <w:color w:val="172236"/>
          <w:sz w:val="18"/>
        </w:rPr>
        <w:t>Data refresh.</w:t>
      </w:r>
    </w:p>
    <w:p>
      <w:pPr>
        <w:pStyle w:val="ListBullet"/>
        <w:numPr>
          <w:ilvl w:val="0"/>
          <w:numId w:val="1"/>
        </w:numPr>
        <w:rPr/>
      </w:pPr>
      <w:r>
        <w:rPr>
          <w:color w:val="172236"/>
          <w:sz w:val="18"/>
        </w:rPr>
        <w:t>Strategy runs.</w:t>
      </w:r>
    </w:p>
    <w:p>
      <w:pPr>
        <w:pStyle w:val="ListBullet"/>
        <w:numPr>
          <w:ilvl w:val="0"/>
          <w:numId w:val="1"/>
        </w:numPr>
        <w:rPr/>
      </w:pPr>
      <w:r>
        <w:rPr>
          <w:color w:val="172236"/>
          <w:sz w:val="18"/>
        </w:rPr>
        <w:t>Paper execution.</w:t>
      </w:r>
    </w:p>
    <w:p>
      <w:pPr>
        <w:pStyle w:val="ListBullet"/>
        <w:numPr>
          <w:ilvl w:val="0"/>
          <w:numId w:val="1"/>
        </w:numPr>
        <w:rPr/>
      </w:pPr>
      <w:r>
        <w:rPr>
          <w:color w:val="172236"/>
          <w:sz w:val="18"/>
        </w:rPr>
        <w:t>Conditional live execution in later phases.</w:t>
      </w:r>
    </w:p>
    <w:p>
      <w:pPr>
        <w:pStyle w:val="ListBullet"/>
        <w:numPr>
          <w:ilvl w:val="0"/>
          <w:numId w:val="1"/>
        </w:numPr>
        <w:rPr/>
      </w:pPr>
      <w:r>
        <w:rPr>
          <w:color w:val="172236"/>
          <w:sz w:val="18"/>
        </w:rPr>
        <w:t>Human approval gates.</w:t>
      </w:r>
    </w:p>
    <w:p>
      <w:pPr>
        <w:pStyle w:val="ListBullet"/>
        <w:numPr>
          <w:ilvl w:val="0"/>
          <w:numId w:val="1"/>
        </w:numPr>
        <w:rPr/>
      </w:pPr>
      <w:r>
        <w:rPr>
          <w:color w:val="172236"/>
          <w:sz w:val="18"/>
        </w:rPr>
        <w:t>Emergency disablement.</w:t>
      </w:r>
    </w:p>
    <w:p>
      <w:pPr>
        <w:pStyle w:val="ListBullet"/>
        <w:numPr>
          <w:ilvl w:val="0"/>
          <w:numId w:val="1"/>
        </w:numPr>
        <w:rPr/>
      </w:pPr>
      <w:r>
        <w:rPr>
          <w:color w:val="172236"/>
          <w:sz w:val="18"/>
        </w:rPr>
        <w:t>Full auditability.</w:t>
      </w:r>
    </w:p>
    <w:p>
      <w:pPr>
        <w:pStyle w:val="Normal"/>
        <w:spacing w:before="0" w:after="0"/>
        <w:jc w:val="center"/>
        <w:rPr/>
      </w:pPr>
      <w:r>
        <w:rPr/>
        <w:drawing>
          <wp:inline distT="0" distB="0" distL="0" distR="0">
            <wp:extent cx="6546850" cy="8174990"/>
            <wp:effectExtent l="0" t="0" r="0" b="0"/>
            <wp:docPr id="6" name="Picture 6" descr="Image: image6.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3"/>
                    <a:stretch>
                      <a:fillRect/>
                    </a:stretch>
                  </pic:blipFill>
                  <pic:spPr bwMode="auto">
                    <a:xfrm>
                      <a:off x="0" y="0"/>
                      <a:ext cx="6546850" cy="8174990"/>
                    </a:xfrm>
                    <a:prstGeom prst="rect">
                      <a:avLst/>
                    </a:prstGeom>
                    <a:noFill/>
                  </pic:spPr>
                </pic:pic>
              </a:graphicData>
            </a:graphic>
          </wp:inline>
        </w:drawing>
      </w:r>
    </w:p>
    <w:p>
      <w:pPr>
        <w:pStyle w:val="Normal"/>
        <w:rPr/>
      </w:pPr>
      <w:r>
        <w:rPr/>
      </w:r>
    </w:p>
    <w:p>
      <w:p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965" w:right="965" w:gutter="0" w:header="360" w:top="893" w:footer="360" w:bottom="835"/>
          <w:pgNumType w:fmt="decimal"/>
          <w:formProt w:val="false"/>
          <w:textDirection w:val="lrTb"/>
          <w:docGrid w:type="default" w:linePitch="312" w:charSpace="4096"/>
        </w:sectPr>
      </w:pPr>
      <w:r>
        <w:br w:type="page"/>
      </w:r>
    </w:p>
    <w:p>
      <w:pPr>
        <w:pStyle w:val="Heading1"/>
        <w:pBdr>
          <w:bottom w:val="single" w:sz="12" w:space="5" w:color="33C7F2"/>
        </w:pBdr>
        <w:rPr/>
      </w:pPr>
      <w:bookmarkStart w:id="47" w:name="__RefHeading___Toc6814_2150751134"/>
      <w:bookmarkEnd w:id="47"/>
      <w:r>
        <w:rPr>
          <w:rFonts w:ascii="Lato" w:hAnsi="Lato"/>
          <w:color w:val="172236"/>
          <w:sz w:val="42"/>
        </w:rPr>
        <w:t>8. Detailed Feature Design</w:t>
      </w:r>
    </w:p>
    <w:p>
      <w:pPr>
        <w:pStyle w:val="Heading2"/>
        <w:pBdr>
          <w:left w:val="single" w:sz="14" w:space="4" w:color="8B5CF6"/>
        </w:pBdr>
        <w:rPr/>
      </w:pPr>
      <w:bookmarkStart w:id="48" w:name="__RefHeading___Toc6816_2150751134"/>
      <w:bookmarkEnd w:id="48"/>
      <w:r>
        <w:rPr>
          <w:rFonts w:ascii="Lato" w:hAnsi="Lato"/>
          <w:color w:val="172236"/>
          <w:sz w:val="29"/>
        </w:rPr>
        <w:t>8.1 Command Center</w:t>
      </w:r>
    </w:p>
    <w:p>
      <w:pPr>
        <w:pStyle w:val="Heading3"/>
        <w:rPr/>
      </w:pPr>
      <w:bookmarkStart w:id="49" w:name="__RefHeading___Toc6818_2150751134"/>
      <w:bookmarkEnd w:id="49"/>
      <w:r>
        <w:rPr>
          <w:rFonts w:ascii="Lato" w:hAnsi="Lato"/>
          <w:color w:val="172236"/>
          <w:sz w:val="21"/>
        </w:rPr>
        <w:t>Functional Design</w:t>
      </w:r>
    </w:p>
    <w:p>
      <w:pPr>
        <w:pStyle w:val="Normal"/>
        <w:rPr/>
      </w:pPr>
      <w:r>
        <w:rPr>
          <w:color w:val="172236"/>
          <w:sz w:val="19"/>
        </w:rPr>
        <w:t>The Command Center is a personalized, role-aware operational overview. It MUST not become an unstructured wall of widgets.</w:t>
      </w:r>
    </w:p>
    <w:p>
      <w:pPr>
        <w:pStyle w:val="Normal"/>
        <w:rPr/>
      </w:pPr>
      <w:r>
        <w:rPr>
          <w:color w:val="172236"/>
          <w:sz w:val="19"/>
        </w:rPr>
        <w:t>Recommended regions:</w:t>
      </w:r>
    </w:p>
    <w:p>
      <w:pPr>
        <w:pStyle w:val="ListBullet"/>
        <w:numPr>
          <w:ilvl w:val="0"/>
          <w:numId w:val="1"/>
        </w:numPr>
        <w:rPr/>
      </w:pPr>
      <w:r>
        <w:rPr>
          <w:b/>
          <w:color w:val="172236"/>
          <w:sz w:val="18"/>
        </w:rPr>
        <w:t>Market regime:</w:t>
      </w:r>
      <w:r>
        <w:rPr>
          <w:color w:val="172236"/>
          <w:sz w:val="18"/>
        </w:rPr>
        <w:t xml:space="preserve"> trend, volatility, liquidity, breadth, correlation, macro risk.</w:t>
      </w:r>
    </w:p>
    <w:p>
      <w:pPr>
        <w:pStyle w:val="ListBullet"/>
        <w:numPr>
          <w:ilvl w:val="0"/>
          <w:numId w:val="1"/>
        </w:numPr>
        <w:rPr/>
      </w:pPr>
      <w:r>
        <w:rPr>
          <w:b/>
          <w:color w:val="172236"/>
          <w:sz w:val="18"/>
        </w:rPr>
        <w:t>Today’s catalysts:</w:t>
      </w:r>
      <w:r>
        <w:rPr>
          <w:color w:val="172236"/>
          <w:sz w:val="18"/>
        </w:rPr>
        <w:t xml:space="preserve"> earnings, macro releases, filings, options expirations, token events.</w:t>
      </w:r>
    </w:p>
    <w:p>
      <w:pPr>
        <w:pStyle w:val="ListBullet"/>
        <w:numPr>
          <w:ilvl w:val="0"/>
          <w:numId w:val="1"/>
        </w:numPr>
        <w:rPr/>
      </w:pPr>
      <w:r>
        <w:rPr>
          <w:b/>
          <w:color w:val="172236"/>
          <w:sz w:val="18"/>
        </w:rPr>
        <w:t>Priority opportunities:</w:t>
      </w:r>
      <w:r>
        <w:rPr>
          <w:color w:val="172236"/>
          <w:sz w:val="18"/>
        </w:rPr>
        <w:t xml:space="preserve"> ranked by expected value, confidence, liquidity, and user strategy fit.</w:t>
      </w:r>
    </w:p>
    <w:p>
      <w:pPr>
        <w:pStyle w:val="ListBullet"/>
        <w:numPr>
          <w:ilvl w:val="0"/>
          <w:numId w:val="1"/>
        </w:numPr>
        <w:rPr/>
      </w:pPr>
      <w:r>
        <w:rPr>
          <w:b/>
          <w:color w:val="172236"/>
          <w:sz w:val="18"/>
        </w:rPr>
        <w:t>Risk posture:</w:t>
      </w:r>
      <w:r>
        <w:rPr>
          <w:color w:val="172236"/>
          <w:sz w:val="18"/>
        </w:rPr>
        <w:t xml:space="preserve"> account exposure, portfolio Greeks, drawdown, concentration, upcoming event exposure.</w:t>
      </w:r>
    </w:p>
    <w:p>
      <w:pPr>
        <w:pStyle w:val="ListBullet"/>
        <w:numPr>
          <w:ilvl w:val="0"/>
          <w:numId w:val="1"/>
        </w:numPr>
        <w:rPr/>
      </w:pPr>
      <w:r>
        <w:rPr>
          <w:b/>
          <w:color w:val="172236"/>
          <w:sz w:val="18"/>
        </w:rPr>
        <w:t>Institutional activity:</w:t>
      </w:r>
      <w:r>
        <w:rPr>
          <w:color w:val="172236"/>
          <w:sz w:val="18"/>
        </w:rPr>
        <w:t xml:space="preserve"> meaningful ownership and positioning changes.</w:t>
      </w:r>
    </w:p>
    <w:p>
      <w:pPr>
        <w:pStyle w:val="ListBullet"/>
        <w:numPr>
          <w:ilvl w:val="0"/>
          <w:numId w:val="1"/>
        </w:numPr>
        <w:rPr/>
      </w:pPr>
      <w:r>
        <w:rPr>
          <w:b/>
          <w:color w:val="172236"/>
          <w:sz w:val="18"/>
        </w:rPr>
        <w:t>Crypto state:</w:t>
      </w:r>
      <w:r>
        <w:rPr>
          <w:color w:val="172236"/>
          <w:sz w:val="18"/>
        </w:rPr>
        <w:t xml:space="preserve"> market cap, volume, dominance, category movement, exchange anomalies.</w:t>
      </w:r>
    </w:p>
    <w:p>
      <w:pPr>
        <w:pStyle w:val="ListBullet"/>
        <w:numPr>
          <w:ilvl w:val="0"/>
          <w:numId w:val="1"/>
        </w:numPr>
        <w:rPr/>
      </w:pPr>
      <w:r>
        <w:rPr>
          <w:b/>
          <w:color w:val="172236"/>
          <w:sz w:val="18"/>
        </w:rPr>
        <w:t>System status:</w:t>
      </w:r>
      <w:r>
        <w:rPr>
          <w:color w:val="172236"/>
          <w:sz w:val="18"/>
        </w:rPr>
        <w:t xml:space="preserve"> provider freshness, API budget, queue lag, model status.</w:t>
      </w:r>
    </w:p>
    <w:p>
      <w:pPr>
        <w:pStyle w:val="Normal"/>
        <w:rPr/>
      </w:pPr>
      <w:r>
        <w:rPr>
          <w:color w:val="172236"/>
          <w:sz w:val="19"/>
        </w:rPr>
        <w:t>Each card MUST include:</w:t>
      </w:r>
    </w:p>
    <w:p>
      <w:pPr>
        <w:pStyle w:val="ListBullet"/>
        <w:numPr>
          <w:ilvl w:val="0"/>
          <w:numId w:val="1"/>
        </w:numPr>
        <w:rPr/>
      </w:pPr>
      <w:r>
        <w:rPr>
          <w:color w:val="172236"/>
          <w:sz w:val="18"/>
        </w:rPr>
        <w:t>Timestamp.</w:t>
      </w:r>
    </w:p>
    <w:p>
      <w:pPr>
        <w:pStyle w:val="ListBullet"/>
        <w:numPr>
          <w:ilvl w:val="0"/>
          <w:numId w:val="1"/>
        </w:numPr>
        <w:rPr/>
      </w:pPr>
      <w:r>
        <w:rPr>
          <w:color w:val="172236"/>
          <w:sz w:val="18"/>
        </w:rPr>
        <w:t>Source.</w:t>
      </w:r>
    </w:p>
    <w:p>
      <w:pPr>
        <w:pStyle w:val="ListBullet"/>
        <w:numPr>
          <w:ilvl w:val="0"/>
          <w:numId w:val="1"/>
        </w:numPr>
        <w:rPr/>
      </w:pPr>
      <w:r>
        <w:rPr>
          <w:color w:val="172236"/>
          <w:sz w:val="18"/>
        </w:rPr>
        <w:t>Freshness state.</w:t>
      </w:r>
    </w:p>
    <w:p>
      <w:pPr>
        <w:pStyle w:val="ListBullet"/>
        <w:numPr>
          <w:ilvl w:val="0"/>
          <w:numId w:val="1"/>
        </w:numPr>
        <w:rPr/>
      </w:pPr>
      <w:r>
        <w:rPr>
          <w:color w:val="172236"/>
          <w:sz w:val="18"/>
        </w:rPr>
        <w:t>Data quality grade.</w:t>
      </w:r>
    </w:p>
    <w:p>
      <w:pPr>
        <w:pStyle w:val="ListBullet"/>
        <w:numPr>
          <w:ilvl w:val="0"/>
          <w:numId w:val="1"/>
        </w:numPr>
        <w:rPr/>
      </w:pPr>
      <w:r>
        <w:rPr>
          <w:color w:val="172236"/>
          <w:sz w:val="18"/>
        </w:rPr>
        <w:t>Confidence.</w:t>
      </w:r>
    </w:p>
    <w:p>
      <w:pPr>
        <w:pStyle w:val="ListBullet"/>
        <w:numPr>
          <w:ilvl w:val="0"/>
          <w:numId w:val="1"/>
        </w:numPr>
        <w:rPr/>
      </w:pPr>
      <w:r>
        <w:rPr>
          <w:color w:val="172236"/>
          <w:sz w:val="18"/>
        </w:rPr>
        <w:t>Click-through evidence.</w:t>
      </w:r>
    </w:p>
    <w:p>
      <w:pPr>
        <w:pStyle w:val="ListBullet"/>
        <w:numPr>
          <w:ilvl w:val="0"/>
          <w:numId w:val="1"/>
        </w:numPr>
        <w:rPr/>
      </w:pPr>
      <w:r>
        <w:rPr>
          <w:color w:val="172236"/>
          <w:sz w:val="18"/>
        </w:rPr>
        <w:t>Dismiss/snooze behavior.</w:t>
      </w:r>
    </w:p>
    <w:p>
      <w:pPr>
        <w:pStyle w:val="ListBullet"/>
        <w:numPr>
          <w:ilvl w:val="0"/>
          <w:numId w:val="1"/>
        </w:numPr>
        <w:rPr/>
      </w:pPr>
      <w:r>
        <w:rPr>
          <w:color w:val="172236"/>
          <w:sz w:val="18"/>
        </w:rPr>
        <w:t>Personalization reason.</w:t>
      </w:r>
    </w:p>
    <w:p>
      <w:pPr>
        <w:pStyle w:val="Heading3"/>
        <w:rPr/>
      </w:pPr>
      <w:bookmarkStart w:id="50" w:name="__RefHeading___Toc6820_2150751134"/>
      <w:bookmarkEnd w:id="50"/>
      <w:r>
        <w:rPr>
          <w:rFonts w:ascii="Lato" w:hAnsi="Lato"/>
          <w:color w:val="172236"/>
          <w:sz w:val="21"/>
        </w:rPr>
        <w:t>Advanced Enhancement</w:t>
      </w:r>
    </w:p>
    <w:p>
      <w:pPr>
        <w:pStyle w:val="Normal"/>
        <w:rPr/>
      </w:pPr>
      <w:r>
        <w:rPr>
          <w:color w:val="172236"/>
          <w:sz w:val="19"/>
        </w:rPr>
        <w:t xml:space="preserve">Add an </w:t>
      </w:r>
      <w:r>
        <w:rPr>
          <w:b/>
          <w:color w:val="172236"/>
          <w:sz w:val="19"/>
        </w:rPr>
        <w:t>attention governor</w:t>
      </w:r>
      <w:r>
        <w:rPr>
          <w:color w:val="172236"/>
          <w:sz w:val="19"/>
        </w:rPr>
        <w:t xml:space="preserve"> that limits repeated low-value alerts and prioritizes information based on:</w:t>
      </w:r>
    </w:p>
    <w:p>
      <w:pPr>
        <w:pStyle w:val="ListBullet"/>
        <w:numPr>
          <w:ilvl w:val="0"/>
          <w:numId w:val="1"/>
        </w:numPr>
        <w:rPr/>
      </w:pPr>
      <w:r>
        <w:rPr>
          <w:color w:val="172236"/>
          <w:sz w:val="18"/>
        </w:rPr>
        <w:t>Portfolio exposure.</w:t>
      </w:r>
    </w:p>
    <w:p>
      <w:pPr>
        <w:pStyle w:val="ListBullet"/>
        <w:numPr>
          <w:ilvl w:val="0"/>
          <w:numId w:val="1"/>
        </w:numPr>
        <w:rPr/>
      </w:pPr>
      <w:r>
        <w:rPr>
          <w:color w:val="172236"/>
          <w:sz w:val="18"/>
        </w:rPr>
        <w:t>Watchlist relevance.</w:t>
      </w:r>
    </w:p>
    <w:p>
      <w:pPr>
        <w:pStyle w:val="ListBullet"/>
        <w:numPr>
          <w:ilvl w:val="0"/>
          <w:numId w:val="1"/>
        </w:numPr>
        <w:rPr/>
      </w:pPr>
      <w:r>
        <w:rPr>
          <w:color w:val="172236"/>
          <w:sz w:val="18"/>
        </w:rPr>
        <w:t>User strategy.</w:t>
      </w:r>
    </w:p>
    <w:p>
      <w:pPr>
        <w:pStyle w:val="ListBullet"/>
        <w:numPr>
          <w:ilvl w:val="0"/>
          <w:numId w:val="1"/>
        </w:numPr>
        <w:rPr/>
      </w:pPr>
      <w:r>
        <w:rPr>
          <w:color w:val="172236"/>
          <w:sz w:val="18"/>
        </w:rPr>
        <w:t>Event proximity.</w:t>
      </w:r>
    </w:p>
    <w:p>
      <w:pPr>
        <w:pStyle w:val="ListBullet"/>
        <w:numPr>
          <w:ilvl w:val="0"/>
          <w:numId w:val="1"/>
        </w:numPr>
        <w:rPr/>
      </w:pPr>
      <w:r>
        <w:rPr>
          <w:color w:val="172236"/>
          <w:sz w:val="18"/>
        </w:rPr>
        <w:t>Severity.</w:t>
      </w:r>
    </w:p>
    <w:p>
      <w:pPr>
        <w:pStyle w:val="ListBullet"/>
        <w:numPr>
          <w:ilvl w:val="0"/>
          <w:numId w:val="1"/>
        </w:numPr>
        <w:rPr/>
      </w:pPr>
      <w:r>
        <w:rPr>
          <w:color w:val="172236"/>
          <w:sz w:val="18"/>
        </w:rPr>
        <w:t>Novelty.</w:t>
      </w:r>
    </w:p>
    <w:p>
      <w:pPr>
        <w:pStyle w:val="ListBullet"/>
        <w:numPr>
          <w:ilvl w:val="0"/>
          <w:numId w:val="1"/>
        </w:numPr>
        <w:rPr/>
      </w:pPr>
      <w:r>
        <w:rPr>
          <w:color w:val="172236"/>
          <w:sz w:val="18"/>
        </w:rPr>
        <w:t>Historical usefulness.</w:t>
      </w:r>
    </w:p>
    <w:p>
      <w:pPr>
        <w:pStyle w:val="Heading2"/>
        <w:pBdr>
          <w:left w:val="single" w:sz="14" w:space="4" w:color="8B5CF6"/>
        </w:pBdr>
        <w:rPr/>
      </w:pPr>
      <w:bookmarkStart w:id="51" w:name="__RefHeading___Toc6822_2150751134"/>
      <w:bookmarkEnd w:id="51"/>
      <w:r>
        <w:rPr>
          <w:rFonts w:ascii="Lato" w:hAnsi="Lato"/>
          <w:color w:val="172236"/>
          <w:sz w:val="29"/>
        </w:rPr>
        <w:t>8.2 Universal Instrument Workspace</w:t>
      </w:r>
    </w:p>
    <w:p>
      <w:pPr>
        <w:pStyle w:val="Normal"/>
        <w:rPr/>
      </w:pPr>
      <w:r>
        <w:rPr>
          <w:color w:val="172236"/>
          <w:sz w:val="19"/>
        </w:rPr>
        <w:t>Each asset page SHOULD contain linked modules:</w:t>
      </w:r>
    </w:p>
    <w:p>
      <w:pPr>
        <w:pStyle w:val="ListBullet"/>
        <w:numPr>
          <w:ilvl w:val="0"/>
          <w:numId w:val="1"/>
        </w:numPr>
        <w:rPr/>
      </w:pPr>
      <w:r>
        <w:rPr>
          <w:color w:val="172236"/>
          <w:sz w:val="18"/>
        </w:rPr>
        <w:t>Price chart.</w:t>
      </w:r>
    </w:p>
    <w:p>
      <w:pPr>
        <w:pStyle w:val="ListBullet"/>
        <w:numPr>
          <w:ilvl w:val="0"/>
          <w:numId w:val="1"/>
        </w:numPr>
        <w:rPr/>
      </w:pPr>
      <w:r>
        <w:rPr>
          <w:color w:val="172236"/>
          <w:sz w:val="18"/>
        </w:rPr>
        <w:t>Market metadata.</w:t>
      </w:r>
    </w:p>
    <w:p>
      <w:pPr>
        <w:pStyle w:val="ListBullet"/>
        <w:numPr>
          <w:ilvl w:val="0"/>
          <w:numId w:val="1"/>
        </w:numPr>
        <w:rPr/>
      </w:pPr>
      <w:r>
        <w:rPr>
          <w:color w:val="172236"/>
          <w:sz w:val="18"/>
        </w:rPr>
        <w:t>News/events.</w:t>
      </w:r>
    </w:p>
    <w:p>
      <w:pPr>
        <w:pStyle w:val="ListBullet"/>
        <w:numPr>
          <w:ilvl w:val="0"/>
          <w:numId w:val="1"/>
        </w:numPr>
        <w:rPr/>
      </w:pPr>
      <w:r>
        <w:rPr>
          <w:color w:val="172236"/>
          <w:sz w:val="18"/>
        </w:rPr>
        <w:t>Technical state.</w:t>
      </w:r>
    </w:p>
    <w:p>
      <w:pPr>
        <w:pStyle w:val="ListBullet"/>
        <w:numPr>
          <w:ilvl w:val="0"/>
          <w:numId w:val="1"/>
        </w:numPr>
        <w:rPr/>
      </w:pPr>
      <w:r>
        <w:rPr>
          <w:color w:val="172236"/>
          <w:sz w:val="18"/>
        </w:rPr>
        <w:t>Options state.</w:t>
      </w:r>
    </w:p>
    <w:p>
      <w:pPr>
        <w:pStyle w:val="ListBullet"/>
        <w:numPr>
          <w:ilvl w:val="0"/>
          <w:numId w:val="1"/>
        </w:numPr>
        <w:rPr/>
      </w:pPr>
      <w:r>
        <w:rPr>
          <w:color w:val="172236"/>
          <w:sz w:val="18"/>
        </w:rPr>
        <w:t>Institutional state.</w:t>
      </w:r>
    </w:p>
    <w:p>
      <w:pPr>
        <w:pStyle w:val="ListBullet"/>
        <w:numPr>
          <w:ilvl w:val="0"/>
          <w:numId w:val="1"/>
        </w:numPr>
        <w:rPr/>
      </w:pPr>
      <w:r>
        <w:rPr>
          <w:color w:val="172236"/>
          <w:sz w:val="18"/>
        </w:rPr>
        <w:t>Filing state.</w:t>
      </w:r>
    </w:p>
    <w:p>
      <w:pPr>
        <w:pStyle w:val="ListBullet"/>
        <w:numPr>
          <w:ilvl w:val="0"/>
          <w:numId w:val="1"/>
        </w:numPr>
        <w:rPr/>
      </w:pPr>
      <w:r>
        <w:rPr>
          <w:color w:val="172236"/>
          <w:sz w:val="18"/>
        </w:rPr>
        <w:t>Crypto-specific token/exchange data.</w:t>
      </w:r>
    </w:p>
    <w:p>
      <w:pPr>
        <w:pStyle w:val="ListBullet"/>
        <w:numPr>
          <w:ilvl w:val="0"/>
          <w:numId w:val="1"/>
        </w:numPr>
        <w:rPr/>
      </w:pPr>
      <w:r>
        <w:rPr>
          <w:color w:val="172236"/>
          <w:sz w:val="18"/>
        </w:rPr>
        <w:t>AI thesis.</w:t>
      </w:r>
    </w:p>
    <w:p>
      <w:pPr>
        <w:pStyle w:val="ListBullet"/>
        <w:numPr>
          <w:ilvl w:val="0"/>
          <w:numId w:val="1"/>
        </w:numPr>
        <w:rPr/>
      </w:pPr>
      <w:r>
        <w:rPr>
          <w:color w:val="172236"/>
          <w:sz w:val="18"/>
        </w:rPr>
        <w:t>Historical analogs.</w:t>
      </w:r>
    </w:p>
    <w:p>
      <w:pPr>
        <w:pStyle w:val="ListBullet"/>
        <w:numPr>
          <w:ilvl w:val="0"/>
          <w:numId w:val="1"/>
        </w:numPr>
        <w:rPr/>
      </w:pPr>
      <w:r>
        <w:rPr>
          <w:color w:val="172236"/>
          <w:sz w:val="18"/>
        </w:rPr>
        <w:t>Strategy candidates.</w:t>
      </w:r>
    </w:p>
    <w:p>
      <w:pPr>
        <w:pStyle w:val="ListBullet"/>
        <w:numPr>
          <w:ilvl w:val="0"/>
          <w:numId w:val="1"/>
        </w:numPr>
        <w:rPr/>
      </w:pPr>
      <w:r>
        <w:rPr>
          <w:color w:val="172236"/>
          <w:sz w:val="18"/>
        </w:rPr>
        <w:t>Journal history.</w:t>
      </w:r>
    </w:p>
    <w:p>
      <w:pPr>
        <w:pStyle w:val="ListBullet"/>
        <w:numPr>
          <w:ilvl w:val="0"/>
          <w:numId w:val="1"/>
        </w:numPr>
        <w:rPr/>
      </w:pPr>
      <w:r>
        <w:rPr>
          <w:color w:val="172236"/>
          <w:sz w:val="18"/>
        </w:rPr>
        <w:t>Alerts and automations.</w:t>
      </w:r>
    </w:p>
    <w:p>
      <w:pPr>
        <w:pStyle w:val="Normal"/>
        <w:rPr/>
      </w:pPr>
      <w:r>
        <w:rPr>
          <w:color w:val="172236"/>
          <w:sz w:val="19"/>
        </w:rPr>
        <w:t>A symbol context object SHOULD be passed between panels, not reconstructed independently.</w:t>
      </w:r>
    </w:p>
    <w:p>
      <w:pPr>
        <w:pStyle w:val="Heading2"/>
        <w:pBdr>
          <w:left w:val="single" w:sz="14" w:space="4" w:color="8B5CF6"/>
        </w:pBdr>
        <w:rPr/>
      </w:pPr>
      <w:bookmarkStart w:id="52" w:name="__RefHeading___Toc6824_2150751134"/>
      <w:bookmarkEnd w:id="52"/>
      <w:r>
        <w:rPr>
          <w:rFonts w:ascii="Lato" w:hAnsi="Lato"/>
          <w:color w:val="172236"/>
          <w:sz w:val="29"/>
        </w:rPr>
        <w:t>8.3 Advanced Charting</w:t>
      </w:r>
    </w:p>
    <w:p>
      <w:pPr>
        <w:pStyle w:val="Heading3"/>
        <w:rPr/>
      </w:pPr>
      <w:bookmarkStart w:id="53" w:name="__RefHeading___Toc6826_2150751134"/>
      <w:bookmarkEnd w:id="53"/>
      <w:r>
        <w:rPr>
          <w:rFonts w:ascii="Lato" w:hAnsi="Lato"/>
          <w:color w:val="172236"/>
          <w:sz w:val="21"/>
        </w:rPr>
        <w:t>Required Capabilities</w:t>
      </w:r>
    </w:p>
    <w:p>
      <w:pPr>
        <w:pStyle w:val="ListBullet"/>
        <w:numPr>
          <w:ilvl w:val="0"/>
          <w:numId w:val="1"/>
        </w:numPr>
        <w:rPr/>
      </w:pPr>
      <w:r>
        <w:rPr>
          <w:color w:val="172236"/>
          <w:sz w:val="18"/>
        </w:rPr>
        <w:t>Candlestick, bar, line, area.</w:t>
      </w:r>
    </w:p>
    <w:p>
      <w:pPr>
        <w:pStyle w:val="ListBullet"/>
        <w:numPr>
          <w:ilvl w:val="0"/>
          <w:numId w:val="1"/>
        </w:numPr>
        <w:rPr/>
      </w:pPr>
      <w:r>
        <w:rPr>
          <w:color w:val="172236"/>
          <w:sz w:val="18"/>
        </w:rPr>
        <w:t>Heikin-Ashi.</w:t>
      </w:r>
    </w:p>
    <w:p>
      <w:pPr>
        <w:pStyle w:val="ListBullet"/>
        <w:numPr>
          <w:ilvl w:val="0"/>
          <w:numId w:val="1"/>
        </w:numPr>
        <w:rPr/>
      </w:pPr>
      <w:r>
        <w:rPr>
          <w:color w:val="172236"/>
          <w:sz w:val="18"/>
        </w:rPr>
        <w:t>Volume and volume profile.</w:t>
      </w:r>
    </w:p>
    <w:p>
      <w:pPr>
        <w:pStyle w:val="ListBullet"/>
        <w:numPr>
          <w:ilvl w:val="0"/>
          <w:numId w:val="1"/>
        </w:numPr>
        <w:rPr/>
      </w:pPr>
      <w:r>
        <w:rPr>
          <w:color w:val="172236"/>
          <w:sz w:val="18"/>
        </w:rPr>
        <w:t>VWAP and anchored VWAP.</w:t>
      </w:r>
    </w:p>
    <w:p>
      <w:pPr>
        <w:pStyle w:val="ListBullet"/>
        <w:numPr>
          <w:ilvl w:val="0"/>
          <w:numId w:val="1"/>
        </w:numPr>
        <w:rPr/>
      </w:pPr>
      <w:r>
        <w:rPr>
          <w:color w:val="172236"/>
          <w:sz w:val="18"/>
        </w:rPr>
        <w:t>Corporate-action-aware history.</w:t>
      </w:r>
    </w:p>
    <w:p>
      <w:pPr>
        <w:pStyle w:val="ListBullet"/>
        <w:numPr>
          <w:ilvl w:val="0"/>
          <w:numId w:val="1"/>
        </w:numPr>
        <w:rPr/>
      </w:pPr>
      <w:r>
        <w:rPr>
          <w:color w:val="172236"/>
          <w:sz w:val="18"/>
        </w:rPr>
        <w:t>Multi-timeframe overlays.</w:t>
      </w:r>
    </w:p>
    <w:p>
      <w:pPr>
        <w:pStyle w:val="ListBullet"/>
        <w:numPr>
          <w:ilvl w:val="0"/>
          <w:numId w:val="1"/>
        </w:numPr>
        <w:rPr/>
      </w:pPr>
      <w:r>
        <w:rPr>
          <w:color w:val="172236"/>
          <w:sz w:val="18"/>
        </w:rPr>
        <w:t>Compare mode.</w:t>
      </w:r>
    </w:p>
    <w:p>
      <w:pPr>
        <w:pStyle w:val="ListBullet"/>
        <w:numPr>
          <w:ilvl w:val="0"/>
          <w:numId w:val="1"/>
        </w:numPr>
        <w:rPr/>
      </w:pPr>
      <w:r>
        <w:rPr>
          <w:color w:val="172236"/>
          <w:sz w:val="18"/>
        </w:rPr>
        <w:t>Drawing tools.</w:t>
      </w:r>
    </w:p>
    <w:p>
      <w:pPr>
        <w:pStyle w:val="ListBullet"/>
        <w:numPr>
          <w:ilvl w:val="0"/>
          <w:numId w:val="1"/>
        </w:numPr>
        <w:rPr/>
      </w:pPr>
      <w:r>
        <w:rPr>
          <w:color w:val="172236"/>
          <w:sz w:val="18"/>
        </w:rPr>
        <w:t>Saved annotations.</w:t>
      </w:r>
    </w:p>
    <w:p>
      <w:pPr>
        <w:pStyle w:val="ListBullet"/>
        <w:numPr>
          <w:ilvl w:val="0"/>
          <w:numId w:val="1"/>
        </w:numPr>
        <w:rPr/>
      </w:pPr>
      <w:r>
        <w:rPr>
          <w:color w:val="172236"/>
          <w:sz w:val="18"/>
        </w:rPr>
        <w:t>Event markers.</w:t>
      </w:r>
    </w:p>
    <w:p>
      <w:pPr>
        <w:pStyle w:val="ListBullet"/>
        <w:numPr>
          <w:ilvl w:val="0"/>
          <w:numId w:val="1"/>
        </w:numPr>
        <w:rPr/>
      </w:pPr>
      <w:r>
        <w:rPr>
          <w:color w:val="172236"/>
          <w:sz w:val="18"/>
        </w:rPr>
        <w:t>Filing and institutional markers.</w:t>
      </w:r>
    </w:p>
    <w:p>
      <w:pPr>
        <w:pStyle w:val="ListBullet"/>
        <w:numPr>
          <w:ilvl w:val="0"/>
          <w:numId w:val="1"/>
        </w:numPr>
        <w:rPr/>
      </w:pPr>
      <w:r>
        <w:rPr>
          <w:color w:val="172236"/>
          <w:sz w:val="18"/>
        </w:rPr>
        <w:t>Options-flow markers.</w:t>
      </w:r>
    </w:p>
    <w:p>
      <w:pPr>
        <w:pStyle w:val="ListBullet"/>
        <w:numPr>
          <w:ilvl w:val="0"/>
          <w:numId w:val="1"/>
        </w:numPr>
        <w:rPr/>
      </w:pPr>
      <w:r>
        <w:rPr>
          <w:color w:val="172236"/>
          <w:sz w:val="18"/>
        </w:rPr>
        <w:t>Crypto market and category overlays.</w:t>
      </w:r>
    </w:p>
    <w:p>
      <w:pPr>
        <w:pStyle w:val="ListBullet"/>
        <w:numPr>
          <w:ilvl w:val="0"/>
          <w:numId w:val="1"/>
        </w:numPr>
        <w:rPr/>
      </w:pPr>
      <w:r>
        <w:rPr>
          <w:color w:val="172236"/>
          <w:sz w:val="18"/>
        </w:rPr>
        <w:t>Replay mode.</w:t>
      </w:r>
    </w:p>
    <w:p>
      <w:pPr>
        <w:pStyle w:val="ListBullet"/>
        <w:numPr>
          <w:ilvl w:val="0"/>
          <w:numId w:val="1"/>
        </w:numPr>
        <w:rPr/>
      </w:pPr>
      <w:r>
        <w:rPr>
          <w:color w:val="172236"/>
          <w:sz w:val="18"/>
        </w:rPr>
        <w:t>Synchronized crosshair.</w:t>
      </w:r>
    </w:p>
    <w:p>
      <w:pPr>
        <w:pStyle w:val="ListBullet"/>
        <w:numPr>
          <w:ilvl w:val="0"/>
          <w:numId w:val="1"/>
        </w:numPr>
        <w:rPr/>
      </w:pPr>
      <w:r>
        <w:rPr>
          <w:color w:val="172236"/>
          <w:sz w:val="18"/>
        </w:rPr>
        <w:t>GPU-accelerated rendering for large series.</w:t>
      </w:r>
    </w:p>
    <w:p>
      <w:pPr>
        <w:pStyle w:val="Heading3"/>
        <w:rPr/>
      </w:pPr>
      <w:bookmarkStart w:id="54" w:name="__RefHeading___Toc6828_2150751134"/>
      <w:bookmarkEnd w:id="54"/>
      <w:r>
        <w:rPr>
          <w:rFonts w:ascii="Lato" w:hAnsi="Lato"/>
          <w:color w:val="172236"/>
          <w:sz w:val="21"/>
        </w:rPr>
        <w:t>Chart Data Integrity</w:t>
      </w:r>
    </w:p>
    <w:p>
      <w:pPr>
        <w:pStyle w:val="Normal"/>
        <w:rPr/>
      </w:pPr>
      <w:r>
        <w:rPr>
          <w:color w:val="172236"/>
          <w:sz w:val="19"/>
        </w:rPr>
        <w:t>Every point MUST preserve:</w:t>
      </w:r>
    </w:p>
    <w:p>
      <w:pPr>
        <w:pStyle w:val="ListBullet"/>
        <w:numPr>
          <w:ilvl w:val="0"/>
          <w:numId w:val="1"/>
        </w:numPr>
        <w:rPr/>
      </w:pPr>
      <w:r>
        <w:rPr>
          <w:color w:val="172236"/>
          <w:sz w:val="18"/>
        </w:rPr>
        <w:t>Provider.</w:t>
      </w:r>
    </w:p>
    <w:p>
      <w:pPr>
        <w:pStyle w:val="ListBullet"/>
        <w:numPr>
          <w:ilvl w:val="0"/>
          <w:numId w:val="1"/>
        </w:numPr>
        <w:rPr/>
      </w:pPr>
      <w:r>
        <w:rPr>
          <w:color w:val="172236"/>
          <w:sz w:val="18"/>
        </w:rPr>
        <w:t>Venue or aggregation scope.</w:t>
      </w:r>
    </w:p>
    <w:p>
      <w:pPr>
        <w:pStyle w:val="ListBullet"/>
        <w:numPr>
          <w:ilvl w:val="0"/>
          <w:numId w:val="1"/>
        </w:numPr>
        <w:rPr/>
      </w:pPr>
      <w:r>
        <w:rPr>
          <w:color w:val="172236"/>
          <w:sz w:val="18"/>
        </w:rPr>
        <w:t>Timestamp resolution.</w:t>
      </w:r>
    </w:p>
    <w:p>
      <w:pPr>
        <w:pStyle w:val="ListBullet"/>
        <w:numPr>
          <w:ilvl w:val="0"/>
          <w:numId w:val="1"/>
        </w:numPr>
        <w:rPr/>
      </w:pPr>
      <w:r>
        <w:rPr>
          <w:color w:val="172236"/>
          <w:sz w:val="18"/>
        </w:rPr>
        <w:t>Timezone.</w:t>
      </w:r>
    </w:p>
    <w:p>
      <w:pPr>
        <w:pStyle w:val="ListBullet"/>
        <w:numPr>
          <w:ilvl w:val="0"/>
          <w:numId w:val="1"/>
        </w:numPr>
        <w:rPr/>
      </w:pPr>
      <w:r>
        <w:rPr>
          <w:color w:val="172236"/>
          <w:sz w:val="18"/>
        </w:rPr>
        <w:t>Adjustment policy.</w:t>
      </w:r>
    </w:p>
    <w:p>
      <w:pPr>
        <w:pStyle w:val="ListBullet"/>
        <w:numPr>
          <w:ilvl w:val="0"/>
          <w:numId w:val="1"/>
        </w:numPr>
        <w:rPr/>
      </w:pPr>
      <w:r>
        <w:rPr>
          <w:color w:val="172236"/>
          <w:sz w:val="18"/>
        </w:rPr>
        <w:t>Currency.</w:t>
      </w:r>
    </w:p>
    <w:p>
      <w:pPr>
        <w:pStyle w:val="ListBullet"/>
        <w:numPr>
          <w:ilvl w:val="0"/>
          <w:numId w:val="1"/>
        </w:numPr>
        <w:rPr/>
      </w:pPr>
      <w:r>
        <w:rPr>
          <w:color w:val="172236"/>
          <w:sz w:val="18"/>
        </w:rPr>
        <w:t>Missing-data state.</w:t>
      </w:r>
    </w:p>
    <w:p>
      <w:pPr>
        <w:pStyle w:val="ListBullet"/>
        <w:numPr>
          <w:ilvl w:val="0"/>
          <w:numId w:val="1"/>
        </w:numPr>
        <w:rPr/>
      </w:pPr>
      <w:r>
        <w:rPr>
          <w:color w:val="172236"/>
          <w:sz w:val="18"/>
        </w:rPr>
        <w:t>Data version.</w:t>
      </w:r>
    </w:p>
    <w:p>
      <w:pPr>
        <w:pStyle w:val="Normal"/>
        <w:rPr/>
      </w:pPr>
      <w:r>
        <w:rPr>
          <w:color w:val="172236"/>
          <w:sz w:val="19"/>
        </w:rPr>
        <w:t>The chart MUST visually distinguish:</w:t>
      </w:r>
    </w:p>
    <w:p>
      <w:pPr>
        <w:pStyle w:val="ListBullet"/>
        <w:numPr>
          <w:ilvl w:val="0"/>
          <w:numId w:val="1"/>
        </w:numPr>
        <w:rPr/>
      </w:pPr>
      <w:r>
        <w:rPr>
          <w:color w:val="172236"/>
          <w:sz w:val="18"/>
        </w:rPr>
        <w:t>Live.</w:t>
      </w:r>
    </w:p>
    <w:p>
      <w:pPr>
        <w:pStyle w:val="ListBullet"/>
        <w:numPr>
          <w:ilvl w:val="0"/>
          <w:numId w:val="1"/>
        </w:numPr>
        <w:rPr/>
      </w:pPr>
      <w:r>
        <w:rPr>
          <w:color w:val="172236"/>
          <w:sz w:val="18"/>
        </w:rPr>
        <w:t>Delayed.</w:t>
      </w:r>
    </w:p>
    <w:p>
      <w:pPr>
        <w:pStyle w:val="ListBullet"/>
        <w:numPr>
          <w:ilvl w:val="0"/>
          <w:numId w:val="1"/>
        </w:numPr>
        <w:rPr/>
      </w:pPr>
      <w:r>
        <w:rPr>
          <w:color w:val="172236"/>
          <w:sz w:val="18"/>
        </w:rPr>
        <w:t>Derived.</w:t>
      </w:r>
    </w:p>
    <w:p>
      <w:pPr>
        <w:pStyle w:val="ListBullet"/>
        <w:numPr>
          <w:ilvl w:val="0"/>
          <w:numId w:val="1"/>
        </w:numPr>
        <w:rPr/>
      </w:pPr>
      <w:r>
        <w:rPr>
          <w:color w:val="172236"/>
          <w:sz w:val="18"/>
        </w:rPr>
        <w:t>Interpolated.</w:t>
      </w:r>
    </w:p>
    <w:p>
      <w:pPr>
        <w:pStyle w:val="ListBullet"/>
        <w:numPr>
          <w:ilvl w:val="0"/>
          <w:numId w:val="1"/>
        </w:numPr>
        <w:rPr/>
      </w:pPr>
      <w:r>
        <w:rPr>
          <w:color w:val="172236"/>
          <w:sz w:val="18"/>
        </w:rPr>
        <w:t>Backfilled.</w:t>
      </w:r>
    </w:p>
    <w:p>
      <w:pPr>
        <w:pStyle w:val="ListBullet"/>
        <w:numPr>
          <w:ilvl w:val="0"/>
          <w:numId w:val="1"/>
        </w:numPr>
        <w:rPr/>
      </w:pPr>
      <w:r>
        <w:rPr>
          <w:color w:val="172236"/>
          <w:sz w:val="18"/>
        </w:rPr>
        <w:t>Stale.</w:t>
      </w:r>
    </w:p>
    <w:p>
      <w:pPr>
        <w:pStyle w:val="Heading2"/>
        <w:pBdr>
          <w:left w:val="single" w:sz="14" w:space="4" w:color="8B5CF6"/>
        </w:pBdr>
        <w:rPr/>
      </w:pPr>
      <w:bookmarkStart w:id="55" w:name="__RefHeading___Toc6830_2150751134"/>
      <w:bookmarkEnd w:id="55"/>
      <w:r>
        <w:rPr>
          <w:rFonts w:ascii="Lato" w:hAnsi="Lato"/>
          <w:color w:val="172236"/>
          <w:sz w:val="29"/>
        </w:rPr>
        <w:t>8.4 Market Scanner</w:t>
      </w:r>
    </w:p>
    <w:p>
      <w:pPr>
        <w:pStyle w:val="Normal"/>
        <w:rPr/>
      </w:pPr>
      <w:r>
        <w:rPr>
          <w:color w:val="172236"/>
          <w:sz w:val="19"/>
        </w:rPr>
        <w:t>The scanner MUST support:</w:t>
      </w:r>
    </w:p>
    <w:p>
      <w:pPr>
        <w:pStyle w:val="ListBullet"/>
        <w:numPr>
          <w:ilvl w:val="0"/>
          <w:numId w:val="1"/>
        </w:numPr>
        <w:rPr/>
      </w:pPr>
      <w:r>
        <w:rPr>
          <w:color w:val="172236"/>
          <w:sz w:val="18"/>
        </w:rPr>
        <w:t>Saved scans.</w:t>
      </w:r>
    </w:p>
    <w:p>
      <w:pPr>
        <w:pStyle w:val="ListBullet"/>
        <w:numPr>
          <w:ilvl w:val="0"/>
          <w:numId w:val="1"/>
        </w:numPr>
        <w:rPr/>
      </w:pPr>
      <w:r>
        <w:rPr>
          <w:color w:val="172236"/>
          <w:sz w:val="18"/>
        </w:rPr>
        <w:t>Streaming updates.</w:t>
      </w:r>
    </w:p>
    <w:p>
      <w:pPr>
        <w:pStyle w:val="ListBullet"/>
        <w:numPr>
          <w:ilvl w:val="0"/>
          <w:numId w:val="1"/>
        </w:numPr>
        <w:rPr/>
      </w:pPr>
      <w:r>
        <w:rPr>
          <w:color w:val="172236"/>
          <w:sz w:val="18"/>
        </w:rPr>
        <w:t>Compound conditions.</w:t>
      </w:r>
    </w:p>
    <w:p>
      <w:pPr>
        <w:pStyle w:val="ListBullet"/>
        <w:numPr>
          <w:ilvl w:val="0"/>
          <w:numId w:val="1"/>
        </w:numPr>
        <w:rPr/>
      </w:pPr>
      <w:r>
        <w:rPr>
          <w:color w:val="172236"/>
          <w:sz w:val="18"/>
        </w:rPr>
        <w:t>Explainable scoring.</w:t>
      </w:r>
    </w:p>
    <w:p>
      <w:pPr>
        <w:pStyle w:val="ListBullet"/>
        <w:numPr>
          <w:ilvl w:val="0"/>
          <w:numId w:val="1"/>
        </w:numPr>
        <w:rPr/>
      </w:pPr>
      <w:r>
        <w:rPr>
          <w:color w:val="172236"/>
          <w:sz w:val="18"/>
        </w:rPr>
        <w:t>Preview counts.</w:t>
      </w:r>
    </w:p>
    <w:p>
      <w:pPr>
        <w:pStyle w:val="ListBullet"/>
        <w:numPr>
          <w:ilvl w:val="0"/>
          <w:numId w:val="1"/>
        </w:numPr>
        <w:rPr/>
      </w:pPr>
      <w:r>
        <w:rPr>
          <w:color w:val="172236"/>
          <w:sz w:val="18"/>
        </w:rPr>
        <w:t>Historical hit rate.</w:t>
      </w:r>
    </w:p>
    <w:p>
      <w:pPr>
        <w:pStyle w:val="ListBullet"/>
        <w:numPr>
          <w:ilvl w:val="0"/>
          <w:numId w:val="1"/>
        </w:numPr>
        <w:rPr/>
      </w:pPr>
      <w:r>
        <w:rPr>
          <w:color w:val="172236"/>
          <w:sz w:val="18"/>
        </w:rPr>
        <w:t>Alert conversion.</w:t>
      </w:r>
    </w:p>
    <w:p>
      <w:pPr>
        <w:pStyle w:val="ListBullet"/>
        <w:numPr>
          <w:ilvl w:val="0"/>
          <w:numId w:val="1"/>
        </w:numPr>
        <w:rPr/>
      </w:pPr>
      <w:r>
        <w:rPr>
          <w:color w:val="172236"/>
          <w:sz w:val="18"/>
        </w:rPr>
        <w:t>Export.</w:t>
      </w:r>
    </w:p>
    <w:p>
      <w:pPr>
        <w:pStyle w:val="ListBullet"/>
        <w:numPr>
          <w:ilvl w:val="0"/>
          <w:numId w:val="1"/>
        </w:numPr>
        <w:rPr/>
      </w:pPr>
      <w:r>
        <w:rPr>
          <w:color w:val="172236"/>
          <w:sz w:val="18"/>
        </w:rPr>
        <w:t>Strategy handoff.</w:t>
      </w:r>
    </w:p>
    <w:p>
      <w:pPr>
        <w:pStyle w:val="Normal"/>
        <w:rPr/>
      </w:pPr>
      <w:r>
        <w:rPr>
          <w:color w:val="172236"/>
          <w:sz w:val="19"/>
        </w:rPr>
        <w:t>Condition groups:</w:t>
      </w:r>
    </w:p>
    <w:p>
      <w:pPr>
        <w:pStyle w:val="ListBullet"/>
        <w:numPr>
          <w:ilvl w:val="0"/>
          <w:numId w:val="1"/>
        </w:numPr>
        <w:rPr/>
      </w:pPr>
      <w:r>
        <w:rPr>
          <w:color w:val="172236"/>
          <w:sz w:val="18"/>
        </w:rPr>
        <w:t>Price/return.</w:t>
      </w:r>
    </w:p>
    <w:p>
      <w:pPr>
        <w:pStyle w:val="ListBullet"/>
        <w:numPr>
          <w:ilvl w:val="0"/>
          <w:numId w:val="1"/>
        </w:numPr>
        <w:rPr/>
      </w:pPr>
      <w:r>
        <w:rPr>
          <w:color w:val="172236"/>
          <w:sz w:val="18"/>
        </w:rPr>
        <w:t>Volume and relative volume.</w:t>
      </w:r>
    </w:p>
    <w:p>
      <w:pPr>
        <w:pStyle w:val="ListBullet"/>
        <w:numPr>
          <w:ilvl w:val="0"/>
          <w:numId w:val="1"/>
        </w:numPr>
        <w:rPr/>
      </w:pPr>
      <w:r>
        <w:rPr>
          <w:color w:val="172236"/>
          <w:sz w:val="18"/>
        </w:rPr>
        <w:t>Volatility.</w:t>
      </w:r>
    </w:p>
    <w:p>
      <w:pPr>
        <w:pStyle w:val="ListBullet"/>
        <w:numPr>
          <w:ilvl w:val="0"/>
          <w:numId w:val="1"/>
        </w:numPr>
        <w:rPr/>
      </w:pPr>
      <w:r>
        <w:rPr>
          <w:color w:val="172236"/>
          <w:sz w:val="18"/>
        </w:rPr>
        <w:t>Technical indicators.</w:t>
      </w:r>
    </w:p>
    <w:p>
      <w:pPr>
        <w:pStyle w:val="ListBullet"/>
        <w:numPr>
          <w:ilvl w:val="0"/>
          <w:numId w:val="1"/>
        </w:numPr>
        <w:rPr/>
      </w:pPr>
      <w:r>
        <w:rPr>
          <w:color w:val="172236"/>
          <w:sz w:val="18"/>
        </w:rPr>
        <w:t>Fundamental metrics.</w:t>
      </w:r>
    </w:p>
    <w:p>
      <w:pPr>
        <w:pStyle w:val="ListBullet"/>
        <w:numPr>
          <w:ilvl w:val="0"/>
          <w:numId w:val="1"/>
        </w:numPr>
        <w:rPr/>
      </w:pPr>
      <w:r>
        <w:rPr>
          <w:color w:val="172236"/>
          <w:sz w:val="18"/>
        </w:rPr>
        <w:t>Filing activity.</w:t>
      </w:r>
    </w:p>
    <w:p>
      <w:pPr>
        <w:pStyle w:val="ListBullet"/>
        <w:numPr>
          <w:ilvl w:val="0"/>
          <w:numId w:val="1"/>
        </w:numPr>
        <w:rPr/>
      </w:pPr>
      <w:r>
        <w:rPr>
          <w:color w:val="172236"/>
          <w:sz w:val="18"/>
        </w:rPr>
        <w:t>Institutional activity.</w:t>
      </w:r>
    </w:p>
    <w:p>
      <w:pPr>
        <w:pStyle w:val="ListBullet"/>
        <w:numPr>
          <w:ilvl w:val="0"/>
          <w:numId w:val="1"/>
        </w:numPr>
        <w:rPr/>
      </w:pPr>
      <w:r>
        <w:rPr>
          <w:color w:val="172236"/>
          <w:sz w:val="18"/>
        </w:rPr>
        <w:t>Options activity.</w:t>
      </w:r>
    </w:p>
    <w:p>
      <w:pPr>
        <w:pStyle w:val="ListBullet"/>
        <w:numPr>
          <w:ilvl w:val="0"/>
          <w:numId w:val="1"/>
        </w:numPr>
        <w:rPr/>
      </w:pPr>
      <w:r>
        <w:rPr>
          <w:color w:val="172236"/>
          <w:sz w:val="18"/>
        </w:rPr>
        <w:t>Event proximity.</w:t>
      </w:r>
    </w:p>
    <w:p>
      <w:pPr>
        <w:pStyle w:val="ListBullet"/>
        <w:numPr>
          <w:ilvl w:val="0"/>
          <w:numId w:val="1"/>
        </w:numPr>
        <w:rPr/>
      </w:pPr>
      <w:r>
        <w:rPr>
          <w:color w:val="172236"/>
          <w:sz w:val="18"/>
        </w:rPr>
        <w:t>Market regime.</w:t>
      </w:r>
    </w:p>
    <w:p>
      <w:pPr>
        <w:pStyle w:val="ListBullet"/>
        <w:numPr>
          <w:ilvl w:val="0"/>
          <w:numId w:val="1"/>
        </w:numPr>
        <w:rPr/>
      </w:pPr>
      <w:r>
        <w:rPr>
          <w:color w:val="172236"/>
          <w:sz w:val="18"/>
        </w:rPr>
        <w:t>Crypto category/exchange metrics.</w:t>
      </w:r>
    </w:p>
    <w:p>
      <w:pPr>
        <w:pStyle w:val="ListBullet"/>
        <w:numPr>
          <w:ilvl w:val="0"/>
          <w:numId w:val="1"/>
        </w:numPr>
        <w:rPr/>
      </w:pPr>
      <w:r>
        <w:rPr>
          <w:color w:val="172236"/>
          <w:sz w:val="18"/>
        </w:rPr>
        <w:t>User-defined factors.</w:t>
      </w:r>
    </w:p>
    <w:p>
      <w:pPr>
        <w:pStyle w:val="Heading2"/>
        <w:pBdr>
          <w:left w:val="single" w:sz="14" w:space="4" w:color="8B5CF6"/>
        </w:pBdr>
        <w:rPr/>
      </w:pPr>
      <w:bookmarkStart w:id="56" w:name="__RefHeading___Toc6832_2150751134"/>
      <w:bookmarkEnd w:id="56"/>
      <w:r>
        <w:rPr>
          <w:rFonts w:ascii="Lato" w:hAnsi="Lato"/>
          <w:color w:val="172236"/>
          <w:sz w:val="29"/>
        </w:rPr>
        <w:t>8.5 Event and Catalyst Engine</w:t>
      </w:r>
    </w:p>
    <w:p>
      <w:pPr>
        <w:pStyle w:val="Normal"/>
        <w:rPr/>
      </w:pPr>
      <w:r>
        <w:rPr>
          <w:color w:val="172236"/>
          <w:sz w:val="19"/>
        </w:rPr>
        <w:t>The event engine normalizes all relevant events into a common schema.</w:t>
      </w:r>
    </w:p>
    <w:p>
      <w:pPr>
        <w:pStyle w:val="Normal"/>
        <w:rPr/>
      </w:pPr>
      <w:r>
        <w:rPr>
          <w:color w:val="172236"/>
          <w:sz w:val="19"/>
        </w:rPr>
        <w:t>Examples:</w:t>
      </w:r>
    </w:p>
    <w:p>
      <w:pPr>
        <w:pStyle w:val="ListBullet"/>
        <w:numPr>
          <w:ilvl w:val="0"/>
          <w:numId w:val="1"/>
        </w:numPr>
        <w:rPr/>
      </w:pPr>
      <w:r>
        <w:rPr>
          <w:color w:val="172236"/>
          <w:sz w:val="18"/>
        </w:rPr>
        <w:t>Earnings.</w:t>
      </w:r>
    </w:p>
    <w:p>
      <w:pPr>
        <w:pStyle w:val="ListBullet"/>
        <w:numPr>
          <w:ilvl w:val="0"/>
          <w:numId w:val="1"/>
        </w:numPr>
        <w:rPr/>
      </w:pPr>
      <w:r>
        <w:rPr>
          <w:color w:val="172236"/>
          <w:sz w:val="18"/>
        </w:rPr>
        <w:t>Guidance.</w:t>
      </w:r>
    </w:p>
    <w:p>
      <w:pPr>
        <w:pStyle w:val="ListBullet"/>
        <w:numPr>
          <w:ilvl w:val="0"/>
          <w:numId w:val="1"/>
        </w:numPr>
        <w:rPr/>
      </w:pPr>
      <w:r>
        <w:rPr>
          <w:color w:val="172236"/>
          <w:sz w:val="18"/>
        </w:rPr>
        <w:t>SEC filing.</w:t>
      </w:r>
    </w:p>
    <w:p>
      <w:pPr>
        <w:pStyle w:val="ListBullet"/>
        <w:numPr>
          <w:ilvl w:val="0"/>
          <w:numId w:val="1"/>
        </w:numPr>
        <w:rPr/>
      </w:pPr>
      <w:r>
        <w:rPr>
          <w:color w:val="172236"/>
          <w:sz w:val="18"/>
        </w:rPr>
        <w:t>Insider transaction.</w:t>
      </w:r>
    </w:p>
    <w:p>
      <w:pPr>
        <w:pStyle w:val="ListBullet"/>
        <w:numPr>
          <w:ilvl w:val="0"/>
          <w:numId w:val="1"/>
        </w:numPr>
        <w:rPr/>
      </w:pPr>
      <w:r>
        <w:rPr>
          <w:color w:val="172236"/>
          <w:sz w:val="18"/>
        </w:rPr>
        <w:t>Ownership disclosure.</w:t>
      </w:r>
    </w:p>
    <w:p>
      <w:pPr>
        <w:pStyle w:val="ListBullet"/>
        <w:numPr>
          <w:ilvl w:val="0"/>
          <w:numId w:val="1"/>
        </w:numPr>
        <w:rPr/>
      </w:pPr>
      <w:r>
        <w:rPr>
          <w:color w:val="172236"/>
          <w:sz w:val="18"/>
        </w:rPr>
        <w:t>CFTC report.</w:t>
      </w:r>
    </w:p>
    <w:p>
      <w:pPr>
        <w:pStyle w:val="ListBullet"/>
        <w:numPr>
          <w:ilvl w:val="0"/>
          <w:numId w:val="1"/>
        </w:numPr>
        <w:rPr/>
      </w:pPr>
      <w:r>
        <w:rPr>
          <w:color w:val="172236"/>
          <w:sz w:val="18"/>
        </w:rPr>
        <w:t>Federal Reserve decision.</w:t>
      </w:r>
    </w:p>
    <w:p>
      <w:pPr>
        <w:pStyle w:val="ListBullet"/>
        <w:numPr>
          <w:ilvl w:val="0"/>
          <w:numId w:val="1"/>
        </w:numPr>
        <w:rPr/>
      </w:pPr>
      <w:r>
        <w:rPr>
          <w:color w:val="172236"/>
          <w:sz w:val="18"/>
        </w:rPr>
        <w:t>Inflation and employment release.</w:t>
      </w:r>
    </w:p>
    <w:p>
      <w:pPr>
        <w:pStyle w:val="ListBullet"/>
        <w:numPr>
          <w:ilvl w:val="0"/>
          <w:numId w:val="1"/>
        </w:numPr>
        <w:rPr/>
      </w:pPr>
      <w:r>
        <w:rPr>
          <w:color w:val="172236"/>
          <w:sz w:val="18"/>
        </w:rPr>
        <w:t>FDA or regulatory event.</w:t>
      </w:r>
    </w:p>
    <w:p>
      <w:pPr>
        <w:pStyle w:val="ListBullet"/>
        <w:numPr>
          <w:ilvl w:val="0"/>
          <w:numId w:val="1"/>
        </w:numPr>
        <w:rPr/>
      </w:pPr>
      <w:r>
        <w:rPr>
          <w:color w:val="172236"/>
          <w:sz w:val="18"/>
        </w:rPr>
        <w:t>Merger or acquisition.</w:t>
      </w:r>
    </w:p>
    <w:p>
      <w:pPr>
        <w:pStyle w:val="ListBullet"/>
        <w:numPr>
          <w:ilvl w:val="0"/>
          <w:numId w:val="1"/>
        </w:numPr>
        <w:rPr/>
      </w:pPr>
      <w:r>
        <w:rPr>
          <w:color w:val="172236"/>
          <w:sz w:val="18"/>
        </w:rPr>
        <w:t>Product event.</w:t>
      </w:r>
    </w:p>
    <w:p>
      <w:pPr>
        <w:pStyle w:val="ListBullet"/>
        <w:numPr>
          <w:ilvl w:val="0"/>
          <w:numId w:val="1"/>
        </w:numPr>
        <w:rPr/>
      </w:pPr>
      <w:r>
        <w:rPr>
          <w:color w:val="172236"/>
          <w:sz w:val="18"/>
        </w:rPr>
        <w:t>Dividend.</w:t>
      </w:r>
    </w:p>
    <w:p>
      <w:pPr>
        <w:pStyle w:val="ListBullet"/>
        <w:numPr>
          <w:ilvl w:val="0"/>
          <w:numId w:val="1"/>
        </w:numPr>
        <w:rPr/>
      </w:pPr>
      <w:r>
        <w:rPr>
          <w:color w:val="172236"/>
          <w:sz w:val="18"/>
        </w:rPr>
        <w:t>Split.</w:t>
      </w:r>
    </w:p>
    <w:p>
      <w:pPr>
        <w:pStyle w:val="ListBullet"/>
        <w:numPr>
          <w:ilvl w:val="0"/>
          <w:numId w:val="1"/>
        </w:numPr>
        <w:rPr/>
      </w:pPr>
      <w:r>
        <w:rPr>
          <w:color w:val="172236"/>
          <w:sz w:val="18"/>
        </w:rPr>
        <w:t>Options expiration.</w:t>
      </w:r>
    </w:p>
    <w:p>
      <w:pPr>
        <w:pStyle w:val="ListBullet"/>
        <w:numPr>
          <w:ilvl w:val="0"/>
          <w:numId w:val="1"/>
        </w:numPr>
        <w:rPr/>
      </w:pPr>
      <w:r>
        <w:rPr>
          <w:color w:val="172236"/>
          <w:sz w:val="18"/>
        </w:rPr>
        <w:t>Token unlock.</w:t>
      </w:r>
    </w:p>
    <w:p>
      <w:pPr>
        <w:pStyle w:val="ListBullet"/>
        <w:numPr>
          <w:ilvl w:val="0"/>
          <w:numId w:val="1"/>
        </w:numPr>
        <w:rPr/>
      </w:pPr>
      <w:r>
        <w:rPr>
          <w:color w:val="172236"/>
          <w:sz w:val="18"/>
        </w:rPr>
        <w:t>Network upgrade.</w:t>
      </w:r>
    </w:p>
    <w:p>
      <w:pPr>
        <w:pStyle w:val="ListBullet"/>
        <w:numPr>
          <w:ilvl w:val="0"/>
          <w:numId w:val="1"/>
        </w:numPr>
        <w:rPr/>
      </w:pPr>
      <w:r>
        <w:rPr>
          <w:color w:val="172236"/>
          <w:sz w:val="18"/>
        </w:rPr>
        <w:t>Exchange listing/delisting.</w:t>
      </w:r>
    </w:p>
    <w:p>
      <w:pPr>
        <w:pStyle w:val="ListBullet"/>
        <w:numPr>
          <w:ilvl w:val="0"/>
          <w:numId w:val="1"/>
        </w:numPr>
        <w:rPr/>
      </w:pPr>
      <w:r>
        <w:rPr>
          <w:color w:val="172236"/>
          <w:sz w:val="18"/>
        </w:rPr>
        <w:t>Governance vote.</w:t>
      </w:r>
    </w:p>
    <w:p>
      <w:pPr>
        <w:pStyle w:val="Normal"/>
        <w:rPr/>
      </w:pPr>
      <w:r>
        <w:rPr>
          <w:color w:val="172236"/>
          <w:sz w:val="19"/>
        </w:rPr>
        <w:t>Every event SHOULD have:</w:t>
      </w:r>
    </w:p>
    <w:p>
      <w:pPr>
        <w:pStyle w:val="Normal"/>
        <w:keepNext w:val="true"/>
        <w:pBdr>
          <w:left w:val="single" w:sz="18" w:space="4" w:color="8B5CF6"/>
        </w:pBdr>
        <w:shd w:fill="0D1C32"/>
        <w:spacing w:before="120" w:after="0"/>
        <w:rPr/>
      </w:pPr>
      <w:r>
        <w:rPr>
          <w:rFonts w:ascii="Inter Display" w:hAnsi="Inter Display"/>
          <w:b/>
          <w:color w:val="33C7F2"/>
          <w:sz w:val="14"/>
        </w:rPr>
        <w:t>TEXT</w:t>
      </w:r>
    </w:p>
    <w:p>
      <w:pPr>
        <w:pStyle w:val="CodeBlock"/>
        <w:keepLines/>
        <w:pBdr>
          <w:left w:val="single" w:sz="18" w:space="4" w:color="8B5CF6"/>
        </w:pBdr>
        <w:shd w:fill="0D1C32"/>
        <w:spacing w:lineRule="auto" w:line="240" w:before="0" w:after="140"/>
        <w:rPr/>
      </w:pPr>
      <w:r>
        <w:rPr>
          <w:color w:val="D9E5F5"/>
          <w:sz w:val="14"/>
        </w:rPr>
        <w:t>event_id</w:t>
        <w:br/>
        <w:t>event_type</w:t>
        <w:br/>
        <w:t>source</w:t>
        <w:br/>
        <w:t>source_reference</w:t>
        <w:br/>
        <w:t>entities</w:t>
        <w:br/>
        <w:t>symbols</w:t>
        <w:br/>
        <w:t>scheduled_at</w:t>
        <w:br/>
        <w:t>observed_at</w:t>
        <w:br/>
        <w:t>effective_at</w:t>
        <w:br/>
        <w:t>severity</w:t>
        <w:br/>
        <w:t>confidence</w:t>
        <w:br/>
        <w:t>expected_impact_window</w:t>
        <w:br/>
        <w:t>historical_impact_distribution</w:t>
        <w:br/>
        <w:t>user_exposure</w:t>
        <w:br/>
        <w:t>freshness</w:t>
        <w:br/>
        <w:t>raw_document_hash</w:t>
        <w:br/>
        <w:t>parser_version</w:t>
      </w:r>
    </w:p>
    <w:p>
      <w:pPr>
        <w:pStyle w:val="Normal"/>
        <w:rPr/>
      </w:pPr>
      <w:r>
        <w:rPr>
          <w:color w:val="172236"/>
          <w:sz w:val="19"/>
        </w:rPr>
        <w:t>The event engine MUST support revisions and corrections without overwriting prior facts.</w:t>
      </w:r>
    </w:p>
    <w:p>
      <w:pPr>
        <w:pStyle w:val="Heading2"/>
        <w:pBdr>
          <w:left w:val="single" w:sz="14" w:space="4" w:color="8B5CF6"/>
        </w:pBdr>
        <w:rPr/>
      </w:pPr>
      <w:bookmarkStart w:id="57" w:name="__RefHeading___Toc6834_2150751134"/>
      <w:bookmarkEnd w:id="57"/>
      <w:r>
        <w:rPr>
          <w:rFonts w:ascii="Lato" w:hAnsi="Lato"/>
          <w:color w:val="172236"/>
          <w:sz w:val="29"/>
        </w:rPr>
        <w:t>8.6 Opportunity Card</w:t>
      </w:r>
    </w:p>
    <w:p>
      <w:pPr>
        <w:pStyle w:val="Normal"/>
        <w:rPr/>
      </w:pPr>
      <w:r>
        <w:rPr>
          <w:color w:val="172236"/>
          <w:sz w:val="19"/>
        </w:rPr>
        <w:t>An opportunity is not a trade instruction. It is a ranked hypothesis.</w:t>
      </w:r>
    </w:p>
    <w:p>
      <w:pPr>
        <w:pStyle w:val="Normal"/>
        <w:rPr/>
      </w:pPr>
      <w:r>
        <w:rPr>
          <w:color w:val="172236"/>
          <w:sz w:val="19"/>
        </w:rPr>
        <w:t>Recommended fields:</w:t>
      </w:r>
    </w:p>
    <w:p>
      <w:pPr>
        <w:pStyle w:val="ListBullet"/>
        <w:numPr>
          <w:ilvl w:val="0"/>
          <w:numId w:val="1"/>
        </w:numPr>
        <w:rPr/>
      </w:pPr>
      <w:r>
        <w:rPr>
          <w:color w:val="172236"/>
          <w:sz w:val="18"/>
        </w:rPr>
        <w:t>Asset and direction.</w:t>
      </w:r>
    </w:p>
    <w:p>
      <w:pPr>
        <w:pStyle w:val="ListBullet"/>
        <w:numPr>
          <w:ilvl w:val="0"/>
          <w:numId w:val="1"/>
        </w:numPr>
        <w:rPr/>
      </w:pPr>
      <w:r>
        <w:rPr>
          <w:color w:val="172236"/>
          <w:sz w:val="18"/>
        </w:rPr>
        <w:t>Suggested expression.</w:t>
      </w:r>
    </w:p>
    <w:p>
      <w:pPr>
        <w:pStyle w:val="ListBullet"/>
        <w:numPr>
          <w:ilvl w:val="0"/>
          <w:numId w:val="1"/>
        </w:numPr>
        <w:rPr/>
      </w:pPr>
      <w:r>
        <w:rPr>
          <w:color w:val="172236"/>
          <w:sz w:val="18"/>
        </w:rPr>
        <w:t>Opportunity score.</w:t>
      </w:r>
    </w:p>
    <w:p>
      <w:pPr>
        <w:pStyle w:val="ListBullet"/>
        <w:numPr>
          <w:ilvl w:val="0"/>
          <w:numId w:val="1"/>
        </w:numPr>
        <w:rPr/>
      </w:pPr>
      <w:r>
        <w:rPr>
          <w:color w:val="172236"/>
          <w:sz w:val="18"/>
        </w:rPr>
        <w:t>Expected-value estimate.</w:t>
      </w:r>
    </w:p>
    <w:p>
      <w:pPr>
        <w:pStyle w:val="ListBullet"/>
        <w:numPr>
          <w:ilvl w:val="0"/>
          <w:numId w:val="1"/>
        </w:numPr>
        <w:rPr/>
      </w:pPr>
      <w:r>
        <w:rPr>
          <w:color w:val="172236"/>
          <w:sz w:val="18"/>
        </w:rPr>
        <w:t>Confidence interval.</w:t>
      </w:r>
    </w:p>
    <w:p>
      <w:pPr>
        <w:pStyle w:val="ListBullet"/>
        <w:numPr>
          <w:ilvl w:val="0"/>
          <w:numId w:val="1"/>
        </w:numPr>
        <w:rPr/>
      </w:pPr>
      <w:r>
        <w:rPr>
          <w:color w:val="172236"/>
          <w:sz w:val="18"/>
        </w:rPr>
        <w:t>Time horizon.</w:t>
      </w:r>
    </w:p>
    <w:p>
      <w:pPr>
        <w:pStyle w:val="ListBullet"/>
        <w:numPr>
          <w:ilvl w:val="0"/>
          <w:numId w:val="1"/>
        </w:numPr>
        <w:rPr/>
      </w:pPr>
      <w:r>
        <w:rPr>
          <w:color w:val="172236"/>
          <w:sz w:val="18"/>
        </w:rPr>
        <w:t>Catalyst.</w:t>
      </w:r>
    </w:p>
    <w:p>
      <w:pPr>
        <w:pStyle w:val="ListBullet"/>
        <w:numPr>
          <w:ilvl w:val="0"/>
          <w:numId w:val="1"/>
        </w:numPr>
        <w:rPr/>
      </w:pPr>
      <w:r>
        <w:rPr>
          <w:color w:val="172236"/>
          <w:sz w:val="18"/>
        </w:rPr>
        <w:t>Evidence summary.</w:t>
      </w:r>
    </w:p>
    <w:p>
      <w:pPr>
        <w:pStyle w:val="ListBullet"/>
        <w:numPr>
          <w:ilvl w:val="0"/>
          <w:numId w:val="1"/>
        </w:numPr>
        <w:rPr/>
      </w:pPr>
      <w:r>
        <w:rPr>
          <w:color w:val="172236"/>
          <w:sz w:val="18"/>
        </w:rPr>
        <w:t>Contradicting evidence.</w:t>
      </w:r>
    </w:p>
    <w:p>
      <w:pPr>
        <w:pStyle w:val="ListBullet"/>
        <w:numPr>
          <w:ilvl w:val="0"/>
          <w:numId w:val="1"/>
        </w:numPr>
        <w:rPr/>
      </w:pPr>
      <w:r>
        <w:rPr>
          <w:color w:val="172236"/>
          <w:sz w:val="18"/>
        </w:rPr>
        <w:t>Liquidity score.</w:t>
      </w:r>
    </w:p>
    <w:p>
      <w:pPr>
        <w:pStyle w:val="ListBullet"/>
        <w:numPr>
          <w:ilvl w:val="0"/>
          <w:numId w:val="1"/>
        </w:numPr>
        <w:rPr/>
      </w:pPr>
      <w:r>
        <w:rPr>
          <w:color w:val="172236"/>
          <w:sz w:val="18"/>
        </w:rPr>
        <w:t>Volatility state.</w:t>
      </w:r>
    </w:p>
    <w:p>
      <w:pPr>
        <w:pStyle w:val="ListBullet"/>
        <w:numPr>
          <w:ilvl w:val="0"/>
          <w:numId w:val="1"/>
        </w:numPr>
        <w:rPr/>
      </w:pPr>
      <w:r>
        <w:rPr>
          <w:color w:val="172236"/>
          <w:sz w:val="18"/>
        </w:rPr>
        <w:t>Risk and invalidation.</w:t>
      </w:r>
    </w:p>
    <w:p>
      <w:pPr>
        <w:pStyle w:val="ListBullet"/>
        <w:numPr>
          <w:ilvl w:val="0"/>
          <w:numId w:val="1"/>
        </w:numPr>
        <w:rPr/>
      </w:pPr>
      <w:r>
        <w:rPr>
          <w:color w:val="172236"/>
          <w:sz w:val="18"/>
        </w:rPr>
        <w:t>Similar historical samples.</w:t>
      </w:r>
    </w:p>
    <w:p>
      <w:pPr>
        <w:pStyle w:val="ListBullet"/>
        <w:numPr>
          <w:ilvl w:val="0"/>
          <w:numId w:val="1"/>
        </w:numPr>
        <w:rPr/>
      </w:pPr>
      <w:r>
        <w:rPr>
          <w:color w:val="172236"/>
          <w:sz w:val="18"/>
        </w:rPr>
        <w:t>Backtest status.</w:t>
      </w:r>
    </w:p>
    <w:p>
      <w:pPr>
        <w:pStyle w:val="ListBullet"/>
        <w:numPr>
          <w:ilvl w:val="0"/>
          <w:numId w:val="1"/>
        </w:numPr>
        <w:rPr/>
      </w:pPr>
      <w:r>
        <w:rPr>
          <w:color w:val="172236"/>
          <w:sz w:val="18"/>
        </w:rPr>
        <w:t>Simulation status.</w:t>
      </w:r>
    </w:p>
    <w:p>
      <w:pPr>
        <w:pStyle w:val="ListBullet"/>
        <w:numPr>
          <w:ilvl w:val="0"/>
          <w:numId w:val="1"/>
        </w:numPr>
        <w:rPr/>
      </w:pPr>
      <w:r>
        <w:rPr>
          <w:color w:val="172236"/>
          <w:sz w:val="18"/>
        </w:rPr>
        <w:t>Data freshness.</w:t>
      </w:r>
    </w:p>
    <w:p>
      <w:pPr>
        <w:pStyle w:val="ListBullet"/>
        <w:numPr>
          <w:ilvl w:val="0"/>
          <w:numId w:val="1"/>
        </w:numPr>
        <w:rPr/>
      </w:pPr>
      <w:r>
        <w:rPr>
          <w:color w:val="172236"/>
          <w:sz w:val="18"/>
        </w:rPr>
        <w:t>Model/rule version.</w:t>
      </w:r>
    </w:p>
    <w:p>
      <w:pPr>
        <w:pStyle w:val="ListBullet"/>
        <w:numPr>
          <w:ilvl w:val="0"/>
          <w:numId w:val="1"/>
        </w:numPr>
        <w:rPr/>
      </w:pPr>
      <w:r>
        <w:rPr>
          <w:color w:val="172236"/>
          <w:sz w:val="18"/>
        </w:rPr>
        <w:t>“</w:t>
      </w:r>
      <w:r>
        <w:rPr>
          <w:color w:val="172236"/>
          <w:sz w:val="18"/>
        </w:rPr>
        <w:t>Why shown to me.”</w:t>
      </w:r>
    </w:p>
    <w:p>
      <w:pPr>
        <w:pStyle w:val="ListBullet"/>
        <w:numPr>
          <w:ilvl w:val="0"/>
          <w:numId w:val="1"/>
        </w:numPr>
        <w:rPr/>
      </w:pPr>
      <w:r>
        <w:rPr>
          <w:color w:val="172236"/>
          <w:sz w:val="18"/>
        </w:rPr>
        <w:t>“</w:t>
      </w:r>
      <w:r>
        <w:rPr>
          <w:color w:val="172236"/>
          <w:sz w:val="18"/>
        </w:rPr>
        <w:t>What would change this score.”</w:t>
      </w:r>
    </w:p>
    <w:p>
      <w:pPr>
        <w:pStyle w:val="Heading2"/>
        <w:pBdr>
          <w:left w:val="single" w:sz="14" w:space="4" w:color="8B5CF6"/>
        </w:pBdr>
        <w:rPr/>
      </w:pPr>
      <w:bookmarkStart w:id="58" w:name="__RefHeading___Toc6836_2150751134"/>
      <w:bookmarkEnd w:id="58"/>
      <w:r>
        <w:rPr>
          <w:rFonts w:ascii="Lato" w:hAnsi="Lato"/>
          <w:color w:val="172236"/>
          <w:sz w:val="29"/>
        </w:rPr>
        <w:t>8.7 Historical Analog Engine</w:t>
      </w:r>
    </w:p>
    <w:p>
      <w:pPr>
        <w:pStyle w:val="Normal"/>
        <w:rPr/>
      </w:pPr>
      <w:r>
        <w:rPr>
          <w:color w:val="172236"/>
          <w:sz w:val="19"/>
        </w:rPr>
        <w:t>The analog engine finds prior periods with similar:</w:t>
      </w:r>
    </w:p>
    <w:p>
      <w:pPr>
        <w:pStyle w:val="ListBullet"/>
        <w:numPr>
          <w:ilvl w:val="0"/>
          <w:numId w:val="1"/>
        </w:numPr>
        <w:rPr/>
      </w:pPr>
      <w:r>
        <w:rPr>
          <w:color w:val="172236"/>
          <w:sz w:val="18"/>
        </w:rPr>
        <w:t>Trend.</w:t>
      </w:r>
    </w:p>
    <w:p>
      <w:pPr>
        <w:pStyle w:val="ListBullet"/>
        <w:numPr>
          <w:ilvl w:val="0"/>
          <w:numId w:val="1"/>
        </w:numPr>
        <w:rPr/>
      </w:pPr>
      <w:r>
        <w:rPr>
          <w:color w:val="172236"/>
          <w:sz w:val="18"/>
        </w:rPr>
        <w:t>Volatility.</w:t>
      </w:r>
    </w:p>
    <w:p>
      <w:pPr>
        <w:pStyle w:val="ListBullet"/>
        <w:numPr>
          <w:ilvl w:val="0"/>
          <w:numId w:val="1"/>
        </w:numPr>
        <w:rPr/>
      </w:pPr>
      <w:r>
        <w:rPr>
          <w:color w:val="172236"/>
          <w:sz w:val="18"/>
        </w:rPr>
        <w:t>Breadth.</w:t>
      </w:r>
    </w:p>
    <w:p>
      <w:pPr>
        <w:pStyle w:val="ListBullet"/>
        <w:numPr>
          <w:ilvl w:val="0"/>
          <w:numId w:val="1"/>
        </w:numPr>
        <w:rPr/>
      </w:pPr>
      <w:r>
        <w:rPr>
          <w:color w:val="172236"/>
          <w:sz w:val="18"/>
        </w:rPr>
        <w:t>Macro state.</w:t>
      </w:r>
    </w:p>
    <w:p>
      <w:pPr>
        <w:pStyle w:val="ListBullet"/>
        <w:numPr>
          <w:ilvl w:val="0"/>
          <w:numId w:val="1"/>
        </w:numPr>
        <w:rPr/>
      </w:pPr>
      <w:r>
        <w:rPr>
          <w:color w:val="172236"/>
          <w:sz w:val="18"/>
        </w:rPr>
        <w:t>Options state.</w:t>
      </w:r>
    </w:p>
    <w:p>
      <w:pPr>
        <w:pStyle w:val="ListBullet"/>
        <w:numPr>
          <w:ilvl w:val="0"/>
          <w:numId w:val="1"/>
        </w:numPr>
        <w:rPr/>
      </w:pPr>
      <w:r>
        <w:rPr>
          <w:color w:val="172236"/>
          <w:sz w:val="18"/>
        </w:rPr>
        <w:t>Event type.</w:t>
      </w:r>
    </w:p>
    <w:p>
      <w:pPr>
        <w:pStyle w:val="ListBullet"/>
        <w:numPr>
          <w:ilvl w:val="0"/>
          <w:numId w:val="1"/>
        </w:numPr>
        <w:rPr/>
      </w:pPr>
      <w:r>
        <w:rPr>
          <w:color w:val="172236"/>
          <w:sz w:val="18"/>
        </w:rPr>
        <w:t>Institutional positioning.</w:t>
      </w:r>
    </w:p>
    <w:p>
      <w:pPr>
        <w:pStyle w:val="ListBullet"/>
        <w:numPr>
          <w:ilvl w:val="0"/>
          <w:numId w:val="1"/>
        </w:numPr>
        <w:rPr/>
      </w:pPr>
      <w:r>
        <w:rPr>
          <w:color w:val="172236"/>
          <w:sz w:val="18"/>
        </w:rPr>
        <w:t>Cross-asset correlations.</w:t>
      </w:r>
    </w:p>
    <w:p>
      <w:pPr>
        <w:pStyle w:val="Normal"/>
        <w:rPr/>
      </w:pPr>
      <w:r>
        <w:rPr>
          <w:color w:val="172236"/>
          <w:sz w:val="19"/>
        </w:rPr>
        <w:t>It MUST expose the distance metric and avoid presenting a small or biased sample as authoritative.</w:t>
      </w:r>
    </w:p>
    <w:p>
      <w:pPr>
        <w:pStyle w:val="Heading2"/>
        <w:pBdr>
          <w:left w:val="single" w:sz="14" w:space="4" w:color="8B5CF6"/>
        </w:pBdr>
        <w:rPr/>
      </w:pPr>
      <w:bookmarkStart w:id="59" w:name="__RefHeading___Toc6838_2150751134"/>
      <w:bookmarkEnd w:id="59"/>
      <w:r>
        <w:rPr>
          <w:rFonts w:ascii="Lato" w:hAnsi="Lato"/>
          <w:color w:val="172236"/>
          <w:sz w:val="29"/>
        </w:rPr>
        <w:t>8.8 Alerting</w:t>
      </w:r>
    </w:p>
    <w:p>
      <w:pPr>
        <w:pStyle w:val="Normal"/>
        <w:rPr/>
      </w:pPr>
      <w:r>
        <w:rPr>
          <w:color w:val="172236"/>
          <w:sz w:val="19"/>
        </w:rPr>
        <w:t>Alerts can target:</w:t>
      </w:r>
    </w:p>
    <w:p>
      <w:pPr>
        <w:pStyle w:val="ListBullet"/>
        <w:numPr>
          <w:ilvl w:val="0"/>
          <w:numId w:val="1"/>
        </w:numPr>
        <w:rPr/>
      </w:pPr>
      <w:r>
        <w:rPr>
          <w:color w:val="172236"/>
          <w:sz w:val="18"/>
        </w:rPr>
        <w:t>Price.</w:t>
      </w:r>
    </w:p>
    <w:p>
      <w:pPr>
        <w:pStyle w:val="ListBullet"/>
        <w:numPr>
          <w:ilvl w:val="0"/>
          <w:numId w:val="1"/>
        </w:numPr>
        <w:rPr/>
      </w:pPr>
      <w:r>
        <w:rPr>
          <w:color w:val="172236"/>
          <w:sz w:val="18"/>
        </w:rPr>
        <w:t>Technical condition.</w:t>
      </w:r>
    </w:p>
    <w:p>
      <w:pPr>
        <w:pStyle w:val="ListBullet"/>
        <w:numPr>
          <w:ilvl w:val="0"/>
          <w:numId w:val="1"/>
        </w:numPr>
        <w:rPr/>
      </w:pPr>
      <w:r>
        <w:rPr>
          <w:color w:val="172236"/>
          <w:sz w:val="18"/>
        </w:rPr>
        <w:t>Volume.</w:t>
      </w:r>
    </w:p>
    <w:p>
      <w:pPr>
        <w:pStyle w:val="ListBullet"/>
        <w:numPr>
          <w:ilvl w:val="0"/>
          <w:numId w:val="1"/>
        </w:numPr>
        <w:rPr/>
      </w:pPr>
      <w:r>
        <w:rPr>
          <w:color w:val="172236"/>
          <w:sz w:val="18"/>
        </w:rPr>
        <w:t>Options flow.</w:t>
      </w:r>
    </w:p>
    <w:p>
      <w:pPr>
        <w:pStyle w:val="ListBullet"/>
        <w:numPr>
          <w:ilvl w:val="0"/>
          <w:numId w:val="1"/>
        </w:numPr>
        <w:rPr/>
      </w:pPr>
      <w:r>
        <w:rPr>
          <w:color w:val="172236"/>
          <w:sz w:val="18"/>
        </w:rPr>
        <w:t>Implied volatility.</w:t>
      </w:r>
    </w:p>
    <w:p>
      <w:pPr>
        <w:pStyle w:val="ListBullet"/>
        <w:numPr>
          <w:ilvl w:val="0"/>
          <w:numId w:val="1"/>
        </w:numPr>
        <w:rPr/>
      </w:pPr>
      <w:r>
        <w:rPr>
          <w:color w:val="172236"/>
          <w:sz w:val="18"/>
        </w:rPr>
        <w:t>Filing.</w:t>
      </w:r>
    </w:p>
    <w:p>
      <w:pPr>
        <w:pStyle w:val="ListBullet"/>
        <w:numPr>
          <w:ilvl w:val="0"/>
          <w:numId w:val="1"/>
        </w:numPr>
        <w:rPr/>
      </w:pPr>
      <w:r>
        <w:rPr>
          <w:color w:val="172236"/>
          <w:sz w:val="18"/>
        </w:rPr>
        <w:t>Institutional position.</w:t>
      </w:r>
    </w:p>
    <w:p>
      <w:pPr>
        <w:pStyle w:val="ListBullet"/>
        <w:numPr>
          <w:ilvl w:val="0"/>
          <w:numId w:val="1"/>
        </w:numPr>
        <w:rPr/>
      </w:pPr>
      <w:r>
        <w:rPr>
          <w:color w:val="172236"/>
          <w:sz w:val="18"/>
        </w:rPr>
        <w:t>COT extreme.</w:t>
      </w:r>
    </w:p>
    <w:p>
      <w:pPr>
        <w:pStyle w:val="ListBullet"/>
        <w:numPr>
          <w:ilvl w:val="0"/>
          <w:numId w:val="1"/>
        </w:numPr>
        <w:rPr/>
      </w:pPr>
      <w:r>
        <w:rPr>
          <w:color w:val="172236"/>
          <w:sz w:val="18"/>
        </w:rPr>
        <w:t>Event proximity.</w:t>
      </w:r>
    </w:p>
    <w:p>
      <w:pPr>
        <w:pStyle w:val="ListBullet"/>
        <w:numPr>
          <w:ilvl w:val="0"/>
          <w:numId w:val="1"/>
        </w:numPr>
        <w:rPr/>
      </w:pPr>
      <w:r>
        <w:rPr>
          <w:color w:val="172236"/>
          <w:sz w:val="18"/>
        </w:rPr>
        <w:t>Strategy condition.</w:t>
      </w:r>
    </w:p>
    <w:p>
      <w:pPr>
        <w:pStyle w:val="ListBullet"/>
        <w:numPr>
          <w:ilvl w:val="0"/>
          <w:numId w:val="1"/>
        </w:numPr>
        <w:rPr/>
      </w:pPr>
      <w:r>
        <w:rPr>
          <w:color w:val="172236"/>
          <w:sz w:val="18"/>
        </w:rPr>
        <w:t>Portfolio risk.</w:t>
      </w:r>
    </w:p>
    <w:p>
      <w:pPr>
        <w:pStyle w:val="ListBullet"/>
        <w:numPr>
          <w:ilvl w:val="0"/>
          <w:numId w:val="1"/>
        </w:numPr>
        <w:rPr/>
      </w:pPr>
      <w:r>
        <w:rPr>
          <w:color w:val="172236"/>
          <w:sz w:val="18"/>
        </w:rPr>
        <w:t>Data health.</w:t>
      </w:r>
    </w:p>
    <w:p>
      <w:pPr>
        <w:pStyle w:val="ListBullet"/>
        <w:numPr>
          <w:ilvl w:val="0"/>
          <w:numId w:val="1"/>
        </w:numPr>
        <w:rPr/>
      </w:pPr>
      <w:r>
        <w:rPr>
          <w:color w:val="172236"/>
          <w:sz w:val="18"/>
        </w:rPr>
        <w:t>Model drift.</w:t>
      </w:r>
    </w:p>
    <w:p>
      <w:pPr>
        <w:pStyle w:val="Normal"/>
        <w:rPr/>
      </w:pPr>
      <w:r>
        <w:rPr>
          <w:color w:val="172236"/>
          <w:sz w:val="19"/>
        </w:rPr>
        <w:t>Alert execution MUST be idempotent and use deduplication windows. Delivery channels may include:</w:t>
      </w:r>
    </w:p>
    <w:p>
      <w:pPr>
        <w:pStyle w:val="ListBullet"/>
        <w:numPr>
          <w:ilvl w:val="0"/>
          <w:numId w:val="1"/>
        </w:numPr>
        <w:rPr/>
      </w:pPr>
      <w:r>
        <w:rPr>
          <w:color w:val="172236"/>
          <w:sz w:val="18"/>
        </w:rPr>
        <w:t>Desktop.</w:t>
      </w:r>
    </w:p>
    <w:p>
      <w:pPr>
        <w:pStyle w:val="ListBullet"/>
        <w:numPr>
          <w:ilvl w:val="0"/>
          <w:numId w:val="1"/>
        </w:numPr>
        <w:rPr/>
      </w:pPr>
      <w:r>
        <w:rPr>
          <w:color w:val="172236"/>
          <w:sz w:val="18"/>
        </w:rPr>
        <w:t>Mobile companion.</w:t>
      </w:r>
    </w:p>
    <w:p>
      <w:pPr>
        <w:pStyle w:val="ListBullet"/>
        <w:numPr>
          <w:ilvl w:val="0"/>
          <w:numId w:val="1"/>
        </w:numPr>
        <w:rPr/>
      </w:pPr>
      <w:r>
        <w:rPr>
          <w:color w:val="172236"/>
          <w:sz w:val="18"/>
        </w:rPr>
        <w:t>Email.</w:t>
      </w:r>
    </w:p>
    <w:p>
      <w:pPr>
        <w:pStyle w:val="ListBullet"/>
        <w:numPr>
          <w:ilvl w:val="0"/>
          <w:numId w:val="1"/>
        </w:numPr>
        <w:rPr/>
      </w:pPr>
      <w:r>
        <w:rPr>
          <w:color w:val="172236"/>
          <w:sz w:val="18"/>
        </w:rPr>
        <w:t>SMS through an optional provider.</w:t>
      </w:r>
    </w:p>
    <w:p>
      <w:pPr>
        <w:pStyle w:val="ListBullet"/>
        <w:numPr>
          <w:ilvl w:val="0"/>
          <w:numId w:val="1"/>
        </w:numPr>
        <w:rPr/>
      </w:pPr>
      <w:r>
        <w:rPr>
          <w:color w:val="172236"/>
          <w:sz w:val="18"/>
        </w:rPr>
        <w:t>Slack/Teams.</w:t>
      </w:r>
    </w:p>
    <w:p>
      <w:pPr>
        <w:pStyle w:val="ListBullet"/>
        <w:numPr>
          <w:ilvl w:val="0"/>
          <w:numId w:val="1"/>
        </w:numPr>
        <w:rPr/>
      </w:pPr>
      <w:r>
        <w:rPr>
          <w:color w:val="172236"/>
          <w:sz w:val="18"/>
        </w:rPr>
        <w:t>Webhook.</w:t>
      </w:r>
    </w:p>
    <w:p>
      <w:pPr>
        <w:pStyle w:val="ListBullet"/>
        <w:numPr>
          <w:ilvl w:val="0"/>
          <w:numId w:val="1"/>
        </w:numPr>
        <w:rPr/>
      </w:pPr>
      <w:r>
        <w:rPr>
          <w:color w:val="172236"/>
          <w:sz w:val="18"/>
        </w:rPr>
        <w:t>MCP/agent event.</w:t>
      </w:r>
    </w:p>
    <w:p>
      <w:pPr>
        <w:pStyle w:val="ListBullet"/>
        <w:numPr>
          <w:ilvl w:val="0"/>
          <w:numId w:val="1"/>
        </w:numPr>
        <w:rPr/>
      </w:pPr>
      <w:r>
        <w:rPr>
          <w:color w:val="172236"/>
          <w:sz w:val="18"/>
        </w:rPr>
        <w:t>PagerDuty for enterprise operational alerts.</w:t>
      </w:r>
    </w:p>
    <w:p>
      <w:pPr>
        <w:pStyle w:val="Normal"/>
        <w:spacing w:before="0" w:after="0"/>
        <w:jc w:val="center"/>
        <w:rPr/>
      </w:pPr>
      <w:r>
        <w:rPr/>
        <w:drawing>
          <wp:inline distT="0" distB="0" distL="0" distR="0">
            <wp:extent cx="6546850" cy="8174990"/>
            <wp:effectExtent l="0" t="0" r="0" b="0"/>
            <wp:docPr id="7" name="Picture 7" descr="Image: image7.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20"/>
                    <a:stretch>
                      <a:fillRect/>
                    </a:stretch>
                  </pic:blipFill>
                  <pic:spPr bwMode="auto">
                    <a:xfrm>
                      <a:off x="0" y="0"/>
                      <a:ext cx="6546850" cy="8174990"/>
                    </a:xfrm>
                    <a:prstGeom prst="rect">
                      <a:avLst/>
                    </a:prstGeom>
                    <a:noFill/>
                  </pic:spPr>
                </pic:pic>
              </a:graphicData>
            </a:graphic>
          </wp:inline>
        </w:drawing>
      </w:r>
    </w:p>
    <w:p>
      <w:pPr>
        <w:pStyle w:val="Normal"/>
        <w:rPr/>
      </w:pPr>
      <w:r>
        <w:rPr/>
      </w:r>
    </w:p>
    <w:p>
      <w:pPr>
        <w:sectPr>
          <w:headerReference w:type="even" r:id="rId21"/>
          <w:headerReference w:type="default" r:id="rId22"/>
          <w:headerReference w:type="first" r:id="rId23"/>
          <w:footerReference w:type="even" r:id="rId24"/>
          <w:footerReference w:type="default" r:id="rId25"/>
          <w:footerReference w:type="first" r:id="rId26"/>
          <w:type w:val="nextPage"/>
          <w:pgSz w:w="12240" w:h="15840"/>
          <w:pgMar w:left="965" w:right="965" w:gutter="0" w:header="360" w:top="893" w:footer="360" w:bottom="835"/>
          <w:pgNumType w:fmt="decimal"/>
          <w:formProt w:val="false"/>
          <w:textDirection w:val="lrTb"/>
          <w:docGrid w:type="default" w:linePitch="312" w:charSpace="4096"/>
        </w:sectPr>
      </w:pPr>
      <w:r>
        <w:br w:type="page"/>
      </w:r>
    </w:p>
    <w:p>
      <w:pPr>
        <w:pStyle w:val="Heading1"/>
        <w:pBdr>
          <w:bottom w:val="single" w:sz="12" w:space="5" w:color="33C7F2"/>
        </w:pBdr>
        <w:rPr/>
      </w:pPr>
      <w:bookmarkStart w:id="60" w:name="__RefHeading___Toc6840_2150751134"/>
      <w:bookmarkEnd w:id="60"/>
      <w:r>
        <w:rPr>
          <w:rFonts w:ascii="Lato" w:hAnsi="Lato"/>
          <w:color w:val="172236"/>
          <w:sz w:val="42"/>
        </w:rPr>
        <w:t>9. Data Provider and API Strategy</w:t>
      </w:r>
    </w:p>
    <w:p>
      <w:pPr>
        <w:pStyle w:val="Normal"/>
        <w:spacing w:before="140" w:after="20"/>
        <w:jc w:val="center"/>
        <w:rPr/>
      </w:pPr>
      <w:r>
        <w:rPr/>
        <w:drawing>
          <wp:inline distT="0" distB="0" distL="0" distR="0">
            <wp:extent cx="6217920" cy="3513455"/>
            <wp:effectExtent l="0" t="0" r="0" b="0"/>
            <wp:docPr id="8" name="Picture 8" descr="Image: image8.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title=""/>
                    <pic:cNvPicPr>
                      <a:picLocks noChangeAspect="1" noChangeArrowheads="1"/>
                    </pic:cNvPicPr>
                  </pic:nvPicPr>
                  <pic:blipFill>
                    <a:blip r:embed="rId27"/>
                    <a:stretch>
                      <a:fillRect/>
                    </a:stretch>
                  </pic:blipFill>
                  <pic:spPr bwMode="auto">
                    <a:xfrm>
                      <a:off x="0" y="0"/>
                      <a:ext cx="6217920" cy="3513455"/>
                    </a:xfrm>
                    <a:prstGeom prst="rect">
                      <a:avLst/>
                    </a:prstGeom>
                    <a:noFill/>
                  </pic:spPr>
                </pic:pic>
              </a:graphicData>
            </a:graphic>
          </wp:inline>
        </w:drawing>
      </w:r>
    </w:p>
    <w:p>
      <w:pPr>
        <w:pStyle w:val="CaptionCustom"/>
        <w:rPr/>
      </w:pPr>
      <w:r>
        <w:rPr/>
        <w:t>Figure 4 - Provider ecosystem behind a normalized, entitlement-aware gateway.</w:t>
      </w:r>
    </w:p>
    <w:p>
      <w:pPr>
        <w:pStyle w:val="Heading2"/>
        <w:pBdr>
          <w:left w:val="single" w:sz="14" w:space="4" w:color="8B5CF6"/>
        </w:pBdr>
        <w:rPr/>
      </w:pPr>
      <w:bookmarkStart w:id="61" w:name="__RefHeading___Toc6842_2150751134"/>
      <w:bookmarkEnd w:id="61"/>
      <w:r>
        <w:rPr>
          <w:rFonts w:ascii="Lato" w:hAnsi="Lato"/>
          <w:color w:val="172236"/>
          <w:sz w:val="29"/>
        </w:rPr>
        <w:t>9.1 Provider Philosophy</w:t>
      </w:r>
    </w:p>
    <w:p>
      <w:pPr>
        <w:pStyle w:val="Normal"/>
        <w:rPr/>
      </w:pPr>
      <w:r>
        <w:rPr>
          <w:color w:val="172236"/>
          <w:sz w:val="19"/>
        </w:rPr>
        <w:t>No single provider should define the platform’s domain model. Adapters MUST normalize provider data into canonical contracts.</w:t>
      </w:r>
    </w:p>
    <w:p>
      <w:pPr>
        <w:pStyle w:val="Normal"/>
        <w:rPr/>
      </w:pPr>
      <w:r>
        <w:rPr>
          <w:color w:val="172236"/>
          <w:sz w:val="19"/>
        </w:rPr>
        <w:t>Each adapter MUST implement:</w:t>
      </w:r>
    </w:p>
    <w:p>
      <w:pPr>
        <w:pStyle w:val="ListBullet"/>
        <w:numPr>
          <w:ilvl w:val="0"/>
          <w:numId w:val="1"/>
        </w:numPr>
        <w:rPr/>
      </w:pPr>
      <w:r>
        <w:rPr>
          <w:color w:val="172236"/>
          <w:sz w:val="18"/>
        </w:rPr>
        <w:t>Authentication.</w:t>
      </w:r>
    </w:p>
    <w:p>
      <w:pPr>
        <w:pStyle w:val="ListBullet"/>
        <w:numPr>
          <w:ilvl w:val="0"/>
          <w:numId w:val="1"/>
        </w:numPr>
        <w:rPr/>
      </w:pPr>
      <w:r>
        <w:rPr>
          <w:color w:val="172236"/>
          <w:sz w:val="18"/>
        </w:rPr>
        <w:t>Rate limiting.</w:t>
      </w:r>
    </w:p>
    <w:p>
      <w:pPr>
        <w:pStyle w:val="ListBullet"/>
        <w:numPr>
          <w:ilvl w:val="0"/>
          <w:numId w:val="1"/>
        </w:numPr>
        <w:rPr/>
      </w:pPr>
      <w:r>
        <w:rPr>
          <w:color w:val="172236"/>
          <w:sz w:val="18"/>
        </w:rPr>
        <w:t>Pagination.</w:t>
      </w:r>
    </w:p>
    <w:p>
      <w:pPr>
        <w:pStyle w:val="ListBullet"/>
        <w:numPr>
          <w:ilvl w:val="0"/>
          <w:numId w:val="1"/>
        </w:numPr>
        <w:rPr/>
      </w:pPr>
      <w:r>
        <w:rPr>
          <w:color w:val="172236"/>
          <w:sz w:val="18"/>
        </w:rPr>
        <w:t>Retries with capped exponential backoff and jitter.</w:t>
      </w:r>
    </w:p>
    <w:p>
      <w:pPr>
        <w:pStyle w:val="ListBullet"/>
        <w:numPr>
          <w:ilvl w:val="0"/>
          <w:numId w:val="1"/>
        </w:numPr>
        <w:rPr/>
      </w:pPr>
      <w:r>
        <w:rPr>
          <w:color w:val="172236"/>
          <w:sz w:val="18"/>
        </w:rPr>
        <w:t>Circuit breaking.</w:t>
      </w:r>
    </w:p>
    <w:p>
      <w:pPr>
        <w:pStyle w:val="ListBullet"/>
        <w:numPr>
          <w:ilvl w:val="0"/>
          <w:numId w:val="1"/>
        </w:numPr>
        <w:rPr/>
      </w:pPr>
      <w:r>
        <w:rPr>
          <w:color w:val="172236"/>
          <w:sz w:val="18"/>
        </w:rPr>
        <w:t>Freshness tracking.</w:t>
      </w:r>
    </w:p>
    <w:p>
      <w:pPr>
        <w:pStyle w:val="ListBullet"/>
        <w:numPr>
          <w:ilvl w:val="0"/>
          <w:numId w:val="1"/>
        </w:numPr>
        <w:rPr/>
      </w:pPr>
      <w:r>
        <w:rPr>
          <w:color w:val="172236"/>
          <w:sz w:val="18"/>
        </w:rPr>
        <w:t>Provenance.</w:t>
      </w:r>
    </w:p>
    <w:p>
      <w:pPr>
        <w:pStyle w:val="ListBullet"/>
        <w:numPr>
          <w:ilvl w:val="0"/>
          <w:numId w:val="1"/>
        </w:numPr>
        <w:rPr/>
      </w:pPr>
      <w:r>
        <w:rPr>
          <w:color w:val="172236"/>
          <w:sz w:val="18"/>
        </w:rPr>
        <w:t>Schema validation.</w:t>
      </w:r>
    </w:p>
    <w:p>
      <w:pPr>
        <w:pStyle w:val="ListBullet"/>
        <w:numPr>
          <w:ilvl w:val="0"/>
          <w:numId w:val="1"/>
        </w:numPr>
        <w:rPr/>
      </w:pPr>
      <w:r>
        <w:rPr>
          <w:color w:val="172236"/>
          <w:sz w:val="18"/>
        </w:rPr>
        <w:t>Contract tests.</w:t>
      </w:r>
    </w:p>
    <w:p>
      <w:pPr>
        <w:pStyle w:val="ListBullet"/>
        <w:numPr>
          <w:ilvl w:val="0"/>
          <w:numId w:val="1"/>
        </w:numPr>
        <w:rPr/>
      </w:pPr>
      <w:r>
        <w:rPr>
          <w:color w:val="172236"/>
          <w:sz w:val="18"/>
        </w:rPr>
        <w:t>Cost accounting.</w:t>
      </w:r>
    </w:p>
    <w:p>
      <w:pPr>
        <w:pStyle w:val="ListBullet"/>
        <w:numPr>
          <w:ilvl w:val="0"/>
          <w:numId w:val="1"/>
        </w:numPr>
        <w:rPr/>
      </w:pPr>
      <w:r>
        <w:rPr>
          <w:color w:val="172236"/>
          <w:sz w:val="18"/>
        </w:rPr>
        <w:t>Entitlement enforcement.</w:t>
      </w:r>
    </w:p>
    <w:p>
      <w:pPr>
        <w:pStyle w:val="ListBullet"/>
        <w:numPr>
          <w:ilvl w:val="0"/>
          <w:numId w:val="1"/>
        </w:numPr>
        <w:rPr/>
      </w:pPr>
      <w:r>
        <w:rPr>
          <w:color w:val="172236"/>
          <w:sz w:val="18"/>
        </w:rPr>
        <w:t>Provider-specific error translation.</w:t>
      </w:r>
    </w:p>
    <w:p>
      <w:pPr>
        <w:pStyle w:val="ListBullet"/>
        <w:numPr>
          <w:ilvl w:val="0"/>
          <w:numId w:val="1"/>
        </w:numPr>
        <w:rPr/>
      </w:pPr>
      <w:r>
        <w:rPr>
          <w:color w:val="172236"/>
          <w:sz w:val="18"/>
        </w:rPr>
        <w:t>Health checks.</w:t>
      </w:r>
    </w:p>
    <w:p>
      <w:pPr>
        <w:pStyle w:val="Heading2"/>
        <w:pBdr>
          <w:left w:val="single" w:sz="14" w:space="4" w:color="8B5CF6"/>
        </w:pBdr>
        <w:rPr/>
      </w:pPr>
      <w:bookmarkStart w:id="62" w:name="__RefHeading___Toc6844_2150751134"/>
      <w:bookmarkEnd w:id="62"/>
      <w:r>
        <w:rPr>
          <w:rFonts w:ascii="Lato" w:hAnsi="Lato"/>
          <w:color w:val="172236"/>
          <w:sz w:val="29"/>
        </w:rPr>
        <w:t>9.2 CoinGecko — Primary Crypto Aggregation Provider</w:t>
      </w:r>
    </w:p>
    <w:p>
      <w:pPr>
        <w:pStyle w:val="Heading3"/>
        <w:rPr/>
      </w:pPr>
      <w:bookmarkStart w:id="63" w:name="__RefHeading___Toc6846_2150751134"/>
      <w:bookmarkEnd w:id="63"/>
      <w:r>
        <w:rPr>
          <w:rFonts w:ascii="Lato" w:hAnsi="Lato"/>
          <w:color w:val="172236"/>
          <w:sz w:val="21"/>
        </w:rPr>
        <w:t>Intended Uses</w:t>
      </w:r>
    </w:p>
    <w:p>
      <w:pPr>
        <w:pStyle w:val="Normal"/>
        <w:rPr/>
      </w:pPr>
      <w:r>
        <w:rPr>
          <w:color w:val="172236"/>
          <w:sz w:val="19"/>
        </w:rPr>
        <w:t>CoinGecko should serve as the primary cryptocurrency reference and broad market data provider for:</w:t>
      </w:r>
    </w:p>
    <w:p>
      <w:pPr>
        <w:pStyle w:val="ListBullet"/>
        <w:numPr>
          <w:ilvl w:val="0"/>
          <w:numId w:val="1"/>
        </w:numPr>
        <w:rPr/>
      </w:pPr>
      <w:r>
        <w:rPr>
          <w:color w:val="172236"/>
          <w:sz w:val="18"/>
        </w:rPr>
        <w:t>Coin identifiers and metadata.</w:t>
      </w:r>
    </w:p>
    <w:p>
      <w:pPr>
        <w:pStyle w:val="ListBullet"/>
        <w:numPr>
          <w:ilvl w:val="0"/>
          <w:numId w:val="1"/>
        </w:numPr>
        <w:rPr/>
      </w:pPr>
      <w:r>
        <w:rPr>
          <w:color w:val="172236"/>
          <w:sz w:val="18"/>
        </w:rPr>
        <w:t>Current prices.</w:t>
      </w:r>
    </w:p>
    <w:p>
      <w:pPr>
        <w:pStyle w:val="ListBullet"/>
        <w:numPr>
          <w:ilvl w:val="0"/>
          <w:numId w:val="1"/>
        </w:numPr>
        <w:rPr/>
      </w:pPr>
      <w:r>
        <w:rPr>
          <w:color w:val="172236"/>
          <w:sz w:val="18"/>
        </w:rPr>
        <w:t>Market capitalization.</w:t>
      </w:r>
    </w:p>
    <w:p>
      <w:pPr>
        <w:pStyle w:val="ListBullet"/>
        <w:numPr>
          <w:ilvl w:val="0"/>
          <w:numId w:val="1"/>
        </w:numPr>
        <w:rPr/>
      </w:pPr>
      <w:r>
        <w:rPr>
          <w:color w:val="172236"/>
          <w:sz w:val="18"/>
        </w:rPr>
        <w:t>Volume.</w:t>
      </w:r>
    </w:p>
    <w:p>
      <w:pPr>
        <w:pStyle w:val="ListBullet"/>
        <w:numPr>
          <w:ilvl w:val="0"/>
          <w:numId w:val="1"/>
        </w:numPr>
        <w:rPr/>
      </w:pPr>
      <w:r>
        <w:rPr>
          <w:color w:val="172236"/>
          <w:sz w:val="18"/>
        </w:rPr>
        <w:t>Market rankings.</w:t>
      </w:r>
    </w:p>
    <w:p>
      <w:pPr>
        <w:pStyle w:val="ListBullet"/>
        <w:numPr>
          <w:ilvl w:val="0"/>
          <w:numId w:val="1"/>
        </w:numPr>
        <w:rPr/>
      </w:pPr>
      <w:r>
        <w:rPr>
          <w:color w:val="172236"/>
          <w:sz w:val="18"/>
        </w:rPr>
        <w:t>Categories.</w:t>
      </w:r>
    </w:p>
    <w:p>
      <w:pPr>
        <w:pStyle w:val="ListBullet"/>
        <w:numPr>
          <w:ilvl w:val="0"/>
          <w:numId w:val="1"/>
        </w:numPr>
        <w:rPr/>
      </w:pPr>
      <w:r>
        <w:rPr>
          <w:color w:val="172236"/>
          <w:sz w:val="18"/>
        </w:rPr>
        <w:t>Trending data.</w:t>
      </w:r>
    </w:p>
    <w:p>
      <w:pPr>
        <w:pStyle w:val="ListBullet"/>
        <w:numPr>
          <w:ilvl w:val="0"/>
          <w:numId w:val="1"/>
        </w:numPr>
        <w:rPr/>
      </w:pPr>
      <w:r>
        <w:rPr>
          <w:color w:val="172236"/>
          <w:sz w:val="18"/>
        </w:rPr>
        <w:t>Exchanges.</w:t>
      </w:r>
    </w:p>
    <w:p>
      <w:pPr>
        <w:pStyle w:val="ListBullet"/>
        <w:numPr>
          <w:ilvl w:val="0"/>
          <w:numId w:val="1"/>
        </w:numPr>
        <w:rPr/>
      </w:pPr>
      <w:r>
        <w:rPr>
          <w:color w:val="172236"/>
          <w:sz w:val="18"/>
        </w:rPr>
        <w:t>Historical market charts.</w:t>
      </w:r>
    </w:p>
    <w:p>
      <w:pPr>
        <w:pStyle w:val="ListBullet"/>
        <w:numPr>
          <w:ilvl w:val="0"/>
          <w:numId w:val="1"/>
        </w:numPr>
        <w:rPr/>
      </w:pPr>
      <w:r>
        <w:rPr>
          <w:color w:val="172236"/>
          <w:sz w:val="18"/>
        </w:rPr>
        <w:t>OHLC.</w:t>
      </w:r>
    </w:p>
    <w:p>
      <w:pPr>
        <w:pStyle w:val="ListBullet"/>
        <w:numPr>
          <w:ilvl w:val="0"/>
          <w:numId w:val="1"/>
        </w:numPr>
        <w:rPr/>
      </w:pPr>
      <w:r>
        <w:rPr>
          <w:color w:val="172236"/>
          <w:sz w:val="18"/>
        </w:rPr>
        <w:t>Global crypto market data.</w:t>
      </w:r>
    </w:p>
    <w:p>
      <w:pPr>
        <w:pStyle w:val="ListBullet"/>
        <w:numPr>
          <w:ilvl w:val="0"/>
          <w:numId w:val="1"/>
        </w:numPr>
        <w:rPr/>
      </w:pPr>
      <w:r>
        <w:rPr>
          <w:color w:val="172236"/>
          <w:sz w:val="18"/>
        </w:rPr>
        <w:t>Derivative summaries when available by endpoint/tier.</w:t>
      </w:r>
    </w:p>
    <w:p>
      <w:pPr>
        <w:pStyle w:val="ListBullet"/>
        <w:numPr>
          <w:ilvl w:val="0"/>
          <w:numId w:val="1"/>
        </w:numPr>
        <w:rPr/>
      </w:pPr>
      <w:r>
        <w:rPr>
          <w:color w:val="172236"/>
          <w:sz w:val="18"/>
        </w:rPr>
        <w:t>On-chain/GeckoTerminal-related market and pool discovery where licensed.</w:t>
      </w:r>
    </w:p>
    <w:p>
      <w:pPr>
        <w:pStyle w:val="ListBullet"/>
        <w:numPr>
          <w:ilvl w:val="0"/>
          <w:numId w:val="1"/>
        </w:numPr>
        <w:rPr/>
      </w:pPr>
      <w:r>
        <w:rPr>
          <w:color w:val="172236"/>
          <w:sz w:val="18"/>
        </w:rPr>
        <w:t>News where plan access permits.</w:t>
      </w:r>
    </w:p>
    <w:p>
      <w:pPr>
        <w:pStyle w:val="ListBullet"/>
        <w:numPr>
          <w:ilvl w:val="0"/>
          <w:numId w:val="1"/>
        </w:numPr>
        <w:rPr/>
      </w:pPr>
      <w:r>
        <w:rPr>
          <w:color w:val="172236"/>
          <w:sz w:val="18"/>
        </w:rPr>
        <w:t>Token and asset discovery.</w:t>
      </w:r>
    </w:p>
    <w:p>
      <w:pPr>
        <w:pStyle w:val="Heading3"/>
        <w:rPr/>
      </w:pPr>
      <w:bookmarkStart w:id="64" w:name="__RefHeading___Toc6848_2150751134"/>
      <w:bookmarkEnd w:id="64"/>
      <w:r>
        <w:rPr>
          <w:rFonts w:ascii="Lato" w:hAnsi="Lato"/>
          <w:color w:val="172236"/>
          <w:sz w:val="21"/>
        </w:rPr>
        <w:t>Architecture Requirements</w:t>
      </w:r>
    </w:p>
    <w:p>
      <w:pPr>
        <w:pStyle w:val="ListBullet"/>
        <w:numPr>
          <w:ilvl w:val="0"/>
          <w:numId w:val="1"/>
        </w:numPr>
        <w:rPr/>
      </w:pPr>
      <w:r>
        <w:rPr>
          <w:color w:val="172236"/>
          <w:sz w:val="18"/>
        </w:rPr>
        <w:t xml:space="preserve">Store CoinGecko </w:t>
      </w:r>
      <w:r>
        <w:rPr>
          <w:b/>
          <w:color w:val="172236"/>
          <w:sz w:val="18"/>
        </w:rPr>
        <w:t>coin IDs</w:t>
      </w:r>
      <w:r>
        <w:rPr>
          <w:color w:val="172236"/>
          <w:sz w:val="18"/>
        </w:rPr>
        <w:t xml:space="preserve"> as provider identifiers; never rely on ticker symbols as unique keys.</w:t>
      </w:r>
    </w:p>
    <w:p>
      <w:pPr>
        <w:pStyle w:val="ListBullet"/>
        <w:numPr>
          <w:ilvl w:val="0"/>
          <w:numId w:val="1"/>
        </w:numPr>
        <w:rPr/>
      </w:pPr>
      <w:r>
        <w:rPr>
          <w:color w:val="172236"/>
          <w:sz w:val="18"/>
        </w:rPr>
        <w:t>Maintain a canonical asset identity service that maps symbols, contracts, chains, exchange pairs, and provider IDs.</w:t>
      </w:r>
    </w:p>
    <w:p>
      <w:pPr>
        <w:pStyle w:val="ListBullet"/>
        <w:numPr>
          <w:ilvl w:val="0"/>
          <w:numId w:val="1"/>
        </w:numPr>
        <w:rPr/>
      </w:pPr>
      <w:r>
        <w:rPr>
          <w:color w:val="172236"/>
          <w:sz w:val="18"/>
        </w:rPr>
        <w:t>Keep API keys exclusively in the Rust backend or server-side infrastructure.</w:t>
      </w:r>
    </w:p>
    <w:p>
      <w:pPr>
        <w:pStyle w:val="ListBullet"/>
        <w:numPr>
          <w:ilvl w:val="0"/>
          <w:numId w:val="1"/>
        </w:numPr>
        <w:rPr/>
      </w:pPr>
      <w:r>
        <w:rPr>
          <w:color w:val="172236"/>
          <w:sz w:val="18"/>
        </w:rPr>
        <w:t>Add a request-budget service that tracks rate limits and credits.</w:t>
      </w:r>
    </w:p>
    <w:p>
      <w:pPr>
        <w:pStyle w:val="ListBullet"/>
        <w:numPr>
          <w:ilvl w:val="0"/>
          <w:numId w:val="1"/>
        </w:numPr>
        <w:rPr/>
      </w:pPr>
      <w:r>
        <w:rPr>
          <w:color w:val="172236"/>
          <w:sz w:val="18"/>
        </w:rPr>
        <w:t>Use cache policies by endpoint class:</w:t>
      </w:r>
    </w:p>
    <w:p>
      <w:pPr>
        <w:pStyle w:val="ListBullet2"/>
        <w:numPr>
          <w:ilvl w:val="0"/>
          <w:numId w:val="2"/>
        </w:numPr>
        <w:rPr/>
      </w:pPr>
      <w:r>
        <w:rPr>
          <w:color w:val="172236"/>
          <w:sz w:val="18"/>
        </w:rPr>
        <w:t>Metadata: long TTL.</w:t>
      </w:r>
    </w:p>
    <w:p>
      <w:pPr>
        <w:pStyle w:val="ListBullet2"/>
        <w:numPr>
          <w:ilvl w:val="0"/>
          <w:numId w:val="2"/>
        </w:numPr>
        <w:rPr/>
      </w:pPr>
      <w:r>
        <w:rPr>
          <w:color w:val="172236"/>
          <w:sz w:val="18"/>
        </w:rPr>
        <w:t>Market snapshots: short TTL.</w:t>
      </w:r>
    </w:p>
    <w:p>
      <w:pPr>
        <w:pStyle w:val="ListBullet2"/>
        <w:numPr>
          <w:ilvl w:val="0"/>
          <w:numId w:val="2"/>
        </w:numPr>
        <w:rPr/>
      </w:pPr>
      <w:r>
        <w:rPr>
          <w:color w:val="172236"/>
          <w:sz w:val="18"/>
        </w:rPr>
        <w:t>Historical candles: immutable segments after finalization.</w:t>
      </w:r>
    </w:p>
    <w:p>
      <w:pPr>
        <w:pStyle w:val="ListBullet2"/>
        <w:numPr>
          <w:ilvl w:val="0"/>
          <w:numId w:val="2"/>
        </w:numPr>
        <w:rPr/>
      </w:pPr>
      <w:r>
        <w:rPr>
          <w:color w:val="172236"/>
          <w:sz w:val="18"/>
        </w:rPr>
        <w:t>Trending data: moderate TTL.</w:t>
      </w:r>
    </w:p>
    <w:p>
      <w:pPr>
        <w:pStyle w:val="ListBullet"/>
        <w:numPr>
          <w:ilvl w:val="0"/>
          <w:numId w:val="1"/>
        </w:numPr>
        <w:rPr/>
      </w:pPr>
      <w:r>
        <w:rPr>
          <w:color w:val="172236"/>
          <w:sz w:val="18"/>
        </w:rPr>
        <w:t>Introduce stale-while-revalidate behavior for non-critical UI reads.</w:t>
      </w:r>
    </w:p>
    <w:p>
      <w:pPr>
        <w:pStyle w:val="ListBullet"/>
        <w:numPr>
          <w:ilvl w:val="0"/>
          <w:numId w:val="1"/>
        </w:numPr>
        <w:rPr/>
      </w:pPr>
      <w:r>
        <w:rPr>
          <w:color w:val="172236"/>
          <w:sz w:val="18"/>
        </w:rPr>
        <w:t>Do not use a demo/free endpoint as the sole source for latency-sensitive production trading.</w:t>
      </w:r>
    </w:p>
    <w:p>
      <w:pPr>
        <w:pStyle w:val="ListBullet"/>
        <w:numPr>
          <w:ilvl w:val="0"/>
          <w:numId w:val="1"/>
        </w:numPr>
        <w:rPr/>
      </w:pPr>
      <w:r>
        <w:rPr>
          <w:color w:val="172236"/>
          <w:sz w:val="18"/>
        </w:rPr>
        <w:t>Add optional exchange-native adapters for order books, trades, private account data, and execution because an aggregator is not a substitute for venue-native execution data.</w:t>
      </w:r>
    </w:p>
    <w:p>
      <w:pPr>
        <w:pStyle w:val="Heading3"/>
        <w:rPr/>
      </w:pPr>
      <w:bookmarkStart w:id="65" w:name="__RefHeading___Toc6850_2150751134"/>
      <w:bookmarkEnd w:id="65"/>
      <w:r>
        <w:rPr>
          <w:rFonts w:ascii="Lato" w:hAnsi="Lato"/>
          <w:color w:val="172236"/>
          <w:sz w:val="21"/>
        </w:rPr>
        <w:t>CoinGecko Functional Modules</w:t>
      </w:r>
    </w:p>
    <w:p>
      <w:pPr>
        <w:pStyle w:val="ListBullet"/>
        <w:numPr>
          <w:ilvl w:val="0"/>
          <w:numId w:val="1"/>
        </w:numPr>
        <w:rPr/>
      </w:pPr>
      <w:r>
        <w:rPr>
          <w:color w:val="172236"/>
          <w:sz w:val="18"/>
        </w:rPr>
        <w:t>Crypto market overview.</w:t>
      </w:r>
    </w:p>
    <w:p>
      <w:pPr>
        <w:pStyle w:val="ListBullet"/>
        <w:numPr>
          <w:ilvl w:val="0"/>
          <w:numId w:val="1"/>
        </w:numPr>
        <w:rPr/>
      </w:pPr>
      <w:r>
        <w:rPr>
          <w:color w:val="172236"/>
          <w:sz w:val="18"/>
        </w:rPr>
        <w:t>Asset search.</w:t>
      </w:r>
    </w:p>
    <w:p>
      <w:pPr>
        <w:pStyle w:val="ListBullet"/>
        <w:numPr>
          <w:ilvl w:val="0"/>
          <w:numId w:val="1"/>
        </w:numPr>
        <w:rPr/>
      </w:pPr>
      <w:r>
        <w:rPr>
          <w:color w:val="172236"/>
          <w:sz w:val="18"/>
        </w:rPr>
        <w:t>Asset profile.</w:t>
      </w:r>
    </w:p>
    <w:p>
      <w:pPr>
        <w:pStyle w:val="ListBullet"/>
        <w:numPr>
          <w:ilvl w:val="0"/>
          <w:numId w:val="1"/>
        </w:numPr>
        <w:rPr/>
      </w:pPr>
      <w:r>
        <w:rPr>
          <w:color w:val="172236"/>
          <w:sz w:val="18"/>
        </w:rPr>
        <w:t>Categories and narratives.</w:t>
      </w:r>
    </w:p>
    <w:p>
      <w:pPr>
        <w:pStyle w:val="ListBullet"/>
        <w:numPr>
          <w:ilvl w:val="0"/>
          <w:numId w:val="1"/>
        </w:numPr>
        <w:rPr/>
      </w:pPr>
      <w:r>
        <w:rPr>
          <w:color w:val="172236"/>
          <w:sz w:val="18"/>
        </w:rPr>
        <w:t>Global market state.</w:t>
      </w:r>
    </w:p>
    <w:p>
      <w:pPr>
        <w:pStyle w:val="ListBullet"/>
        <w:numPr>
          <w:ilvl w:val="0"/>
          <w:numId w:val="1"/>
        </w:numPr>
        <w:rPr/>
      </w:pPr>
      <w:r>
        <w:rPr>
          <w:color w:val="172236"/>
          <w:sz w:val="18"/>
        </w:rPr>
        <w:t>Exchange explorer.</w:t>
      </w:r>
    </w:p>
    <w:p>
      <w:pPr>
        <w:pStyle w:val="ListBullet"/>
        <w:numPr>
          <w:ilvl w:val="0"/>
          <w:numId w:val="1"/>
        </w:numPr>
        <w:rPr/>
      </w:pPr>
      <w:r>
        <w:rPr>
          <w:color w:val="172236"/>
          <w:sz w:val="18"/>
        </w:rPr>
        <w:t>Historical charts.</w:t>
      </w:r>
    </w:p>
    <w:p>
      <w:pPr>
        <w:pStyle w:val="ListBullet"/>
        <w:numPr>
          <w:ilvl w:val="0"/>
          <w:numId w:val="1"/>
        </w:numPr>
        <w:rPr/>
      </w:pPr>
      <w:r>
        <w:rPr>
          <w:color w:val="172236"/>
          <w:sz w:val="18"/>
        </w:rPr>
        <w:t>Cross-asset correlations.</w:t>
      </w:r>
    </w:p>
    <w:p>
      <w:pPr>
        <w:pStyle w:val="ListBullet"/>
        <w:numPr>
          <w:ilvl w:val="0"/>
          <w:numId w:val="1"/>
        </w:numPr>
        <w:rPr/>
      </w:pPr>
      <w:r>
        <w:rPr>
          <w:color w:val="172236"/>
          <w:sz w:val="18"/>
        </w:rPr>
        <w:t>Portfolio valuation.</w:t>
      </w:r>
    </w:p>
    <w:p>
      <w:pPr>
        <w:pStyle w:val="ListBullet"/>
        <w:numPr>
          <w:ilvl w:val="0"/>
          <w:numId w:val="1"/>
        </w:numPr>
        <w:rPr/>
      </w:pPr>
      <w:r>
        <w:rPr>
          <w:color w:val="172236"/>
          <w:sz w:val="18"/>
        </w:rPr>
        <w:t>Market dominance.</w:t>
      </w:r>
    </w:p>
    <w:p>
      <w:pPr>
        <w:pStyle w:val="ListBullet"/>
        <w:numPr>
          <w:ilvl w:val="0"/>
          <w:numId w:val="1"/>
        </w:numPr>
        <w:rPr/>
      </w:pPr>
      <w:r>
        <w:rPr>
          <w:color w:val="172236"/>
          <w:sz w:val="18"/>
        </w:rPr>
        <w:t>Trend/ranking scanner.</w:t>
      </w:r>
    </w:p>
    <w:p>
      <w:pPr>
        <w:pStyle w:val="ListBullet"/>
        <w:numPr>
          <w:ilvl w:val="0"/>
          <w:numId w:val="1"/>
        </w:numPr>
        <w:rPr/>
      </w:pPr>
      <w:r>
        <w:rPr>
          <w:color w:val="172236"/>
          <w:sz w:val="18"/>
        </w:rPr>
        <w:t>Token watchlists.</w:t>
      </w:r>
    </w:p>
    <w:p>
      <w:pPr>
        <w:pStyle w:val="ListBullet"/>
        <w:numPr>
          <w:ilvl w:val="0"/>
          <w:numId w:val="1"/>
        </w:numPr>
        <w:rPr/>
      </w:pPr>
      <w:r>
        <w:rPr>
          <w:color w:val="172236"/>
          <w:sz w:val="18"/>
        </w:rPr>
        <w:t>Data provenance inspector.</w:t>
      </w:r>
    </w:p>
    <w:p>
      <w:pPr>
        <w:pStyle w:val="Heading2"/>
        <w:pBdr>
          <w:left w:val="single" w:sz="14" w:space="4" w:color="8B5CF6"/>
        </w:pBdr>
        <w:rPr/>
      </w:pPr>
      <w:bookmarkStart w:id="66" w:name="__RefHeading___Toc6852_2150751134"/>
      <w:bookmarkEnd w:id="66"/>
      <w:r>
        <w:rPr>
          <w:rFonts w:ascii="Lato" w:hAnsi="Lato"/>
          <w:color w:val="172236"/>
          <w:sz w:val="29"/>
        </w:rPr>
        <w:t>9.3 Unusual Whales — Equity and Options Intelligence</w:t>
      </w:r>
    </w:p>
    <w:p>
      <w:pPr>
        <w:pStyle w:val="Heading3"/>
        <w:rPr/>
      </w:pPr>
      <w:bookmarkStart w:id="67" w:name="__RefHeading___Toc6854_2150751134"/>
      <w:bookmarkEnd w:id="67"/>
      <w:r>
        <w:rPr>
          <w:rFonts w:ascii="Lato" w:hAnsi="Lato"/>
          <w:color w:val="172236"/>
          <w:sz w:val="21"/>
        </w:rPr>
        <w:t>Intended Uses</w:t>
      </w:r>
    </w:p>
    <w:p>
      <w:pPr>
        <w:pStyle w:val="Normal"/>
        <w:rPr/>
      </w:pPr>
      <w:r>
        <w:rPr>
          <w:color w:val="172236"/>
          <w:sz w:val="19"/>
        </w:rPr>
        <w:t>Subject to plan and licensing:</w:t>
      </w:r>
    </w:p>
    <w:p>
      <w:pPr>
        <w:pStyle w:val="ListBullet"/>
        <w:numPr>
          <w:ilvl w:val="0"/>
          <w:numId w:val="1"/>
        </w:numPr>
        <w:rPr/>
      </w:pPr>
      <w:r>
        <w:rPr>
          <w:color w:val="172236"/>
          <w:sz w:val="18"/>
        </w:rPr>
        <w:t>Options flow.</w:t>
      </w:r>
    </w:p>
    <w:p>
      <w:pPr>
        <w:pStyle w:val="ListBullet"/>
        <w:numPr>
          <w:ilvl w:val="0"/>
          <w:numId w:val="1"/>
        </w:numPr>
        <w:rPr/>
      </w:pPr>
      <w:r>
        <w:rPr>
          <w:color w:val="172236"/>
          <w:sz w:val="18"/>
        </w:rPr>
        <w:t>Options chains and derived data.</w:t>
      </w:r>
    </w:p>
    <w:p>
      <w:pPr>
        <w:pStyle w:val="ListBullet"/>
        <w:numPr>
          <w:ilvl w:val="0"/>
          <w:numId w:val="1"/>
        </w:numPr>
        <w:rPr/>
      </w:pPr>
      <w:r>
        <w:rPr>
          <w:color w:val="172236"/>
          <w:sz w:val="18"/>
        </w:rPr>
        <w:t>Dark-pool data.</w:t>
      </w:r>
    </w:p>
    <w:p>
      <w:pPr>
        <w:pStyle w:val="ListBullet"/>
        <w:numPr>
          <w:ilvl w:val="0"/>
          <w:numId w:val="1"/>
        </w:numPr>
        <w:rPr/>
      </w:pPr>
      <w:r>
        <w:rPr>
          <w:color w:val="172236"/>
          <w:sz w:val="18"/>
        </w:rPr>
        <w:t>Open interest.</w:t>
      </w:r>
    </w:p>
    <w:p>
      <w:pPr>
        <w:pStyle w:val="ListBullet"/>
        <w:numPr>
          <w:ilvl w:val="0"/>
          <w:numId w:val="1"/>
        </w:numPr>
        <w:rPr/>
      </w:pPr>
      <w:r>
        <w:rPr>
          <w:color w:val="172236"/>
          <w:sz w:val="18"/>
        </w:rPr>
        <w:t>Greek exposure.</w:t>
      </w:r>
    </w:p>
    <w:p>
      <w:pPr>
        <w:pStyle w:val="ListBullet"/>
        <w:numPr>
          <w:ilvl w:val="0"/>
          <w:numId w:val="1"/>
        </w:numPr>
        <w:rPr/>
      </w:pPr>
      <w:r>
        <w:rPr>
          <w:color w:val="172236"/>
          <w:sz w:val="18"/>
        </w:rPr>
        <w:t>Volatility.</w:t>
      </w:r>
    </w:p>
    <w:p>
      <w:pPr>
        <w:pStyle w:val="ListBullet"/>
        <w:numPr>
          <w:ilvl w:val="0"/>
          <w:numId w:val="1"/>
        </w:numPr>
        <w:rPr/>
      </w:pPr>
      <w:r>
        <w:rPr>
          <w:color w:val="172236"/>
          <w:sz w:val="18"/>
        </w:rPr>
        <w:t>Institutional and congressional datasets.</w:t>
      </w:r>
    </w:p>
    <w:p>
      <w:pPr>
        <w:pStyle w:val="ListBullet"/>
        <w:numPr>
          <w:ilvl w:val="0"/>
          <w:numId w:val="1"/>
        </w:numPr>
        <w:rPr/>
      </w:pPr>
      <w:r>
        <w:rPr>
          <w:color w:val="172236"/>
          <w:sz w:val="18"/>
        </w:rPr>
        <w:t>Insider data.</w:t>
      </w:r>
    </w:p>
    <w:p>
      <w:pPr>
        <w:pStyle w:val="ListBullet"/>
        <w:numPr>
          <w:ilvl w:val="0"/>
          <w:numId w:val="1"/>
        </w:numPr>
        <w:rPr/>
      </w:pPr>
      <w:r>
        <w:rPr>
          <w:color w:val="172236"/>
          <w:sz w:val="18"/>
        </w:rPr>
        <w:t>Market and ticker analytics.</w:t>
      </w:r>
    </w:p>
    <w:p>
      <w:pPr>
        <w:pStyle w:val="ListBullet"/>
        <w:numPr>
          <w:ilvl w:val="0"/>
          <w:numId w:val="1"/>
        </w:numPr>
        <w:rPr/>
      </w:pPr>
      <w:r>
        <w:rPr>
          <w:color w:val="172236"/>
          <w:sz w:val="18"/>
        </w:rPr>
        <w:t>MCP-based AI access for approved use cases.</w:t>
      </w:r>
    </w:p>
    <w:p>
      <w:pPr>
        <w:pStyle w:val="Heading3"/>
        <w:rPr/>
      </w:pPr>
      <w:bookmarkStart w:id="68" w:name="__RefHeading___Toc6856_2150751134"/>
      <w:bookmarkEnd w:id="68"/>
      <w:r>
        <w:rPr>
          <w:rFonts w:ascii="Lato" w:hAnsi="Lato"/>
          <w:color w:val="172236"/>
          <w:sz w:val="21"/>
        </w:rPr>
        <w:t>Design Requirements</w:t>
      </w:r>
    </w:p>
    <w:p>
      <w:pPr>
        <w:pStyle w:val="ListBullet"/>
        <w:numPr>
          <w:ilvl w:val="0"/>
          <w:numId w:val="1"/>
        </w:numPr>
        <w:rPr/>
      </w:pPr>
      <w:r>
        <w:rPr>
          <w:color w:val="172236"/>
          <w:sz w:val="18"/>
        </w:rPr>
        <w:t>Prefer REST/OpenAPI-generated clients for deterministic production workflows.</w:t>
      </w:r>
    </w:p>
    <w:p>
      <w:pPr>
        <w:pStyle w:val="ListBullet"/>
        <w:numPr>
          <w:ilvl w:val="0"/>
          <w:numId w:val="1"/>
        </w:numPr>
        <w:rPr/>
      </w:pPr>
      <w:r>
        <w:rPr>
          <w:color w:val="172236"/>
          <w:sz w:val="18"/>
        </w:rPr>
        <w:t>Treat MCP as an AI tool interface, not the canonical ingestion pipeline.</w:t>
      </w:r>
    </w:p>
    <w:p>
      <w:pPr>
        <w:pStyle w:val="ListBullet"/>
        <w:numPr>
          <w:ilvl w:val="0"/>
          <w:numId w:val="1"/>
        </w:numPr>
        <w:rPr/>
      </w:pPr>
      <w:r>
        <w:rPr>
          <w:color w:val="172236"/>
          <w:sz w:val="18"/>
        </w:rPr>
        <w:t>Preserve raw provider payloads for replay only when licensing permits.</w:t>
      </w:r>
    </w:p>
    <w:p>
      <w:pPr>
        <w:pStyle w:val="ListBullet"/>
        <w:numPr>
          <w:ilvl w:val="0"/>
          <w:numId w:val="1"/>
        </w:numPr>
        <w:rPr/>
      </w:pPr>
      <w:r>
        <w:rPr>
          <w:color w:val="172236"/>
          <w:sz w:val="18"/>
        </w:rPr>
        <w:t>Build field-level provenance for all derived scores.</w:t>
      </w:r>
    </w:p>
    <w:p>
      <w:pPr>
        <w:pStyle w:val="ListBullet"/>
        <w:numPr>
          <w:ilvl w:val="0"/>
          <w:numId w:val="1"/>
        </w:numPr>
        <w:rPr/>
      </w:pPr>
      <w:r>
        <w:rPr>
          <w:color w:val="172236"/>
          <w:sz w:val="18"/>
        </w:rPr>
        <w:t>Separate “trade observed” from “trade interpretation.”</w:t>
      </w:r>
    </w:p>
    <w:p>
      <w:pPr>
        <w:pStyle w:val="ListBullet"/>
        <w:numPr>
          <w:ilvl w:val="0"/>
          <w:numId w:val="1"/>
        </w:numPr>
        <w:rPr/>
      </w:pPr>
      <w:r>
        <w:rPr>
          <w:color w:val="172236"/>
          <w:sz w:val="18"/>
        </w:rPr>
        <w:t>Explicitly model uncertainty around opening/closing and directional inference.</w:t>
      </w:r>
    </w:p>
    <w:p>
      <w:pPr>
        <w:pStyle w:val="ListBullet"/>
        <w:numPr>
          <w:ilvl w:val="0"/>
          <w:numId w:val="1"/>
        </w:numPr>
        <w:rPr/>
      </w:pPr>
      <w:r>
        <w:rPr>
          <w:color w:val="172236"/>
          <w:sz w:val="18"/>
        </w:rPr>
        <w:t>Add a provider kill switch if schemas or entitlements change.</w:t>
      </w:r>
    </w:p>
    <w:p>
      <w:pPr>
        <w:pStyle w:val="Heading2"/>
        <w:pBdr>
          <w:left w:val="single" w:sz="14" w:space="4" w:color="8B5CF6"/>
        </w:pBdr>
        <w:rPr/>
      </w:pPr>
      <w:bookmarkStart w:id="69" w:name="__RefHeading___Toc6858_2150751134"/>
      <w:bookmarkEnd w:id="69"/>
      <w:r>
        <w:rPr>
          <w:rFonts w:ascii="Lato" w:hAnsi="Lato"/>
          <w:color w:val="172236"/>
          <w:sz w:val="29"/>
        </w:rPr>
        <w:t>9.4 SEC EDGAR — Regulatory and Filing Intelligence</w:t>
      </w:r>
    </w:p>
    <w:p>
      <w:pPr>
        <w:pStyle w:val="Heading3"/>
        <w:rPr/>
      </w:pPr>
      <w:bookmarkStart w:id="70" w:name="__RefHeading___Toc6860_2150751134"/>
      <w:bookmarkEnd w:id="70"/>
      <w:r>
        <w:rPr>
          <w:rFonts w:ascii="Lato" w:hAnsi="Lato"/>
          <w:color w:val="172236"/>
          <w:sz w:val="21"/>
        </w:rPr>
        <w:t>Intended Uses</w:t>
      </w:r>
    </w:p>
    <w:p>
      <w:pPr>
        <w:pStyle w:val="ListBullet"/>
        <w:numPr>
          <w:ilvl w:val="0"/>
          <w:numId w:val="1"/>
        </w:numPr>
        <w:rPr/>
      </w:pPr>
      <w:r>
        <w:rPr>
          <w:color w:val="172236"/>
          <w:sz w:val="18"/>
        </w:rPr>
        <w:t>Company submissions history.</w:t>
      </w:r>
    </w:p>
    <w:p>
      <w:pPr>
        <w:pStyle w:val="ListBullet"/>
        <w:numPr>
          <w:ilvl w:val="0"/>
          <w:numId w:val="1"/>
        </w:numPr>
        <w:rPr/>
      </w:pPr>
      <w:r>
        <w:rPr>
          <w:color w:val="172236"/>
          <w:sz w:val="18"/>
        </w:rPr>
        <w:t>Filing metadata.</w:t>
      </w:r>
    </w:p>
    <w:p>
      <w:pPr>
        <w:pStyle w:val="ListBullet"/>
        <w:numPr>
          <w:ilvl w:val="0"/>
          <w:numId w:val="1"/>
        </w:numPr>
        <w:rPr/>
      </w:pPr>
      <w:r>
        <w:rPr>
          <w:color w:val="172236"/>
          <w:sz w:val="18"/>
        </w:rPr>
        <w:t>XBRL company facts.</w:t>
      </w:r>
    </w:p>
    <w:p>
      <w:pPr>
        <w:pStyle w:val="ListBullet"/>
        <w:numPr>
          <w:ilvl w:val="0"/>
          <w:numId w:val="1"/>
        </w:numPr>
        <w:rPr/>
      </w:pPr>
      <w:r>
        <w:rPr>
          <w:color w:val="172236"/>
          <w:sz w:val="18"/>
        </w:rPr>
        <w:t>10-K.</w:t>
      </w:r>
    </w:p>
    <w:p>
      <w:pPr>
        <w:pStyle w:val="ListBullet"/>
        <w:numPr>
          <w:ilvl w:val="0"/>
          <w:numId w:val="1"/>
        </w:numPr>
        <w:rPr/>
      </w:pPr>
      <w:r>
        <w:rPr>
          <w:color w:val="172236"/>
          <w:sz w:val="18"/>
        </w:rPr>
        <w:t>10-Q.</w:t>
      </w:r>
    </w:p>
    <w:p>
      <w:pPr>
        <w:pStyle w:val="ListBullet"/>
        <w:numPr>
          <w:ilvl w:val="0"/>
          <w:numId w:val="1"/>
        </w:numPr>
        <w:rPr/>
      </w:pPr>
      <w:r>
        <w:rPr>
          <w:color w:val="172236"/>
          <w:sz w:val="18"/>
        </w:rPr>
        <w:t>8-K.</w:t>
      </w:r>
    </w:p>
    <w:p>
      <w:pPr>
        <w:pStyle w:val="ListBullet"/>
        <w:numPr>
          <w:ilvl w:val="0"/>
          <w:numId w:val="1"/>
        </w:numPr>
        <w:rPr/>
      </w:pPr>
      <w:r>
        <w:rPr>
          <w:color w:val="172236"/>
          <w:sz w:val="18"/>
        </w:rPr>
        <w:t>13F.</w:t>
      </w:r>
    </w:p>
    <w:p>
      <w:pPr>
        <w:pStyle w:val="ListBullet"/>
        <w:numPr>
          <w:ilvl w:val="0"/>
          <w:numId w:val="1"/>
        </w:numPr>
        <w:rPr/>
      </w:pPr>
      <w:r>
        <w:rPr>
          <w:color w:val="172236"/>
          <w:sz w:val="18"/>
        </w:rPr>
        <w:t>13D/13G.</w:t>
      </w:r>
    </w:p>
    <w:p>
      <w:pPr>
        <w:pStyle w:val="ListBullet"/>
        <w:numPr>
          <w:ilvl w:val="0"/>
          <w:numId w:val="1"/>
        </w:numPr>
        <w:rPr/>
      </w:pPr>
      <w:r>
        <w:rPr>
          <w:color w:val="172236"/>
          <w:sz w:val="18"/>
        </w:rPr>
        <w:t>Forms 3, 4, and 5.</w:t>
      </w:r>
    </w:p>
    <w:p>
      <w:pPr>
        <w:pStyle w:val="ListBullet"/>
        <w:numPr>
          <w:ilvl w:val="0"/>
          <w:numId w:val="1"/>
        </w:numPr>
        <w:rPr/>
      </w:pPr>
      <w:r>
        <w:rPr>
          <w:color w:val="172236"/>
          <w:sz w:val="18"/>
        </w:rPr>
        <w:t>Form 144.</w:t>
      </w:r>
    </w:p>
    <w:p>
      <w:pPr>
        <w:pStyle w:val="ListBullet"/>
        <w:numPr>
          <w:ilvl w:val="0"/>
          <w:numId w:val="1"/>
        </w:numPr>
        <w:rPr/>
      </w:pPr>
      <w:r>
        <w:rPr>
          <w:color w:val="172236"/>
          <w:sz w:val="18"/>
        </w:rPr>
        <w:t>Filing documents and exhibits where permitted.</w:t>
      </w:r>
    </w:p>
    <w:p>
      <w:pPr>
        <w:pStyle w:val="ListBullet"/>
        <w:numPr>
          <w:ilvl w:val="0"/>
          <w:numId w:val="1"/>
        </w:numPr>
        <w:rPr/>
      </w:pPr>
      <w:r>
        <w:rPr>
          <w:color w:val="172236"/>
          <w:sz w:val="18"/>
        </w:rPr>
        <w:t>RSS or polling-based recent filing discovery.</w:t>
      </w:r>
    </w:p>
    <w:p>
      <w:pPr>
        <w:pStyle w:val="Heading3"/>
        <w:rPr/>
      </w:pPr>
      <w:bookmarkStart w:id="71" w:name="__RefHeading___Toc6862_2150751134"/>
      <w:bookmarkEnd w:id="71"/>
      <w:r>
        <w:rPr>
          <w:rFonts w:ascii="Lato" w:hAnsi="Lato"/>
          <w:color w:val="172236"/>
          <w:sz w:val="21"/>
        </w:rPr>
        <w:t>Design Requirements</w:t>
      </w:r>
    </w:p>
    <w:p>
      <w:pPr>
        <w:pStyle w:val="ListBullet"/>
        <w:numPr>
          <w:ilvl w:val="0"/>
          <w:numId w:val="1"/>
        </w:numPr>
        <w:rPr/>
      </w:pPr>
      <w:r>
        <w:rPr>
          <w:color w:val="172236"/>
          <w:sz w:val="18"/>
        </w:rPr>
        <w:t>Respect SEC fair-access requirements and identify the application appropriately.</w:t>
      </w:r>
    </w:p>
    <w:p>
      <w:pPr>
        <w:pStyle w:val="ListBullet"/>
        <w:numPr>
          <w:ilvl w:val="0"/>
          <w:numId w:val="1"/>
        </w:numPr>
        <w:rPr/>
      </w:pPr>
      <w:r>
        <w:rPr>
          <w:color w:val="172236"/>
          <w:sz w:val="18"/>
        </w:rPr>
        <w:t>Cache immutable filings.</w:t>
      </w:r>
    </w:p>
    <w:p>
      <w:pPr>
        <w:pStyle w:val="ListBullet"/>
        <w:numPr>
          <w:ilvl w:val="0"/>
          <w:numId w:val="1"/>
        </w:numPr>
        <w:rPr/>
      </w:pPr>
      <w:r>
        <w:rPr>
          <w:color w:val="172236"/>
          <w:sz w:val="18"/>
        </w:rPr>
        <w:t>Hash original documents.</w:t>
      </w:r>
    </w:p>
    <w:p>
      <w:pPr>
        <w:pStyle w:val="ListBullet"/>
        <w:numPr>
          <w:ilvl w:val="0"/>
          <w:numId w:val="1"/>
        </w:numPr>
        <w:rPr/>
      </w:pPr>
      <w:r>
        <w:rPr>
          <w:color w:val="172236"/>
          <w:sz w:val="18"/>
        </w:rPr>
        <w:t>Store parser and extraction version.</w:t>
      </w:r>
    </w:p>
    <w:p>
      <w:pPr>
        <w:pStyle w:val="ListBullet"/>
        <w:numPr>
          <w:ilvl w:val="0"/>
          <w:numId w:val="1"/>
        </w:numPr>
        <w:rPr/>
      </w:pPr>
      <w:r>
        <w:rPr>
          <w:color w:val="172236"/>
          <w:sz w:val="18"/>
        </w:rPr>
        <w:t>Preserve raw text separately from AI-generated summaries.</w:t>
      </w:r>
    </w:p>
    <w:p>
      <w:pPr>
        <w:pStyle w:val="ListBullet"/>
        <w:numPr>
          <w:ilvl w:val="0"/>
          <w:numId w:val="1"/>
        </w:numPr>
        <w:rPr/>
      </w:pPr>
      <w:r>
        <w:rPr>
          <w:color w:val="172236"/>
          <w:sz w:val="18"/>
        </w:rPr>
        <w:t>Build deterministic parsers before relying on language models.</w:t>
      </w:r>
    </w:p>
    <w:p>
      <w:pPr>
        <w:pStyle w:val="ListBullet"/>
        <w:numPr>
          <w:ilvl w:val="0"/>
          <w:numId w:val="1"/>
        </w:numPr>
        <w:rPr/>
      </w:pPr>
      <w:r>
        <w:rPr>
          <w:color w:val="172236"/>
          <w:sz w:val="18"/>
        </w:rPr>
        <w:t>Extract entities, holdings, changes, risks, and material events.</w:t>
      </w:r>
    </w:p>
    <w:p>
      <w:pPr>
        <w:pStyle w:val="ListBullet"/>
        <w:numPr>
          <w:ilvl w:val="0"/>
          <w:numId w:val="1"/>
        </w:numPr>
        <w:rPr/>
      </w:pPr>
      <w:r>
        <w:rPr>
          <w:color w:val="172236"/>
          <w:sz w:val="18"/>
        </w:rPr>
        <w:t>Provide links back to original filings.</w:t>
      </w:r>
    </w:p>
    <w:p>
      <w:pPr>
        <w:pStyle w:val="ListBullet"/>
        <w:numPr>
          <w:ilvl w:val="0"/>
          <w:numId w:val="1"/>
        </w:numPr>
        <w:rPr/>
      </w:pPr>
      <w:r>
        <w:rPr>
          <w:color w:val="172236"/>
          <w:sz w:val="18"/>
        </w:rPr>
        <w:t>Reprocess historical filings when extraction improves, while retaining prior outputs.</w:t>
      </w:r>
    </w:p>
    <w:p>
      <w:pPr>
        <w:pStyle w:val="Heading2"/>
        <w:pBdr>
          <w:left w:val="single" w:sz="14" w:space="4" w:color="8B5CF6"/>
        </w:pBdr>
        <w:rPr/>
      </w:pPr>
      <w:bookmarkStart w:id="72" w:name="__RefHeading___Toc6864_2150751134"/>
      <w:bookmarkEnd w:id="72"/>
      <w:r>
        <w:rPr>
          <w:rFonts w:ascii="Lato" w:hAnsi="Lato"/>
          <w:color w:val="172236"/>
          <w:sz w:val="29"/>
        </w:rPr>
        <w:t>9.5 CFTC Public Reporting Environment — Commitments of Traders</w:t>
      </w:r>
    </w:p>
    <w:p>
      <w:pPr>
        <w:pStyle w:val="Heading3"/>
        <w:rPr/>
      </w:pPr>
      <w:bookmarkStart w:id="73" w:name="__RefHeading___Toc6866_2150751134"/>
      <w:bookmarkEnd w:id="73"/>
      <w:r>
        <w:rPr>
          <w:rFonts w:ascii="Lato" w:hAnsi="Lato"/>
          <w:color w:val="172236"/>
          <w:sz w:val="21"/>
        </w:rPr>
        <w:t>Intended Uses</w:t>
      </w:r>
    </w:p>
    <w:p>
      <w:pPr>
        <w:pStyle w:val="ListBullet"/>
        <w:numPr>
          <w:ilvl w:val="0"/>
          <w:numId w:val="1"/>
        </w:numPr>
        <w:rPr/>
      </w:pPr>
      <w:r>
        <w:rPr>
          <w:color w:val="172236"/>
          <w:sz w:val="18"/>
        </w:rPr>
        <w:t>Legacy COT.</w:t>
      </w:r>
    </w:p>
    <w:p>
      <w:pPr>
        <w:pStyle w:val="ListBullet"/>
        <w:numPr>
          <w:ilvl w:val="0"/>
          <w:numId w:val="1"/>
        </w:numPr>
        <w:rPr/>
      </w:pPr>
      <w:r>
        <w:rPr>
          <w:color w:val="172236"/>
          <w:sz w:val="18"/>
        </w:rPr>
        <w:t>Disaggregated COT.</w:t>
      </w:r>
    </w:p>
    <w:p>
      <w:pPr>
        <w:pStyle w:val="ListBullet"/>
        <w:numPr>
          <w:ilvl w:val="0"/>
          <w:numId w:val="1"/>
        </w:numPr>
        <w:rPr/>
      </w:pPr>
      <w:r>
        <w:rPr>
          <w:color w:val="172236"/>
          <w:sz w:val="18"/>
        </w:rPr>
        <w:t>Traders in Financial Futures.</w:t>
      </w:r>
    </w:p>
    <w:p>
      <w:pPr>
        <w:pStyle w:val="ListBullet"/>
        <w:numPr>
          <w:ilvl w:val="0"/>
          <w:numId w:val="1"/>
        </w:numPr>
        <w:rPr/>
      </w:pPr>
      <w:r>
        <w:rPr>
          <w:color w:val="172236"/>
          <w:sz w:val="18"/>
        </w:rPr>
        <w:t>Futures-only.</w:t>
      </w:r>
    </w:p>
    <w:p>
      <w:pPr>
        <w:pStyle w:val="ListBullet"/>
        <w:numPr>
          <w:ilvl w:val="0"/>
          <w:numId w:val="1"/>
        </w:numPr>
        <w:rPr/>
      </w:pPr>
      <w:r>
        <w:rPr>
          <w:color w:val="172236"/>
          <w:sz w:val="18"/>
        </w:rPr>
        <w:t>Futures-and-options combined.</w:t>
      </w:r>
    </w:p>
    <w:p>
      <w:pPr>
        <w:pStyle w:val="ListBullet"/>
        <w:numPr>
          <w:ilvl w:val="0"/>
          <w:numId w:val="1"/>
        </w:numPr>
        <w:rPr/>
      </w:pPr>
      <w:r>
        <w:rPr>
          <w:color w:val="172236"/>
          <w:sz w:val="18"/>
        </w:rPr>
        <w:t>Historical positioning.</w:t>
      </w:r>
    </w:p>
    <w:p>
      <w:pPr>
        <w:pStyle w:val="ListBullet"/>
        <w:numPr>
          <w:ilvl w:val="0"/>
          <w:numId w:val="1"/>
        </w:numPr>
        <w:rPr/>
      </w:pPr>
      <w:r>
        <w:rPr>
          <w:color w:val="172236"/>
          <w:sz w:val="18"/>
        </w:rPr>
        <w:t>Managed-money, dealer, asset-manager, leveraged-fund, producer, and other category analysis as supported by report type.</w:t>
      </w:r>
    </w:p>
    <w:p>
      <w:pPr>
        <w:pStyle w:val="Heading3"/>
        <w:rPr/>
      </w:pPr>
      <w:bookmarkStart w:id="74" w:name="__RefHeading___Toc6868_2150751134"/>
      <w:bookmarkEnd w:id="74"/>
      <w:r>
        <w:rPr>
          <w:rFonts w:ascii="Lato" w:hAnsi="Lato"/>
          <w:color w:val="172236"/>
          <w:sz w:val="21"/>
        </w:rPr>
        <w:t>Feature Design</w:t>
      </w:r>
    </w:p>
    <w:p>
      <w:pPr>
        <w:pStyle w:val="ListBullet"/>
        <w:numPr>
          <w:ilvl w:val="0"/>
          <w:numId w:val="1"/>
        </w:numPr>
        <w:rPr/>
      </w:pPr>
      <w:r>
        <w:rPr>
          <w:color w:val="172236"/>
          <w:sz w:val="18"/>
        </w:rPr>
        <w:t>Normalize contracts and report categories.</w:t>
      </w:r>
    </w:p>
    <w:p>
      <w:pPr>
        <w:pStyle w:val="ListBullet"/>
        <w:numPr>
          <w:ilvl w:val="0"/>
          <w:numId w:val="1"/>
        </w:numPr>
        <w:rPr/>
      </w:pPr>
      <w:r>
        <w:rPr>
          <w:color w:val="172236"/>
          <w:sz w:val="18"/>
        </w:rPr>
        <w:t>Calculate net positioning.</w:t>
      </w:r>
    </w:p>
    <w:p>
      <w:pPr>
        <w:pStyle w:val="ListBullet"/>
        <w:numPr>
          <w:ilvl w:val="0"/>
          <w:numId w:val="1"/>
        </w:numPr>
        <w:rPr/>
      </w:pPr>
      <w:r>
        <w:rPr>
          <w:color w:val="172236"/>
          <w:sz w:val="18"/>
        </w:rPr>
        <w:t>Weekly change.</w:t>
      </w:r>
    </w:p>
    <w:p>
      <w:pPr>
        <w:pStyle w:val="ListBullet"/>
        <w:numPr>
          <w:ilvl w:val="0"/>
          <w:numId w:val="1"/>
        </w:numPr>
        <w:rPr/>
      </w:pPr>
      <w:r>
        <w:rPr>
          <w:color w:val="172236"/>
          <w:sz w:val="18"/>
        </w:rPr>
        <w:t>Z-score.</w:t>
      </w:r>
    </w:p>
    <w:p>
      <w:pPr>
        <w:pStyle w:val="ListBullet"/>
        <w:numPr>
          <w:ilvl w:val="0"/>
          <w:numId w:val="1"/>
        </w:numPr>
        <w:rPr/>
      </w:pPr>
      <w:r>
        <w:rPr>
          <w:color w:val="172236"/>
          <w:sz w:val="18"/>
        </w:rPr>
        <w:t>Historical percentile.</w:t>
      </w:r>
    </w:p>
    <w:p>
      <w:pPr>
        <w:pStyle w:val="ListBullet"/>
        <w:numPr>
          <w:ilvl w:val="0"/>
          <w:numId w:val="1"/>
        </w:numPr>
        <w:rPr/>
      </w:pPr>
      <w:r>
        <w:rPr>
          <w:color w:val="172236"/>
          <w:sz w:val="18"/>
        </w:rPr>
        <w:t>Crowding score.</w:t>
      </w:r>
    </w:p>
    <w:p>
      <w:pPr>
        <w:pStyle w:val="ListBullet"/>
        <w:numPr>
          <w:ilvl w:val="0"/>
          <w:numId w:val="1"/>
        </w:numPr>
        <w:rPr/>
      </w:pPr>
      <w:r>
        <w:rPr>
          <w:color w:val="172236"/>
          <w:sz w:val="18"/>
        </w:rPr>
        <w:t>Price-position divergence.</w:t>
      </w:r>
    </w:p>
    <w:p>
      <w:pPr>
        <w:pStyle w:val="ListBullet"/>
        <w:numPr>
          <w:ilvl w:val="0"/>
          <w:numId w:val="1"/>
        </w:numPr>
        <w:rPr/>
      </w:pPr>
      <w:r>
        <w:rPr>
          <w:color w:val="172236"/>
          <w:sz w:val="18"/>
        </w:rPr>
        <w:t>Reversal alerts.</w:t>
      </w:r>
    </w:p>
    <w:p>
      <w:pPr>
        <w:pStyle w:val="ListBullet"/>
        <w:numPr>
          <w:ilvl w:val="0"/>
          <w:numId w:val="1"/>
        </w:numPr>
        <w:rPr/>
      </w:pPr>
      <w:r>
        <w:rPr>
          <w:color w:val="172236"/>
          <w:sz w:val="18"/>
        </w:rPr>
        <w:t>Cross-market positioning map.</w:t>
      </w:r>
    </w:p>
    <w:p>
      <w:pPr>
        <w:pStyle w:val="ListBullet"/>
        <w:numPr>
          <w:ilvl w:val="0"/>
          <w:numId w:val="1"/>
        </w:numPr>
        <w:rPr/>
      </w:pPr>
      <w:r>
        <w:rPr>
          <w:color w:val="172236"/>
          <w:sz w:val="18"/>
        </w:rPr>
        <w:t>Regime overlays.</w:t>
      </w:r>
    </w:p>
    <w:p>
      <w:pPr>
        <w:pStyle w:val="Normal"/>
        <w:rPr/>
      </w:pPr>
      <w:r>
        <w:rPr>
          <w:color w:val="172236"/>
          <w:sz w:val="19"/>
        </w:rPr>
        <w:t>COT data is weekly and delayed relative to the reporting date; the interface MUST communicate this clearly.</w:t>
      </w:r>
    </w:p>
    <w:p>
      <w:pPr>
        <w:pStyle w:val="Heading2"/>
        <w:pBdr>
          <w:left w:val="single" w:sz="14" w:space="4" w:color="8B5CF6"/>
        </w:pBdr>
        <w:rPr/>
      </w:pPr>
      <w:bookmarkStart w:id="75" w:name="__RefHeading___Toc6870_2150751134"/>
      <w:bookmarkEnd w:id="75"/>
      <w:r>
        <w:rPr>
          <w:rFonts w:ascii="Lato" w:hAnsi="Lato"/>
          <w:color w:val="172236"/>
          <w:sz w:val="29"/>
        </w:rPr>
        <w:t>9.6 FRED — Macroeconomic Data</w:t>
      </w:r>
    </w:p>
    <w:p>
      <w:pPr>
        <w:pStyle w:val="Normal"/>
        <w:rPr/>
      </w:pPr>
      <w:r>
        <w:rPr>
          <w:color w:val="172236"/>
          <w:sz w:val="19"/>
        </w:rPr>
        <w:t>Recommended uses:</w:t>
      </w:r>
    </w:p>
    <w:p>
      <w:pPr>
        <w:pStyle w:val="ListBullet"/>
        <w:numPr>
          <w:ilvl w:val="0"/>
          <w:numId w:val="1"/>
        </w:numPr>
        <w:rPr/>
      </w:pPr>
      <w:r>
        <w:rPr>
          <w:color w:val="172236"/>
          <w:sz w:val="18"/>
        </w:rPr>
        <w:t>Interest rates.</w:t>
      </w:r>
    </w:p>
    <w:p>
      <w:pPr>
        <w:pStyle w:val="ListBullet"/>
        <w:numPr>
          <w:ilvl w:val="0"/>
          <w:numId w:val="1"/>
        </w:numPr>
        <w:rPr/>
      </w:pPr>
      <w:r>
        <w:rPr>
          <w:color w:val="172236"/>
          <w:sz w:val="18"/>
        </w:rPr>
        <w:t>Yield curve.</w:t>
      </w:r>
    </w:p>
    <w:p>
      <w:pPr>
        <w:pStyle w:val="ListBullet"/>
        <w:numPr>
          <w:ilvl w:val="0"/>
          <w:numId w:val="1"/>
        </w:numPr>
        <w:rPr/>
      </w:pPr>
      <w:r>
        <w:rPr>
          <w:color w:val="172236"/>
          <w:sz w:val="18"/>
        </w:rPr>
        <w:t>Inflation.</w:t>
      </w:r>
    </w:p>
    <w:p>
      <w:pPr>
        <w:pStyle w:val="ListBullet"/>
        <w:numPr>
          <w:ilvl w:val="0"/>
          <w:numId w:val="1"/>
        </w:numPr>
        <w:rPr/>
      </w:pPr>
      <w:r>
        <w:rPr>
          <w:color w:val="172236"/>
          <w:sz w:val="18"/>
        </w:rPr>
        <w:t>Employment.</w:t>
      </w:r>
    </w:p>
    <w:p>
      <w:pPr>
        <w:pStyle w:val="ListBullet"/>
        <w:numPr>
          <w:ilvl w:val="0"/>
          <w:numId w:val="1"/>
        </w:numPr>
        <w:rPr/>
      </w:pPr>
      <w:r>
        <w:rPr>
          <w:color w:val="172236"/>
          <w:sz w:val="18"/>
        </w:rPr>
        <w:t>Liquidity and monetary aggregates.</w:t>
      </w:r>
    </w:p>
    <w:p>
      <w:pPr>
        <w:pStyle w:val="ListBullet"/>
        <w:numPr>
          <w:ilvl w:val="0"/>
          <w:numId w:val="1"/>
        </w:numPr>
        <w:rPr/>
      </w:pPr>
      <w:r>
        <w:rPr>
          <w:color w:val="172236"/>
          <w:sz w:val="18"/>
        </w:rPr>
        <w:t>Credit conditions.</w:t>
      </w:r>
    </w:p>
    <w:p>
      <w:pPr>
        <w:pStyle w:val="ListBullet"/>
        <w:numPr>
          <w:ilvl w:val="0"/>
          <w:numId w:val="1"/>
        </w:numPr>
        <w:rPr/>
      </w:pPr>
      <w:r>
        <w:rPr>
          <w:color w:val="172236"/>
          <w:sz w:val="18"/>
        </w:rPr>
        <w:t>Financial stress.</w:t>
      </w:r>
    </w:p>
    <w:p>
      <w:pPr>
        <w:pStyle w:val="ListBullet"/>
        <w:numPr>
          <w:ilvl w:val="0"/>
          <w:numId w:val="1"/>
        </w:numPr>
        <w:rPr/>
      </w:pPr>
      <w:r>
        <w:rPr>
          <w:color w:val="172236"/>
          <w:sz w:val="18"/>
        </w:rPr>
        <w:t>Economic regime classification.</w:t>
      </w:r>
    </w:p>
    <w:p>
      <w:pPr>
        <w:pStyle w:val="Normal"/>
        <w:rPr/>
      </w:pPr>
      <w:r>
        <w:rPr>
          <w:color w:val="172236"/>
          <w:sz w:val="19"/>
        </w:rPr>
        <w:t>Macro series MUST retain revision/vintage awareness where practical to prevent look-ahead bias.</w:t>
      </w:r>
    </w:p>
    <w:p>
      <w:pPr>
        <w:pStyle w:val="Heading2"/>
        <w:pBdr>
          <w:left w:val="single" w:sz="14" w:space="4" w:color="8B5CF6"/>
        </w:pBdr>
        <w:rPr/>
      </w:pPr>
      <w:bookmarkStart w:id="76" w:name="__RefHeading___Toc6872_2150751134"/>
      <w:bookmarkEnd w:id="76"/>
      <w:r>
        <w:rPr>
          <w:rFonts w:ascii="Lato" w:hAnsi="Lato"/>
          <w:color w:val="172236"/>
          <w:sz w:val="29"/>
        </w:rPr>
        <w:t>9.7 Additional Recommended Providers</w:t>
      </w:r>
    </w:p>
    <w:p>
      <w:pPr>
        <w:pStyle w:val="Heading3"/>
        <w:rPr/>
      </w:pPr>
      <w:bookmarkStart w:id="77" w:name="__RefHeading___Toc6874_2150751134"/>
      <w:bookmarkEnd w:id="77"/>
      <w:r>
        <w:rPr>
          <w:rFonts w:ascii="Lato" w:hAnsi="Lato"/>
          <w:color w:val="172236"/>
          <w:sz w:val="21"/>
        </w:rPr>
        <w:t>Public or Government</w:t>
      </w:r>
    </w:p>
    <w:p>
      <w:pPr>
        <w:pStyle w:val="ListBullet"/>
        <w:numPr>
          <w:ilvl w:val="0"/>
          <w:numId w:val="1"/>
        </w:numPr>
        <w:rPr/>
      </w:pPr>
      <w:r>
        <w:rPr>
          <w:color w:val="172236"/>
          <w:sz w:val="18"/>
        </w:rPr>
        <w:t>U.S. Treasury fiscal and yield data.</w:t>
      </w:r>
    </w:p>
    <w:p>
      <w:pPr>
        <w:pStyle w:val="ListBullet"/>
        <w:numPr>
          <w:ilvl w:val="0"/>
          <w:numId w:val="1"/>
        </w:numPr>
        <w:rPr/>
      </w:pPr>
      <w:r>
        <w:rPr>
          <w:color w:val="172236"/>
          <w:sz w:val="18"/>
        </w:rPr>
        <w:t>Bureau of Labor Statistics.</w:t>
      </w:r>
    </w:p>
    <w:p>
      <w:pPr>
        <w:pStyle w:val="ListBullet"/>
        <w:numPr>
          <w:ilvl w:val="0"/>
          <w:numId w:val="1"/>
        </w:numPr>
        <w:rPr/>
      </w:pPr>
      <w:r>
        <w:rPr>
          <w:color w:val="172236"/>
          <w:sz w:val="18"/>
        </w:rPr>
        <w:t>Bureau of Economic Analysis.</w:t>
      </w:r>
    </w:p>
    <w:p>
      <w:pPr>
        <w:pStyle w:val="ListBullet"/>
        <w:numPr>
          <w:ilvl w:val="0"/>
          <w:numId w:val="1"/>
        </w:numPr>
        <w:rPr/>
      </w:pPr>
      <w:r>
        <w:rPr>
          <w:color w:val="172236"/>
          <w:sz w:val="18"/>
        </w:rPr>
        <w:t>Federal Reserve calendars and releases.</w:t>
      </w:r>
    </w:p>
    <w:p>
      <w:pPr>
        <w:pStyle w:val="ListBullet"/>
        <w:numPr>
          <w:ilvl w:val="0"/>
          <w:numId w:val="1"/>
        </w:numPr>
        <w:rPr/>
      </w:pPr>
      <w:r>
        <w:rPr>
          <w:color w:val="172236"/>
          <w:sz w:val="18"/>
        </w:rPr>
        <w:t>FINRA public datasets where applicable.</w:t>
      </w:r>
    </w:p>
    <w:p>
      <w:pPr>
        <w:pStyle w:val="ListBullet"/>
        <w:numPr>
          <w:ilvl w:val="0"/>
          <w:numId w:val="1"/>
        </w:numPr>
        <w:rPr/>
      </w:pPr>
      <w:r>
        <w:rPr>
          <w:color w:val="172236"/>
          <w:sz w:val="18"/>
        </w:rPr>
        <w:t>OCC and exchange calendars where permitted.</w:t>
      </w:r>
    </w:p>
    <w:p>
      <w:pPr>
        <w:pStyle w:val="Heading3"/>
        <w:rPr/>
      </w:pPr>
      <w:bookmarkStart w:id="78" w:name="__RefHeading___Toc6876_2150751134"/>
      <w:bookmarkEnd w:id="78"/>
      <w:r>
        <w:rPr>
          <w:rFonts w:ascii="Lato" w:hAnsi="Lato"/>
          <w:color w:val="172236"/>
          <w:sz w:val="21"/>
        </w:rPr>
        <w:t>Optional Paid/Commercial</w:t>
      </w:r>
    </w:p>
    <w:p>
      <w:pPr>
        <w:pStyle w:val="ListBullet"/>
        <w:numPr>
          <w:ilvl w:val="0"/>
          <w:numId w:val="1"/>
        </w:numPr>
        <w:rPr/>
      </w:pPr>
      <w:r>
        <w:rPr>
          <w:color w:val="172236"/>
          <w:sz w:val="18"/>
        </w:rPr>
        <w:t>A licensed consolidated equity/option quote provider.</w:t>
      </w:r>
    </w:p>
    <w:p>
      <w:pPr>
        <w:pStyle w:val="ListBullet"/>
        <w:numPr>
          <w:ilvl w:val="0"/>
          <w:numId w:val="1"/>
        </w:numPr>
        <w:rPr/>
      </w:pPr>
      <w:r>
        <w:rPr>
          <w:color w:val="172236"/>
          <w:sz w:val="18"/>
        </w:rPr>
        <w:t>Exchange-grade historical tick/options data.</w:t>
      </w:r>
    </w:p>
    <w:p>
      <w:pPr>
        <w:pStyle w:val="ListBullet"/>
        <w:numPr>
          <w:ilvl w:val="0"/>
          <w:numId w:val="1"/>
        </w:numPr>
        <w:rPr/>
      </w:pPr>
      <w:r>
        <w:rPr>
          <w:color w:val="172236"/>
          <w:sz w:val="18"/>
        </w:rPr>
        <w:t>Corporate actions and reference data.</w:t>
      </w:r>
    </w:p>
    <w:p>
      <w:pPr>
        <w:pStyle w:val="ListBullet"/>
        <w:numPr>
          <w:ilvl w:val="0"/>
          <w:numId w:val="1"/>
        </w:numPr>
        <w:rPr/>
      </w:pPr>
      <w:r>
        <w:rPr>
          <w:color w:val="172236"/>
          <w:sz w:val="18"/>
        </w:rPr>
        <w:t>News with machine-readable entitlements.</w:t>
      </w:r>
    </w:p>
    <w:p>
      <w:pPr>
        <w:pStyle w:val="ListBullet"/>
        <w:numPr>
          <w:ilvl w:val="0"/>
          <w:numId w:val="1"/>
        </w:numPr>
        <w:rPr/>
      </w:pPr>
      <w:r>
        <w:rPr>
          <w:color w:val="172236"/>
          <w:sz w:val="18"/>
        </w:rPr>
        <w:t>Broker APIs for accounts and execution.</w:t>
      </w:r>
    </w:p>
    <w:p>
      <w:pPr>
        <w:pStyle w:val="ListBullet"/>
        <w:numPr>
          <w:ilvl w:val="0"/>
          <w:numId w:val="1"/>
        </w:numPr>
        <w:rPr/>
      </w:pPr>
      <w:r>
        <w:rPr>
          <w:color w:val="172236"/>
          <w:sz w:val="18"/>
        </w:rPr>
        <w:t>Crypto exchange-native feeds.</w:t>
      </w:r>
    </w:p>
    <w:p>
      <w:pPr>
        <w:pStyle w:val="ListBullet"/>
        <w:numPr>
          <w:ilvl w:val="0"/>
          <w:numId w:val="1"/>
        </w:numPr>
        <w:rPr/>
      </w:pPr>
      <w:r>
        <w:rPr>
          <w:color w:val="172236"/>
          <w:sz w:val="18"/>
        </w:rPr>
        <w:t>Institutional on-chain analytics.</w:t>
      </w:r>
    </w:p>
    <w:p>
      <w:pPr>
        <w:pStyle w:val="Heading3"/>
        <w:rPr/>
      </w:pPr>
      <w:bookmarkStart w:id="79" w:name="__RefHeading___Toc6878_2150751134"/>
      <w:bookmarkEnd w:id="79"/>
      <w:r>
        <w:rPr>
          <w:rFonts w:ascii="Lato" w:hAnsi="Lato"/>
          <w:color w:val="172236"/>
          <w:sz w:val="21"/>
        </w:rPr>
        <w:t>Critical Principle</w:t>
      </w:r>
    </w:p>
    <w:p>
      <w:pPr>
        <w:pStyle w:val="Normal"/>
        <w:rPr/>
      </w:pPr>
      <w:r>
        <w:rPr>
          <w:color w:val="172236"/>
          <w:sz w:val="19"/>
        </w:rPr>
        <w:t>PRISMATIK MUST display the distinction between:</w:t>
      </w:r>
    </w:p>
    <w:p>
      <w:pPr>
        <w:pStyle w:val="ListBullet"/>
        <w:numPr>
          <w:ilvl w:val="0"/>
          <w:numId w:val="1"/>
        </w:numPr>
        <w:rPr/>
      </w:pPr>
      <w:r>
        <w:rPr>
          <w:color w:val="172236"/>
          <w:sz w:val="18"/>
        </w:rPr>
        <w:t>Official public data.</w:t>
      </w:r>
    </w:p>
    <w:p>
      <w:pPr>
        <w:pStyle w:val="ListBullet"/>
        <w:numPr>
          <w:ilvl w:val="0"/>
          <w:numId w:val="1"/>
        </w:numPr>
        <w:rPr/>
      </w:pPr>
      <w:r>
        <w:rPr>
          <w:color w:val="172236"/>
          <w:sz w:val="18"/>
        </w:rPr>
        <w:t>Licensed commercial data.</w:t>
      </w:r>
    </w:p>
    <w:p>
      <w:pPr>
        <w:pStyle w:val="ListBullet"/>
        <w:numPr>
          <w:ilvl w:val="0"/>
          <w:numId w:val="1"/>
        </w:numPr>
        <w:rPr/>
      </w:pPr>
      <w:r>
        <w:rPr>
          <w:color w:val="172236"/>
          <w:sz w:val="18"/>
        </w:rPr>
        <w:t>User-connected broker data.</w:t>
      </w:r>
    </w:p>
    <w:p>
      <w:pPr>
        <w:pStyle w:val="ListBullet"/>
        <w:numPr>
          <w:ilvl w:val="0"/>
          <w:numId w:val="1"/>
        </w:numPr>
        <w:rPr/>
      </w:pPr>
      <w:r>
        <w:rPr>
          <w:color w:val="172236"/>
          <w:sz w:val="18"/>
        </w:rPr>
        <w:t>Exchange-native data.</w:t>
      </w:r>
    </w:p>
    <w:p>
      <w:pPr>
        <w:pStyle w:val="ListBullet"/>
        <w:numPr>
          <w:ilvl w:val="0"/>
          <w:numId w:val="1"/>
        </w:numPr>
        <w:rPr/>
      </w:pPr>
      <w:r>
        <w:rPr>
          <w:color w:val="172236"/>
          <w:sz w:val="18"/>
        </w:rPr>
        <w:t>Model-derived data.</w:t>
      </w:r>
    </w:p>
    <w:p>
      <w:pPr>
        <w:pStyle w:val="ListBullet"/>
        <w:numPr>
          <w:ilvl w:val="0"/>
          <w:numId w:val="1"/>
        </w:numPr>
        <w:rPr/>
      </w:pPr>
      <w:r>
        <w:rPr>
          <w:color w:val="172236"/>
          <w:sz w:val="18"/>
        </w:rPr>
        <w:t>Community-contributed data.</w:t>
      </w:r>
    </w:p>
    <w:p>
      <w:pPr>
        <w:pStyle w:val="Heading1"/>
        <w:pBdr>
          <w:bottom w:val="single" w:sz="12" w:space="5" w:color="33C7F2"/>
        </w:pBdr>
        <w:rPr/>
      </w:pPr>
      <w:bookmarkStart w:id="80" w:name="__RefHeading___Toc6880_2150751134"/>
      <w:bookmarkEnd w:id="80"/>
      <w:r>
        <w:rPr>
          <w:rFonts w:ascii="Lato" w:hAnsi="Lato"/>
          <w:color w:val="172236"/>
          <w:sz w:val="42"/>
        </w:rPr>
        <w:t>10. Unified Market Data Architecture</w:t>
      </w:r>
    </w:p>
    <w:p>
      <w:pPr>
        <w:pStyle w:val="Normal"/>
        <w:spacing w:before="140" w:after="20"/>
        <w:jc w:val="center"/>
        <w:rPr/>
      </w:pPr>
      <w:r>
        <w:rPr/>
        <w:drawing>
          <wp:inline distT="0" distB="0" distL="0" distR="0">
            <wp:extent cx="6263640" cy="2750185"/>
            <wp:effectExtent l="0" t="0" r="0" b="0"/>
            <wp:docPr id="9" name="Picture 9" descr="Image: image9.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title=""/>
                    <pic:cNvPicPr>
                      <a:picLocks noChangeAspect="1" noChangeArrowheads="1"/>
                    </pic:cNvPicPr>
                  </pic:nvPicPr>
                  <pic:blipFill>
                    <a:blip r:embed="rId28"/>
                    <a:stretch>
                      <a:fillRect/>
                    </a:stretch>
                  </pic:blipFill>
                  <pic:spPr bwMode="auto">
                    <a:xfrm>
                      <a:off x="0" y="0"/>
                      <a:ext cx="6263640" cy="2750185"/>
                    </a:xfrm>
                    <a:prstGeom prst="rect">
                      <a:avLst/>
                    </a:prstGeom>
                    <a:noFill/>
                  </pic:spPr>
                </pic:pic>
              </a:graphicData>
            </a:graphic>
          </wp:inline>
        </w:drawing>
      </w:r>
    </w:p>
    <w:p>
      <w:pPr>
        <w:pStyle w:val="CaptionCustom"/>
        <w:rPr/>
      </w:pPr>
      <w:r>
        <w:rPr/>
        <w:t>Figure 5 - Evidence-chained market-data pipeline and intelligence layers.</w:t>
      </w:r>
    </w:p>
    <w:p>
      <w:pPr>
        <w:pStyle w:val="Heading2"/>
        <w:pBdr>
          <w:left w:val="single" w:sz="14" w:space="4" w:color="8B5CF6"/>
        </w:pBdr>
        <w:rPr/>
      </w:pPr>
      <w:bookmarkStart w:id="81" w:name="__RefHeading___Toc6882_2150751134"/>
      <w:bookmarkEnd w:id="81"/>
      <w:r>
        <w:rPr>
          <w:rFonts w:ascii="Lato" w:hAnsi="Lato"/>
          <w:color w:val="172236"/>
          <w:sz w:val="29"/>
        </w:rPr>
        <w:t>10.1 Canonical Data Layers</w:t>
      </w:r>
    </w:p>
    <w:p>
      <w:pPr>
        <w:pStyle w:val="ListNumber"/>
        <w:numPr>
          <w:ilvl w:val="0"/>
          <w:numId w:val="4"/>
        </w:numPr>
        <w:rPr/>
      </w:pPr>
      <w:r>
        <w:rPr>
          <w:b/>
          <w:color w:val="172236"/>
          <w:sz w:val="18"/>
        </w:rPr>
        <w:t>Raw layer:</w:t>
      </w:r>
      <w:r>
        <w:rPr>
          <w:color w:val="172236"/>
          <w:sz w:val="18"/>
        </w:rPr>
        <w:t xml:space="preserve"> provider payloads, immutable where licensing permits.</w:t>
      </w:r>
    </w:p>
    <w:p>
      <w:pPr>
        <w:pStyle w:val="ListNumber"/>
        <w:numPr>
          <w:ilvl w:val="0"/>
          <w:numId w:val="4"/>
        </w:numPr>
        <w:rPr/>
      </w:pPr>
      <w:r>
        <w:rPr>
          <w:b/>
          <w:color w:val="172236"/>
          <w:sz w:val="18"/>
        </w:rPr>
        <w:t>Normalized layer:</w:t>
      </w:r>
      <w:r>
        <w:rPr>
          <w:color w:val="172236"/>
          <w:sz w:val="18"/>
        </w:rPr>
        <w:t xml:space="preserve"> canonical typed records.</w:t>
      </w:r>
    </w:p>
    <w:p>
      <w:pPr>
        <w:pStyle w:val="ListNumber"/>
        <w:numPr>
          <w:ilvl w:val="0"/>
          <w:numId w:val="4"/>
        </w:numPr>
        <w:rPr/>
      </w:pPr>
      <w:r>
        <w:rPr>
          <w:b/>
          <w:color w:val="172236"/>
          <w:sz w:val="18"/>
        </w:rPr>
        <w:t>Curated layer:</w:t>
      </w:r>
      <w:r>
        <w:rPr>
          <w:color w:val="172236"/>
          <w:sz w:val="18"/>
        </w:rPr>
        <w:t xml:space="preserve"> cleaned, deduplicated, adjusted, and quality-scored.</w:t>
      </w:r>
    </w:p>
    <w:p>
      <w:pPr>
        <w:pStyle w:val="ListNumber"/>
        <w:numPr>
          <w:ilvl w:val="0"/>
          <w:numId w:val="4"/>
        </w:numPr>
        <w:rPr/>
      </w:pPr>
      <w:r>
        <w:rPr>
          <w:b/>
          <w:color w:val="172236"/>
          <w:sz w:val="18"/>
        </w:rPr>
        <w:t>Feature layer:</w:t>
      </w:r>
      <w:r>
        <w:rPr>
          <w:color w:val="172236"/>
          <w:sz w:val="18"/>
        </w:rPr>
        <w:t xml:space="preserve"> indicators, factors, model features.</w:t>
      </w:r>
    </w:p>
    <w:p>
      <w:pPr>
        <w:pStyle w:val="ListNumber"/>
        <w:numPr>
          <w:ilvl w:val="0"/>
          <w:numId w:val="4"/>
        </w:numPr>
        <w:rPr/>
      </w:pPr>
      <w:r>
        <w:rPr>
          <w:b/>
          <w:color w:val="172236"/>
          <w:sz w:val="18"/>
        </w:rPr>
        <w:t>Intelligence layer:</w:t>
      </w:r>
      <w:r>
        <w:rPr>
          <w:color w:val="172236"/>
          <w:sz w:val="18"/>
        </w:rPr>
        <w:t xml:space="preserve"> opportunities, forecasts, anomalies, explanations.</w:t>
      </w:r>
    </w:p>
    <w:p>
      <w:pPr>
        <w:pStyle w:val="ListNumber"/>
        <w:numPr>
          <w:ilvl w:val="0"/>
          <w:numId w:val="4"/>
        </w:numPr>
        <w:rPr/>
      </w:pPr>
      <w:r>
        <w:rPr>
          <w:b/>
          <w:color w:val="172236"/>
          <w:sz w:val="18"/>
        </w:rPr>
        <w:t>Presentation layer:</w:t>
      </w:r>
      <w:r>
        <w:rPr>
          <w:color w:val="172236"/>
          <w:sz w:val="18"/>
        </w:rPr>
        <w:t xml:space="preserve"> user-specific views and aggregations.</w:t>
      </w:r>
    </w:p>
    <w:p>
      <w:pPr>
        <w:pStyle w:val="Heading2"/>
        <w:pBdr>
          <w:left w:val="single" w:sz="14" w:space="4" w:color="8B5CF6"/>
        </w:pBdr>
        <w:rPr/>
      </w:pPr>
      <w:bookmarkStart w:id="82" w:name="__RefHeading___Toc6884_2150751134"/>
      <w:bookmarkEnd w:id="82"/>
      <w:r>
        <w:rPr>
          <w:rFonts w:ascii="Lato" w:hAnsi="Lato"/>
          <w:color w:val="172236"/>
          <w:sz w:val="29"/>
        </w:rPr>
        <w:t>10.2 Provider Port Example</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#[async_trait::async_trait]</w:t>
        <w:br/>
        <w:t>pub trait MarketDataProvider: Send + Sync {</w:t>
        <w:br/>
        <w:t xml:space="preserve">    fn provider_id(&amp;self) -&gt; ProviderId;</w:t>
        <w:br/>
        <w:br/>
        <w:t xml:space="preserve">    async fn health(</w:t>
        <w:br/>
        <w:t xml:space="preserve">        &amp;self,</w:t>
        <w:br/>
        <w:t xml:space="preserve">        ctx: &amp;RequestContext,</w:t>
        <w:br/>
        <w:t xml:space="preserve">    ) -&gt; Result&lt;ProviderHealth, ProviderError&gt;;</w:t>
        <w:br/>
        <w:br/>
        <w:t xml:space="preserve">    async fn resolve_assets(</w:t>
        <w:br/>
        <w:t xml:space="preserve">        &amp;self,</w:t>
        <w:br/>
        <w:t xml:space="preserve">        ctx: &amp;RequestContext,</w:t>
        <w:br/>
        <w:t xml:space="preserve">        query: AssetQuery,</w:t>
        <w:br/>
        <w:t xml:space="preserve">    ) -&gt; Result&lt;Vec&lt;ProviderAsset&gt;, ProviderError&gt;;</w:t>
        <w:br/>
        <w:br/>
        <w:t xml:space="preserve">    async fn market_snapshot(</w:t>
        <w:br/>
        <w:t xml:space="preserve">        &amp;self,</w:t>
        <w:br/>
        <w:t xml:space="preserve">        ctx: &amp;RequestContext,</w:t>
        <w:br/>
        <w:t xml:space="preserve">        request: MarketSnapshotRequest,</w:t>
        <w:br/>
        <w:t xml:space="preserve">    ) -&gt; Result&lt;MarketSnapshot, ProviderError&gt;;</w:t>
        <w:br/>
        <w:br/>
        <w:t xml:space="preserve">    async fn historical_bars(</w:t>
        <w:br/>
        <w:t xml:space="preserve">        &amp;self,</w:t>
        <w:br/>
        <w:t xml:space="preserve">        ctx: &amp;RequestContext,</w:t>
        <w:br/>
        <w:t xml:space="preserve">        request: HistoricalBarsRequest,</w:t>
        <w:br/>
        <w:t xml:space="preserve">    ) -&gt; Result&lt;HistoricalBars, ProviderError&gt;;</w:t>
        <w:br/>
        <w:t>}</w:t>
      </w:r>
    </w:p>
    <w:p>
      <w:pPr>
        <w:pStyle w:val="Normal"/>
        <w:rPr/>
      </w:pPr>
      <w:r>
        <w:rPr>
          <w:color w:val="172236"/>
          <w:sz w:val="19"/>
        </w:rPr>
        <w:t>Provider capabilities MUST be discoverable rather than assumed.</w:t>
      </w:r>
    </w:p>
    <w:p>
      <w:pPr>
        <w:pStyle w:val="Heading2"/>
        <w:pBdr>
          <w:left w:val="single" w:sz="14" w:space="4" w:color="8B5CF6"/>
        </w:pBdr>
        <w:rPr/>
      </w:pPr>
      <w:bookmarkStart w:id="83" w:name="__RefHeading___Toc6886_2150751134"/>
      <w:bookmarkEnd w:id="83"/>
      <w:r>
        <w:rPr>
          <w:rFonts w:ascii="Lato" w:hAnsi="Lato"/>
          <w:color w:val="172236"/>
          <w:sz w:val="29"/>
        </w:rPr>
        <w:t>10.3 Canonical Identity Service</w:t>
      </w:r>
    </w:p>
    <w:p>
      <w:pPr>
        <w:pStyle w:val="Normal"/>
        <w:rPr/>
      </w:pPr>
      <w:r>
        <w:rPr>
          <w:color w:val="172236"/>
          <w:sz w:val="19"/>
        </w:rPr>
        <w:t>The system MUST solve symbol ambiguity.</w:t>
      </w:r>
    </w:p>
    <w:p>
      <w:pPr>
        <w:pStyle w:val="Normal"/>
        <w:rPr/>
      </w:pPr>
      <w:r>
        <w:rPr>
          <w:color w:val="172236"/>
          <w:sz w:val="19"/>
        </w:rPr>
        <w:t>Canonical asset records SHOULD include:</w:t>
      </w:r>
    </w:p>
    <w:p>
      <w:pPr>
        <w:pStyle w:val="ListBullet"/>
        <w:numPr>
          <w:ilvl w:val="0"/>
          <w:numId w:val="1"/>
        </w:numPr>
        <w:rPr/>
      </w:pPr>
      <w:r>
        <w:rPr>
          <w:color w:val="172236"/>
          <w:sz w:val="18"/>
        </w:rPr>
        <w:t>Internal immutable ID.</w:t>
      </w:r>
    </w:p>
    <w:p>
      <w:pPr>
        <w:pStyle w:val="ListBullet"/>
        <w:numPr>
          <w:ilvl w:val="0"/>
          <w:numId w:val="1"/>
        </w:numPr>
        <w:rPr/>
      </w:pPr>
      <w:r>
        <w:rPr>
          <w:color w:val="172236"/>
          <w:sz w:val="18"/>
        </w:rPr>
        <w:t>Asset type.</w:t>
      </w:r>
    </w:p>
    <w:p>
      <w:pPr>
        <w:pStyle w:val="ListBullet"/>
        <w:numPr>
          <w:ilvl w:val="0"/>
          <w:numId w:val="1"/>
        </w:numPr>
        <w:rPr/>
      </w:pPr>
      <w:r>
        <w:rPr>
          <w:color w:val="172236"/>
          <w:sz w:val="18"/>
        </w:rPr>
        <w:t>Legal issuer/entity.</w:t>
      </w:r>
    </w:p>
    <w:p>
      <w:pPr>
        <w:pStyle w:val="ListBullet"/>
        <w:numPr>
          <w:ilvl w:val="0"/>
          <w:numId w:val="1"/>
        </w:numPr>
        <w:rPr/>
      </w:pPr>
      <w:r>
        <w:rPr>
          <w:color w:val="172236"/>
          <w:sz w:val="18"/>
        </w:rPr>
        <w:t>Display symbol.</w:t>
      </w:r>
    </w:p>
    <w:p>
      <w:pPr>
        <w:pStyle w:val="ListBullet"/>
        <w:numPr>
          <w:ilvl w:val="0"/>
          <w:numId w:val="1"/>
        </w:numPr>
        <w:rPr/>
      </w:pPr>
      <w:r>
        <w:rPr>
          <w:color w:val="172236"/>
          <w:sz w:val="18"/>
        </w:rPr>
        <w:t>Exchange/venue.</w:t>
      </w:r>
    </w:p>
    <w:p>
      <w:pPr>
        <w:pStyle w:val="ListBullet"/>
        <w:numPr>
          <w:ilvl w:val="0"/>
          <w:numId w:val="1"/>
        </w:numPr>
        <w:rPr/>
      </w:pPr>
      <w:r>
        <w:rPr>
          <w:color w:val="172236"/>
          <w:sz w:val="18"/>
        </w:rPr>
        <w:t>Currency.</w:t>
      </w:r>
    </w:p>
    <w:p>
      <w:pPr>
        <w:pStyle w:val="ListBullet"/>
        <w:numPr>
          <w:ilvl w:val="0"/>
          <w:numId w:val="1"/>
        </w:numPr>
        <w:rPr/>
      </w:pPr>
      <w:r>
        <w:rPr>
          <w:color w:val="172236"/>
          <w:sz w:val="18"/>
        </w:rPr>
        <w:t>FIGI/CUSIP/ISIN when licensed and applicable.</w:t>
      </w:r>
    </w:p>
    <w:p>
      <w:pPr>
        <w:pStyle w:val="ListBullet"/>
        <w:numPr>
          <w:ilvl w:val="0"/>
          <w:numId w:val="1"/>
        </w:numPr>
        <w:rPr/>
      </w:pPr>
      <w:r>
        <w:rPr>
          <w:color w:val="172236"/>
          <w:sz w:val="18"/>
        </w:rPr>
        <w:t>SEC CIK.</w:t>
      </w:r>
    </w:p>
    <w:p>
      <w:pPr>
        <w:pStyle w:val="ListBullet"/>
        <w:numPr>
          <w:ilvl w:val="0"/>
          <w:numId w:val="1"/>
        </w:numPr>
        <w:rPr/>
      </w:pPr>
      <w:r>
        <w:rPr>
          <w:color w:val="172236"/>
          <w:sz w:val="18"/>
        </w:rPr>
        <w:t>CoinGecko ID.</w:t>
      </w:r>
    </w:p>
    <w:p>
      <w:pPr>
        <w:pStyle w:val="ListBullet"/>
        <w:numPr>
          <w:ilvl w:val="0"/>
          <w:numId w:val="1"/>
        </w:numPr>
        <w:rPr/>
      </w:pPr>
      <w:r>
        <w:rPr>
          <w:color w:val="172236"/>
          <w:sz w:val="18"/>
        </w:rPr>
        <w:t>Chain.</w:t>
      </w:r>
    </w:p>
    <w:p>
      <w:pPr>
        <w:pStyle w:val="ListBullet"/>
        <w:numPr>
          <w:ilvl w:val="0"/>
          <w:numId w:val="1"/>
        </w:numPr>
        <w:rPr/>
      </w:pPr>
      <w:r>
        <w:rPr>
          <w:color w:val="172236"/>
          <w:sz w:val="18"/>
        </w:rPr>
        <w:t>Contract address.</w:t>
      </w:r>
    </w:p>
    <w:p>
      <w:pPr>
        <w:pStyle w:val="ListBullet"/>
        <w:numPr>
          <w:ilvl w:val="0"/>
          <w:numId w:val="1"/>
        </w:numPr>
        <w:rPr/>
      </w:pPr>
      <w:r>
        <w:rPr>
          <w:color w:val="172236"/>
          <w:sz w:val="18"/>
        </w:rPr>
        <w:t>Token decimals.</w:t>
      </w:r>
    </w:p>
    <w:p>
      <w:pPr>
        <w:pStyle w:val="ListBullet"/>
        <w:numPr>
          <w:ilvl w:val="0"/>
          <w:numId w:val="1"/>
        </w:numPr>
        <w:rPr/>
      </w:pPr>
      <w:r>
        <w:rPr>
          <w:color w:val="172236"/>
          <w:sz w:val="18"/>
        </w:rPr>
        <w:t>Provider aliases.</w:t>
      </w:r>
    </w:p>
    <w:p>
      <w:pPr>
        <w:pStyle w:val="ListBullet"/>
        <w:numPr>
          <w:ilvl w:val="0"/>
          <w:numId w:val="1"/>
        </w:numPr>
        <w:rPr/>
      </w:pPr>
      <w:r>
        <w:rPr>
          <w:color w:val="172236"/>
          <w:sz w:val="18"/>
        </w:rPr>
        <w:t>Valid-from and valid-to dates.</w:t>
      </w:r>
    </w:p>
    <w:p>
      <w:pPr>
        <w:pStyle w:val="ListBullet"/>
        <w:numPr>
          <w:ilvl w:val="0"/>
          <w:numId w:val="1"/>
        </w:numPr>
        <w:rPr/>
      </w:pPr>
      <w:r>
        <w:rPr>
          <w:color w:val="172236"/>
          <w:sz w:val="18"/>
        </w:rPr>
        <w:t>Corporate-action lineage.</w:t>
      </w:r>
    </w:p>
    <w:p>
      <w:pPr>
        <w:pStyle w:val="Heading2"/>
        <w:pBdr>
          <w:left w:val="single" w:sz="14" w:space="4" w:color="8B5CF6"/>
        </w:pBdr>
        <w:rPr/>
      </w:pPr>
      <w:bookmarkStart w:id="84" w:name="__RefHeading___Toc6888_2150751134"/>
      <w:bookmarkEnd w:id="84"/>
      <w:r>
        <w:rPr>
          <w:rFonts w:ascii="Lato" w:hAnsi="Lato"/>
          <w:color w:val="172236"/>
          <w:sz w:val="29"/>
        </w:rPr>
        <w:t>10.4 Data Quality Score</w:t>
      </w:r>
    </w:p>
    <w:p>
      <w:pPr>
        <w:pStyle w:val="Normal"/>
        <w:rPr/>
      </w:pPr>
      <w:r>
        <w:rPr>
          <w:color w:val="172236"/>
          <w:sz w:val="19"/>
        </w:rPr>
        <w:t>Each dataset and record SHOULD be scored using:</w:t>
      </w:r>
    </w:p>
    <w:p>
      <w:pPr>
        <w:pStyle w:val="ListBullet"/>
        <w:numPr>
          <w:ilvl w:val="0"/>
          <w:numId w:val="1"/>
        </w:numPr>
        <w:rPr/>
      </w:pPr>
      <w:r>
        <w:rPr>
          <w:color w:val="172236"/>
          <w:sz w:val="18"/>
        </w:rPr>
        <w:t>Freshness.</w:t>
      </w:r>
    </w:p>
    <w:p>
      <w:pPr>
        <w:pStyle w:val="ListBullet"/>
        <w:numPr>
          <w:ilvl w:val="0"/>
          <w:numId w:val="1"/>
        </w:numPr>
        <w:rPr/>
      </w:pPr>
      <w:r>
        <w:rPr>
          <w:color w:val="172236"/>
          <w:sz w:val="18"/>
        </w:rPr>
        <w:t>Completeness.</w:t>
      </w:r>
    </w:p>
    <w:p>
      <w:pPr>
        <w:pStyle w:val="ListBullet"/>
        <w:numPr>
          <w:ilvl w:val="0"/>
          <w:numId w:val="1"/>
        </w:numPr>
        <w:rPr/>
      </w:pPr>
      <w:r>
        <w:rPr>
          <w:color w:val="172236"/>
          <w:sz w:val="18"/>
        </w:rPr>
        <w:t>Consistency.</w:t>
      </w:r>
    </w:p>
    <w:p>
      <w:pPr>
        <w:pStyle w:val="ListBullet"/>
        <w:numPr>
          <w:ilvl w:val="0"/>
          <w:numId w:val="1"/>
        </w:numPr>
        <w:rPr/>
      </w:pPr>
      <w:r>
        <w:rPr>
          <w:color w:val="172236"/>
          <w:sz w:val="18"/>
        </w:rPr>
        <w:t>Provider confidence.</w:t>
      </w:r>
    </w:p>
    <w:p>
      <w:pPr>
        <w:pStyle w:val="ListBullet"/>
        <w:numPr>
          <w:ilvl w:val="0"/>
          <w:numId w:val="1"/>
        </w:numPr>
        <w:rPr/>
      </w:pPr>
      <w:r>
        <w:rPr>
          <w:color w:val="172236"/>
          <w:sz w:val="18"/>
        </w:rPr>
        <w:t>Cross-provider agreement.</w:t>
      </w:r>
    </w:p>
    <w:p>
      <w:pPr>
        <w:pStyle w:val="ListBullet"/>
        <w:numPr>
          <w:ilvl w:val="0"/>
          <w:numId w:val="1"/>
        </w:numPr>
        <w:rPr/>
      </w:pPr>
      <w:r>
        <w:rPr>
          <w:color w:val="172236"/>
          <w:sz w:val="18"/>
        </w:rPr>
        <w:t>Schema validity.</w:t>
      </w:r>
    </w:p>
    <w:p>
      <w:pPr>
        <w:pStyle w:val="ListBullet"/>
        <w:numPr>
          <w:ilvl w:val="0"/>
          <w:numId w:val="1"/>
        </w:numPr>
        <w:rPr/>
      </w:pPr>
      <w:r>
        <w:rPr>
          <w:color w:val="172236"/>
          <w:sz w:val="18"/>
        </w:rPr>
        <w:t>Outlier status.</w:t>
      </w:r>
    </w:p>
    <w:p>
      <w:pPr>
        <w:pStyle w:val="ListBullet"/>
        <w:numPr>
          <w:ilvl w:val="0"/>
          <w:numId w:val="1"/>
        </w:numPr>
        <w:rPr/>
      </w:pPr>
      <w:r>
        <w:rPr>
          <w:color w:val="172236"/>
          <w:sz w:val="18"/>
        </w:rPr>
        <w:t>Adjustment status.</w:t>
      </w:r>
    </w:p>
    <w:p>
      <w:pPr>
        <w:pStyle w:val="ListBullet"/>
        <w:numPr>
          <w:ilvl w:val="0"/>
          <w:numId w:val="1"/>
        </w:numPr>
        <w:rPr/>
      </w:pPr>
      <w:r>
        <w:rPr>
          <w:color w:val="172236"/>
          <w:sz w:val="18"/>
        </w:rPr>
        <w:t>Venue coverage.</w:t>
      </w:r>
    </w:p>
    <w:p>
      <w:pPr>
        <w:pStyle w:val="Normal"/>
        <w:rPr/>
      </w:pPr>
      <w:r>
        <w:rPr>
          <w:color w:val="172236"/>
          <w:sz w:val="19"/>
        </w:rPr>
        <w:t>Low-quality data MUST not silently drive high-confidence recommendations.</w:t>
      </w:r>
    </w:p>
    <w:p>
      <w:pPr>
        <w:pStyle w:val="Heading2"/>
        <w:pBdr>
          <w:left w:val="single" w:sz="14" w:space="4" w:color="8B5CF6"/>
        </w:pBdr>
        <w:rPr/>
      </w:pPr>
      <w:bookmarkStart w:id="85" w:name="__RefHeading___Toc6890_2150751134"/>
      <w:bookmarkEnd w:id="85"/>
      <w:r>
        <w:rPr>
          <w:rFonts w:ascii="Lato" w:hAnsi="Lato"/>
          <w:color w:val="172236"/>
          <w:sz w:val="29"/>
        </w:rPr>
        <w:t>10.5 Rate-Limit and Budget Governor</w:t>
      </w:r>
    </w:p>
    <w:p>
      <w:pPr>
        <w:pStyle w:val="Normal"/>
        <w:rPr/>
      </w:pPr>
      <w:r>
        <w:rPr>
          <w:color w:val="172236"/>
          <w:sz w:val="19"/>
        </w:rPr>
        <w:t>A centralized governor MUST:</w:t>
      </w:r>
    </w:p>
    <w:p>
      <w:pPr>
        <w:pStyle w:val="ListBullet"/>
        <w:numPr>
          <w:ilvl w:val="0"/>
          <w:numId w:val="1"/>
        </w:numPr>
        <w:rPr/>
      </w:pPr>
      <w:r>
        <w:rPr>
          <w:color w:val="172236"/>
          <w:sz w:val="18"/>
        </w:rPr>
        <w:t>Track provider quotas.</w:t>
      </w:r>
    </w:p>
    <w:p>
      <w:pPr>
        <w:pStyle w:val="ListBullet"/>
        <w:numPr>
          <w:ilvl w:val="0"/>
          <w:numId w:val="1"/>
        </w:numPr>
        <w:rPr/>
      </w:pPr>
      <w:r>
        <w:rPr>
          <w:color w:val="172236"/>
          <w:sz w:val="18"/>
        </w:rPr>
        <w:t>Reserve capacity for critical workflows.</w:t>
      </w:r>
    </w:p>
    <w:p>
      <w:pPr>
        <w:pStyle w:val="ListBullet"/>
        <w:numPr>
          <w:ilvl w:val="0"/>
          <w:numId w:val="1"/>
        </w:numPr>
        <w:rPr/>
      </w:pPr>
      <w:r>
        <w:rPr>
          <w:color w:val="172236"/>
          <w:sz w:val="18"/>
        </w:rPr>
        <w:t>Coalesce duplicate requests.</w:t>
      </w:r>
    </w:p>
    <w:p>
      <w:pPr>
        <w:pStyle w:val="ListBullet"/>
        <w:numPr>
          <w:ilvl w:val="0"/>
          <w:numId w:val="1"/>
        </w:numPr>
        <w:rPr/>
      </w:pPr>
      <w:r>
        <w:rPr>
          <w:color w:val="172236"/>
          <w:sz w:val="18"/>
        </w:rPr>
        <w:t>Cache responses.</w:t>
      </w:r>
    </w:p>
    <w:p>
      <w:pPr>
        <w:pStyle w:val="ListBullet"/>
        <w:numPr>
          <w:ilvl w:val="0"/>
          <w:numId w:val="1"/>
        </w:numPr>
        <w:rPr/>
      </w:pPr>
      <w:r>
        <w:rPr>
          <w:color w:val="172236"/>
          <w:sz w:val="18"/>
        </w:rPr>
        <w:t>Apply adaptive polling.</w:t>
      </w:r>
    </w:p>
    <w:p>
      <w:pPr>
        <w:pStyle w:val="ListBullet"/>
        <w:numPr>
          <w:ilvl w:val="0"/>
          <w:numId w:val="1"/>
        </w:numPr>
        <w:rPr/>
      </w:pPr>
      <w:r>
        <w:rPr>
          <w:color w:val="172236"/>
          <w:sz w:val="18"/>
        </w:rPr>
        <w:t>Shed low-priority load.</w:t>
      </w:r>
    </w:p>
    <w:p>
      <w:pPr>
        <w:pStyle w:val="ListBullet"/>
        <w:numPr>
          <w:ilvl w:val="0"/>
          <w:numId w:val="1"/>
        </w:numPr>
        <w:rPr/>
      </w:pPr>
      <w:r>
        <w:rPr>
          <w:color w:val="172236"/>
          <w:sz w:val="18"/>
        </w:rPr>
        <w:t xml:space="preserve">Respect </w:t>
      </w:r>
      <w:r>
        <w:rPr>
          <w:rFonts w:ascii="Liberation Mono" w:hAnsi="Liberation Mono"/>
          <w:color w:val="8B5CF6"/>
          <w:sz w:val="17"/>
          <w:shd w:fill="F0EDFF" w:val="clear"/>
        </w:rPr>
        <w:t>Retry-After</w:t>
      </w:r>
      <w:r>
        <w:rPr>
          <w:color w:val="172236"/>
          <w:sz w:val="18"/>
        </w:rPr>
        <w:t>.</w:t>
      </w:r>
    </w:p>
    <w:p>
      <w:pPr>
        <w:pStyle w:val="ListBullet"/>
        <w:numPr>
          <w:ilvl w:val="0"/>
          <w:numId w:val="1"/>
        </w:numPr>
        <w:rPr/>
      </w:pPr>
      <w:r>
        <w:rPr>
          <w:color w:val="172236"/>
          <w:sz w:val="18"/>
        </w:rPr>
        <w:t>Record spend and credits.</w:t>
      </w:r>
    </w:p>
    <w:p>
      <w:pPr>
        <w:pStyle w:val="ListBullet"/>
        <w:numPr>
          <w:ilvl w:val="0"/>
          <w:numId w:val="1"/>
        </w:numPr>
        <w:rPr/>
      </w:pPr>
      <w:r>
        <w:rPr>
          <w:color w:val="172236"/>
          <w:sz w:val="18"/>
        </w:rPr>
        <w:t>Alert before exhaustion.</w:t>
      </w:r>
    </w:p>
    <w:p>
      <w:pPr>
        <w:pStyle w:val="ListBullet"/>
        <w:numPr>
          <w:ilvl w:val="0"/>
          <w:numId w:val="1"/>
        </w:numPr>
        <w:rPr/>
      </w:pPr>
      <w:r>
        <w:rPr>
          <w:color w:val="172236"/>
          <w:sz w:val="18"/>
        </w:rPr>
        <w:t>Prevent N parallel UI components from independently calling the same endpoint.</w:t>
      </w:r>
    </w:p>
    <w:p>
      <w:pPr>
        <w:pStyle w:val="Normal"/>
        <w:spacing w:before="0" w:after="0"/>
        <w:jc w:val="center"/>
        <w:rPr/>
      </w:pPr>
      <w:r>
        <w:rPr/>
        <w:drawing>
          <wp:inline distT="0" distB="0" distL="0" distR="0">
            <wp:extent cx="6546850" cy="8174990"/>
            <wp:effectExtent l="0" t="0" r="0" b="0"/>
            <wp:docPr id="10" name="Picture 10" descr="Image: image10.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title=""/>
                    <pic:cNvPicPr>
                      <a:picLocks noChangeAspect="1" noChangeArrowheads="1"/>
                    </pic:cNvPicPr>
                  </pic:nvPicPr>
                  <pic:blipFill>
                    <a:blip r:embed="rId29"/>
                    <a:stretch>
                      <a:fillRect/>
                    </a:stretch>
                  </pic:blipFill>
                  <pic:spPr bwMode="auto">
                    <a:xfrm>
                      <a:off x="0" y="0"/>
                      <a:ext cx="6546850" cy="8174990"/>
                    </a:xfrm>
                    <a:prstGeom prst="rect">
                      <a:avLst/>
                    </a:prstGeom>
                    <a:noFill/>
                  </pic:spPr>
                </pic:pic>
              </a:graphicData>
            </a:graphic>
          </wp:inline>
        </w:drawing>
      </w:r>
    </w:p>
    <w:p>
      <w:pPr>
        <w:pStyle w:val="Normal"/>
        <w:rPr/>
      </w:pPr>
      <w:r>
        <w:rPr/>
      </w:r>
    </w:p>
    <w:p>
      <w:pPr>
        <w:sectPr>
          <w:headerReference w:type="even" r:id="rId30"/>
          <w:headerReference w:type="default" r:id="rId31"/>
          <w:headerReference w:type="first" r:id="rId32"/>
          <w:footerReference w:type="even" r:id="rId33"/>
          <w:footerReference w:type="default" r:id="rId34"/>
          <w:footerReference w:type="first" r:id="rId35"/>
          <w:type w:val="nextPage"/>
          <w:pgSz w:w="12240" w:h="15840"/>
          <w:pgMar w:left="965" w:right="965" w:gutter="0" w:header="360" w:top="893" w:footer="360" w:bottom="835"/>
          <w:pgNumType w:fmt="decimal"/>
          <w:formProt w:val="false"/>
          <w:textDirection w:val="lrTb"/>
          <w:docGrid w:type="default" w:linePitch="312" w:charSpace="4096"/>
        </w:sectPr>
      </w:pPr>
      <w:r>
        <w:br w:type="page"/>
      </w:r>
    </w:p>
    <w:p>
      <w:pPr>
        <w:pStyle w:val="Heading1"/>
        <w:pBdr>
          <w:bottom w:val="single" w:sz="12" w:space="5" w:color="33C7F2"/>
        </w:pBdr>
        <w:rPr/>
      </w:pPr>
      <w:bookmarkStart w:id="86" w:name="__RefHeading___Toc6892_2150751134"/>
      <w:bookmarkEnd w:id="86"/>
      <w:r>
        <w:rPr>
          <w:rFonts w:ascii="Lato" w:hAnsi="Lato"/>
          <w:color w:val="172236"/>
          <w:sz w:val="42"/>
        </w:rPr>
        <w:t>11. Quantitative Research and Simulation Architecture</w:t>
      </w:r>
    </w:p>
    <w:p>
      <w:pPr>
        <w:pStyle w:val="Heading2"/>
        <w:pBdr>
          <w:left w:val="single" w:sz="14" w:space="4" w:color="8B5CF6"/>
        </w:pBdr>
        <w:rPr/>
      </w:pPr>
      <w:bookmarkStart w:id="87" w:name="__RefHeading___Toc6894_2150751134"/>
      <w:bookmarkEnd w:id="87"/>
      <w:r>
        <w:rPr>
          <w:rFonts w:ascii="Lato" w:hAnsi="Lato"/>
          <w:color w:val="172236"/>
          <w:sz w:val="29"/>
        </w:rPr>
        <w:t>11.1 Strategy Definition Modes</w:t>
      </w:r>
    </w:p>
    <w:p>
      <w:pPr>
        <w:pStyle w:val="Heading3"/>
        <w:rPr/>
      </w:pPr>
      <w:bookmarkStart w:id="88" w:name="__RefHeading___Toc6896_2150751134"/>
      <w:bookmarkEnd w:id="88"/>
      <w:r>
        <w:rPr>
          <w:rFonts w:ascii="Lato" w:hAnsi="Lato"/>
          <w:color w:val="172236"/>
          <w:sz w:val="21"/>
        </w:rPr>
        <w:t>Visual Builder</w:t>
      </w:r>
    </w:p>
    <w:p>
      <w:pPr>
        <w:pStyle w:val="Normal"/>
        <w:rPr/>
      </w:pPr>
      <w:r>
        <w:rPr>
          <w:color w:val="172236"/>
          <w:sz w:val="19"/>
        </w:rPr>
        <w:t>For non-programmers:</w:t>
      </w:r>
    </w:p>
    <w:p>
      <w:pPr>
        <w:pStyle w:val="ListBullet"/>
        <w:numPr>
          <w:ilvl w:val="0"/>
          <w:numId w:val="1"/>
        </w:numPr>
        <w:rPr/>
      </w:pPr>
      <w:r>
        <w:rPr>
          <w:color w:val="172236"/>
          <w:sz w:val="18"/>
        </w:rPr>
        <w:t>Condition groups.</w:t>
      </w:r>
    </w:p>
    <w:p>
      <w:pPr>
        <w:pStyle w:val="ListBullet"/>
        <w:numPr>
          <w:ilvl w:val="0"/>
          <w:numId w:val="1"/>
        </w:numPr>
        <w:rPr/>
      </w:pPr>
      <w:r>
        <w:rPr>
          <w:color w:val="172236"/>
          <w:sz w:val="18"/>
        </w:rPr>
        <w:t>Indicators.</w:t>
      </w:r>
    </w:p>
    <w:p>
      <w:pPr>
        <w:pStyle w:val="ListBullet"/>
        <w:numPr>
          <w:ilvl w:val="0"/>
          <w:numId w:val="1"/>
        </w:numPr>
        <w:rPr/>
      </w:pPr>
      <w:r>
        <w:rPr>
          <w:color w:val="172236"/>
          <w:sz w:val="18"/>
        </w:rPr>
        <w:t>Events.</w:t>
      </w:r>
    </w:p>
    <w:p>
      <w:pPr>
        <w:pStyle w:val="ListBullet"/>
        <w:numPr>
          <w:ilvl w:val="0"/>
          <w:numId w:val="1"/>
        </w:numPr>
        <w:rPr/>
      </w:pPr>
      <w:r>
        <w:rPr>
          <w:color w:val="172236"/>
          <w:sz w:val="18"/>
        </w:rPr>
        <w:t>Position rules.</w:t>
      </w:r>
    </w:p>
    <w:p>
      <w:pPr>
        <w:pStyle w:val="ListBullet"/>
        <w:numPr>
          <w:ilvl w:val="0"/>
          <w:numId w:val="1"/>
        </w:numPr>
        <w:rPr/>
      </w:pPr>
      <w:r>
        <w:rPr>
          <w:color w:val="172236"/>
          <w:sz w:val="18"/>
        </w:rPr>
        <w:t>Option-selection rules.</w:t>
      </w:r>
    </w:p>
    <w:p>
      <w:pPr>
        <w:pStyle w:val="ListBullet"/>
        <w:numPr>
          <w:ilvl w:val="0"/>
          <w:numId w:val="1"/>
        </w:numPr>
        <w:rPr/>
      </w:pPr>
      <w:r>
        <w:rPr>
          <w:color w:val="172236"/>
          <w:sz w:val="18"/>
        </w:rPr>
        <w:t>Entry/exit.</w:t>
      </w:r>
    </w:p>
    <w:p>
      <w:pPr>
        <w:pStyle w:val="ListBullet"/>
        <w:numPr>
          <w:ilvl w:val="0"/>
          <w:numId w:val="1"/>
        </w:numPr>
        <w:rPr/>
      </w:pPr>
      <w:r>
        <w:rPr>
          <w:color w:val="172236"/>
          <w:sz w:val="18"/>
        </w:rPr>
        <w:t>Risk limits.</w:t>
      </w:r>
    </w:p>
    <w:p>
      <w:pPr>
        <w:pStyle w:val="ListBullet"/>
        <w:numPr>
          <w:ilvl w:val="0"/>
          <w:numId w:val="1"/>
        </w:numPr>
        <w:rPr/>
      </w:pPr>
      <w:r>
        <w:rPr>
          <w:color w:val="172236"/>
          <w:sz w:val="18"/>
        </w:rPr>
        <w:t>Time windows.</w:t>
      </w:r>
    </w:p>
    <w:p>
      <w:pPr>
        <w:pStyle w:val="ListBullet"/>
        <w:numPr>
          <w:ilvl w:val="0"/>
          <w:numId w:val="1"/>
        </w:numPr>
        <w:rPr/>
      </w:pPr>
      <w:r>
        <w:rPr>
          <w:color w:val="172236"/>
          <w:sz w:val="18"/>
        </w:rPr>
        <w:t>Execution assumptions.</w:t>
      </w:r>
    </w:p>
    <w:p>
      <w:pPr>
        <w:pStyle w:val="Heading3"/>
        <w:rPr/>
      </w:pPr>
      <w:bookmarkStart w:id="89" w:name="__RefHeading___Toc6898_2150751134"/>
      <w:bookmarkEnd w:id="89"/>
      <w:r>
        <w:rPr>
          <w:rFonts w:ascii="Lato" w:hAnsi="Lato"/>
          <w:color w:val="172236"/>
          <w:sz w:val="21"/>
        </w:rPr>
        <w:t>Strategy DSL</w:t>
      </w:r>
    </w:p>
    <w:p>
      <w:pPr>
        <w:pStyle w:val="Normal"/>
        <w:rPr/>
      </w:pPr>
      <w:r>
        <w:rPr>
          <w:color w:val="172236"/>
          <w:sz w:val="19"/>
        </w:rPr>
        <w:t>A typed, versioned domain language:</w:t>
      </w:r>
    </w:p>
    <w:p>
      <w:pPr>
        <w:pStyle w:val="Normal"/>
        <w:keepNext w:val="true"/>
        <w:pBdr>
          <w:left w:val="single" w:sz="18" w:space="4" w:color="8B5CF6"/>
        </w:pBdr>
        <w:shd w:fill="0D1C32"/>
        <w:spacing w:before="120" w:after="0"/>
        <w:rPr/>
      </w:pPr>
      <w:r>
        <w:rPr>
          <w:rFonts w:ascii="Inter Display" w:hAnsi="Inter Display"/>
          <w:b/>
          <w:color w:val="33C7F2"/>
          <w:sz w:val="14"/>
        </w:rPr>
        <w:t>TEXT</w:t>
      </w:r>
    </w:p>
    <w:p>
      <w:pPr>
        <w:pStyle w:val="CodeBlock"/>
        <w:keepLines/>
        <w:pBdr>
          <w:left w:val="single" w:sz="18" w:space="4" w:color="8B5CF6"/>
        </w:pBdr>
        <w:shd w:fill="0D1C32"/>
        <w:spacing w:lineRule="auto" w:line="240" w:before="0" w:after="140"/>
        <w:rPr/>
      </w:pPr>
      <w:r>
        <w:rPr>
          <w:color w:val="D9E5F5"/>
          <w:sz w:val="14"/>
        </w:rPr>
        <w:t>strategy "EventFlowMomentum" version 1 {</w:t>
        <w:br/>
        <w:t xml:space="preserve">  universe = us_equities</w:t>
        <w:br/>
        <w:t xml:space="preserve">  when:</w:t>
        <w:br/>
        <w:t xml:space="preserve">    relative_volume &gt; 2.0</w:t>
        <w:br/>
        <w:t xml:space="preserve">    and options.call_put_premium_ratio &gt; 2.5</w:t>
        <w:br/>
        <w:t xml:space="preserve">    and iv_rank &lt; 45</w:t>
        <w:br/>
        <w:t xml:space="preserve">    and days_to_earnings between 10 and 30</w:t>
        <w:br/>
        <w:t xml:space="preserve">    and regime.volatility != "crisis"</w:t>
        <w:br/>
        <w:t xml:space="preserve">  enter:</w:t>
        <w:br/>
        <w:t xml:space="preserve">    structure = call_debit_spread</w:t>
        <w:br/>
        <w:t xml:space="preserve">    dte between 30 and 60</w:t>
        <w:br/>
        <w:t xml:space="preserve">    long_delta between 0.55 and 0.70</w:t>
        <w:br/>
        <w:t xml:space="preserve">  risk:</w:t>
        <w:br/>
        <w:t xml:space="preserve">    max_premium_at_risk = 0.50% of portfolio</w:t>
        <w:br/>
        <w:t xml:space="preserve">    max_sector_exposure = 15%</w:t>
        <w:br/>
        <w:t xml:space="preserve">  exit:</w:t>
        <w:br/>
        <w:t xml:space="preserve">    profit_target = 50% of max_profit</w:t>
        <w:br/>
        <w:t xml:space="preserve">    stop = 40% of debit</w:t>
        <w:br/>
        <w:t xml:space="preserve">    max_holding_days = 15</w:t>
        <w:br/>
        <w:t>}</w:t>
      </w:r>
    </w:p>
    <w:p>
      <w:pPr>
        <w:pStyle w:val="Normal"/>
        <w:rPr/>
      </w:pPr>
      <w:r>
        <w:rPr>
          <w:color w:val="172236"/>
          <w:sz w:val="19"/>
        </w:rPr>
        <w:t>The DSL MUST compile to a typed intermediate representation.</w:t>
      </w:r>
    </w:p>
    <w:p>
      <w:pPr>
        <w:pStyle w:val="Heading3"/>
        <w:rPr/>
      </w:pPr>
      <w:bookmarkStart w:id="90" w:name="__RefHeading___Toc6900_2150751134"/>
      <w:bookmarkEnd w:id="90"/>
      <w:r>
        <w:rPr>
          <w:rFonts w:ascii="Lato" w:hAnsi="Lato"/>
          <w:color w:val="172236"/>
          <w:sz w:val="21"/>
        </w:rPr>
        <w:t>Python</w:t>
      </w:r>
    </w:p>
    <w:p>
      <w:pPr>
        <w:pStyle w:val="Normal"/>
        <w:rPr/>
      </w:pPr>
      <w:r>
        <w:rPr>
          <w:color w:val="172236"/>
          <w:sz w:val="19"/>
        </w:rPr>
        <w:t>Use a sandboxed research service for exploratory analysis. Python MUST not become the trusted execution core.</w:t>
      </w:r>
    </w:p>
    <w:p>
      <w:pPr>
        <w:pStyle w:val="Normal"/>
        <w:rPr/>
      </w:pPr>
      <w:r>
        <w:rPr>
          <w:color w:val="172236"/>
          <w:sz w:val="19"/>
        </w:rPr>
        <w:t>Recommended libraries:</w:t>
      </w:r>
    </w:p>
    <w:p>
      <w:pPr>
        <w:pStyle w:val="ListBullet"/>
        <w:numPr>
          <w:ilvl w:val="0"/>
          <w:numId w:val="1"/>
        </w:numPr>
        <w:rPr/>
      </w:pPr>
      <w:r>
        <w:rPr>
          <w:color w:val="172236"/>
          <w:sz w:val="18"/>
        </w:rPr>
        <w:t>Polars.</w:t>
      </w:r>
    </w:p>
    <w:p>
      <w:pPr>
        <w:pStyle w:val="ListBullet"/>
        <w:numPr>
          <w:ilvl w:val="0"/>
          <w:numId w:val="1"/>
        </w:numPr>
        <w:rPr/>
      </w:pPr>
      <w:r>
        <w:rPr>
          <w:color w:val="172236"/>
          <w:sz w:val="18"/>
        </w:rPr>
        <w:t>PyArrow.</w:t>
      </w:r>
    </w:p>
    <w:p>
      <w:pPr>
        <w:pStyle w:val="ListBullet"/>
        <w:numPr>
          <w:ilvl w:val="0"/>
          <w:numId w:val="1"/>
        </w:numPr>
        <w:rPr/>
      </w:pPr>
      <w:r>
        <w:rPr>
          <w:color w:val="172236"/>
          <w:sz w:val="18"/>
        </w:rPr>
        <w:t>NumPy.</w:t>
      </w:r>
    </w:p>
    <w:p>
      <w:pPr>
        <w:pStyle w:val="ListBullet"/>
        <w:numPr>
          <w:ilvl w:val="0"/>
          <w:numId w:val="1"/>
        </w:numPr>
        <w:rPr/>
      </w:pPr>
      <w:r>
        <w:rPr>
          <w:color w:val="172236"/>
          <w:sz w:val="18"/>
        </w:rPr>
        <w:t>SciPy.</w:t>
      </w:r>
    </w:p>
    <w:p>
      <w:pPr>
        <w:pStyle w:val="ListBullet"/>
        <w:numPr>
          <w:ilvl w:val="0"/>
          <w:numId w:val="1"/>
        </w:numPr>
        <w:rPr/>
      </w:pPr>
      <w:r>
        <w:rPr>
          <w:color w:val="172236"/>
          <w:sz w:val="18"/>
        </w:rPr>
        <w:t>statsmodels.</w:t>
      </w:r>
    </w:p>
    <w:p>
      <w:pPr>
        <w:pStyle w:val="ListBullet"/>
        <w:numPr>
          <w:ilvl w:val="0"/>
          <w:numId w:val="1"/>
        </w:numPr>
        <w:rPr/>
      </w:pPr>
      <w:r>
        <w:rPr>
          <w:color w:val="172236"/>
          <w:sz w:val="18"/>
        </w:rPr>
        <w:t>scikit-learn.</w:t>
      </w:r>
    </w:p>
    <w:p>
      <w:pPr>
        <w:pStyle w:val="ListBullet"/>
        <w:numPr>
          <w:ilvl w:val="0"/>
          <w:numId w:val="1"/>
        </w:numPr>
        <w:rPr/>
      </w:pPr>
      <w:r>
        <w:rPr>
          <w:color w:val="172236"/>
          <w:sz w:val="18"/>
        </w:rPr>
        <w:t>Jupyter-compatible environment where appropriate.</w:t>
      </w:r>
    </w:p>
    <w:p>
      <w:pPr>
        <w:pStyle w:val="Heading3"/>
        <w:rPr/>
      </w:pPr>
      <w:bookmarkStart w:id="91" w:name="__RefHeading___Toc6902_2150751134"/>
      <w:bookmarkEnd w:id="91"/>
      <w:r>
        <w:rPr>
          <w:rFonts w:ascii="Lato" w:hAnsi="Lato"/>
          <w:color w:val="172236"/>
          <w:sz w:val="21"/>
        </w:rPr>
        <w:t>Rust SDK</w:t>
      </w:r>
    </w:p>
    <w:p>
      <w:pPr>
        <w:pStyle w:val="Normal"/>
        <w:rPr/>
      </w:pPr>
      <w:r>
        <w:rPr>
          <w:color w:val="172236"/>
          <w:sz w:val="19"/>
        </w:rPr>
        <w:t>For production-grade strategies:</w:t>
      </w:r>
    </w:p>
    <w:p>
      <w:pPr>
        <w:pStyle w:val="ListBullet"/>
        <w:numPr>
          <w:ilvl w:val="0"/>
          <w:numId w:val="1"/>
        </w:numPr>
        <w:rPr/>
      </w:pPr>
      <w:r>
        <w:rPr>
          <w:color w:val="172236"/>
          <w:sz w:val="18"/>
        </w:rPr>
        <w:t>Typed events.</w:t>
      </w:r>
    </w:p>
    <w:p>
      <w:pPr>
        <w:pStyle w:val="ListBullet"/>
        <w:numPr>
          <w:ilvl w:val="0"/>
          <w:numId w:val="1"/>
        </w:numPr>
        <w:rPr/>
      </w:pPr>
      <w:r>
        <w:rPr>
          <w:color w:val="172236"/>
          <w:sz w:val="18"/>
        </w:rPr>
        <w:t>Deterministic clock.</w:t>
      </w:r>
    </w:p>
    <w:p>
      <w:pPr>
        <w:pStyle w:val="ListBullet"/>
        <w:numPr>
          <w:ilvl w:val="0"/>
          <w:numId w:val="1"/>
        </w:numPr>
        <w:rPr/>
      </w:pPr>
      <w:r>
        <w:rPr>
          <w:color w:val="172236"/>
          <w:sz w:val="18"/>
        </w:rPr>
        <w:t>Explicit state.</w:t>
      </w:r>
    </w:p>
    <w:p>
      <w:pPr>
        <w:pStyle w:val="ListBullet"/>
        <w:numPr>
          <w:ilvl w:val="0"/>
          <w:numId w:val="1"/>
        </w:numPr>
        <w:rPr/>
      </w:pPr>
      <w:r>
        <w:rPr>
          <w:color w:val="172236"/>
          <w:sz w:val="18"/>
        </w:rPr>
        <w:t>Bounded memory.</w:t>
      </w:r>
    </w:p>
    <w:p>
      <w:pPr>
        <w:pStyle w:val="ListBullet"/>
        <w:numPr>
          <w:ilvl w:val="0"/>
          <w:numId w:val="1"/>
        </w:numPr>
        <w:rPr/>
      </w:pPr>
      <w:r>
        <w:rPr>
          <w:color w:val="172236"/>
          <w:sz w:val="18"/>
        </w:rPr>
        <w:t>Reproducible random sources.</w:t>
      </w:r>
    </w:p>
    <w:p>
      <w:pPr>
        <w:pStyle w:val="ListBullet"/>
        <w:numPr>
          <w:ilvl w:val="0"/>
          <w:numId w:val="1"/>
        </w:numPr>
        <w:rPr/>
      </w:pPr>
      <w:r>
        <w:rPr>
          <w:color w:val="172236"/>
          <w:sz w:val="18"/>
        </w:rPr>
        <w:t>No direct network access.</w:t>
      </w:r>
    </w:p>
    <w:p>
      <w:pPr>
        <w:pStyle w:val="ListBullet"/>
        <w:numPr>
          <w:ilvl w:val="0"/>
          <w:numId w:val="1"/>
        </w:numPr>
        <w:rPr/>
      </w:pPr>
      <w:r>
        <w:rPr>
          <w:color w:val="172236"/>
          <w:sz w:val="18"/>
        </w:rPr>
        <w:t>Capability-scoped data access.</w:t>
      </w:r>
    </w:p>
    <w:p>
      <w:pPr>
        <w:pStyle w:val="Heading2"/>
        <w:pBdr>
          <w:left w:val="single" w:sz="14" w:space="4" w:color="8B5CF6"/>
        </w:pBdr>
        <w:rPr/>
      </w:pPr>
      <w:bookmarkStart w:id="92" w:name="__RefHeading___Toc6904_2150751134"/>
      <w:bookmarkEnd w:id="92"/>
      <w:r>
        <w:rPr>
          <w:rFonts w:ascii="Lato" w:hAnsi="Lato"/>
          <w:color w:val="172236"/>
          <w:sz w:val="29"/>
        </w:rPr>
        <w:t>11.2 Backtesting Engine</w:t>
      </w:r>
    </w:p>
    <w:p>
      <w:pPr>
        <w:pStyle w:val="Normal"/>
        <w:rPr/>
      </w:pPr>
      <w:r>
        <w:rPr>
          <w:color w:val="172236"/>
          <w:sz w:val="19"/>
        </w:rPr>
        <w:t>The engine MUST model:</w:t>
      </w:r>
    </w:p>
    <w:p>
      <w:pPr>
        <w:pStyle w:val="ListBullet"/>
        <w:numPr>
          <w:ilvl w:val="0"/>
          <w:numId w:val="1"/>
        </w:numPr>
        <w:rPr/>
      </w:pPr>
      <w:r>
        <w:rPr>
          <w:color w:val="172236"/>
          <w:sz w:val="18"/>
        </w:rPr>
        <w:t>Corporate actions.</w:t>
      </w:r>
    </w:p>
    <w:p>
      <w:pPr>
        <w:pStyle w:val="ListBullet"/>
        <w:numPr>
          <w:ilvl w:val="0"/>
          <w:numId w:val="1"/>
        </w:numPr>
        <w:rPr/>
      </w:pPr>
      <w:r>
        <w:rPr>
          <w:color w:val="172236"/>
          <w:sz w:val="18"/>
        </w:rPr>
        <w:t>Delistings.</w:t>
      </w:r>
    </w:p>
    <w:p>
      <w:pPr>
        <w:pStyle w:val="ListBullet"/>
        <w:numPr>
          <w:ilvl w:val="0"/>
          <w:numId w:val="1"/>
        </w:numPr>
        <w:rPr/>
      </w:pPr>
      <w:r>
        <w:rPr>
          <w:color w:val="172236"/>
          <w:sz w:val="18"/>
        </w:rPr>
        <w:t>Survivorship.</w:t>
      </w:r>
    </w:p>
    <w:p>
      <w:pPr>
        <w:pStyle w:val="ListBullet"/>
        <w:numPr>
          <w:ilvl w:val="0"/>
          <w:numId w:val="1"/>
        </w:numPr>
        <w:rPr/>
      </w:pPr>
      <w:r>
        <w:rPr>
          <w:color w:val="172236"/>
          <w:sz w:val="18"/>
        </w:rPr>
        <w:t>Symbol changes.</w:t>
      </w:r>
    </w:p>
    <w:p>
      <w:pPr>
        <w:pStyle w:val="ListBullet"/>
        <w:numPr>
          <w:ilvl w:val="0"/>
          <w:numId w:val="1"/>
        </w:numPr>
        <w:rPr/>
      </w:pPr>
      <w:r>
        <w:rPr>
          <w:color w:val="172236"/>
          <w:sz w:val="18"/>
        </w:rPr>
        <w:t>Trading calendars.</w:t>
      </w:r>
    </w:p>
    <w:p>
      <w:pPr>
        <w:pStyle w:val="ListBullet"/>
        <w:numPr>
          <w:ilvl w:val="0"/>
          <w:numId w:val="1"/>
        </w:numPr>
        <w:rPr/>
      </w:pPr>
      <w:r>
        <w:rPr>
          <w:color w:val="172236"/>
          <w:sz w:val="18"/>
        </w:rPr>
        <w:t>Session boundaries.</w:t>
      </w:r>
    </w:p>
    <w:p>
      <w:pPr>
        <w:pStyle w:val="ListBullet"/>
        <w:numPr>
          <w:ilvl w:val="0"/>
          <w:numId w:val="1"/>
        </w:numPr>
        <w:rPr/>
      </w:pPr>
      <w:r>
        <w:rPr>
          <w:color w:val="172236"/>
          <w:sz w:val="18"/>
        </w:rPr>
        <w:t>Timezones.</w:t>
      </w:r>
    </w:p>
    <w:p>
      <w:pPr>
        <w:pStyle w:val="ListBullet"/>
        <w:numPr>
          <w:ilvl w:val="0"/>
          <w:numId w:val="1"/>
        </w:numPr>
        <w:rPr/>
      </w:pPr>
      <w:r>
        <w:rPr>
          <w:color w:val="172236"/>
          <w:sz w:val="18"/>
        </w:rPr>
        <w:t>Bid/ask where available.</w:t>
      </w:r>
    </w:p>
    <w:p>
      <w:pPr>
        <w:pStyle w:val="ListBullet"/>
        <w:numPr>
          <w:ilvl w:val="0"/>
          <w:numId w:val="1"/>
        </w:numPr>
        <w:rPr/>
      </w:pPr>
      <w:r>
        <w:rPr>
          <w:color w:val="172236"/>
          <w:sz w:val="18"/>
        </w:rPr>
        <w:t>Spread.</w:t>
      </w:r>
    </w:p>
    <w:p>
      <w:pPr>
        <w:pStyle w:val="ListBullet"/>
        <w:numPr>
          <w:ilvl w:val="0"/>
          <w:numId w:val="1"/>
        </w:numPr>
        <w:rPr/>
      </w:pPr>
      <w:r>
        <w:rPr>
          <w:color w:val="172236"/>
          <w:sz w:val="18"/>
        </w:rPr>
        <w:t>Slippage.</w:t>
      </w:r>
    </w:p>
    <w:p>
      <w:pPr>
        <w:pStyle w:val="ListBullet"/>
        <w:numPr>
          <w:ilvl w:val="0"/>
          <w:numId w:val="1"/>
        </w:numPr>
        <w:rPr/>
      </w:pPr>
      <w:r>
        <w:rPr>
          <w:color w:val="172236"/>
          <w:sz w:val="18"/>
        </w:rPr>
        <w:t>Commission.</w:t>
      </w:r>
    </w:p>
    <w:p>
      <w:pPr>
        <w:pStyle w:val="ListBullet"/>
        <w:numPr>
          <w:ilvl w:val="0"/>
          <w:numId w:val="1"/>
        </w:numPr>
        <w:rPr/>
      </w:pPr>
      <w:r>
        <w:rPr>
          <w:color w:val="172236"/>
          <w:sz w:val="18"/>
        </w:rPr>
        <w:t>Market impact approximation.</w:t>
      </w:r>
    </w:p>
    <w:p>
      <w:pPr>
        <w:pStyle w:val="ListBullet"/>
        <w:numPr>
          <w:ilvl w:val="0"/>
          <w:numId w:val="1"/>
        </w:numPr>
        <w:rPr/>
      </w:pPr>
      <w:r>
        <w:rPr>
          <w:color w:val="172236"/>
          <w:sz w:val="18"/>
        </w:rPr>
        <w:t>Liquidity constraints.</w:t>
      </w:r>
    </w:p>
    <w:p>
      <w:pPr>
        <w:pStyle w:val="ListBullet"/>
        <w:numPr>
          <w:ilvl w:val="0"/>
          <w:numId w:val="1"/>
        </w:numPr>
        <w:rPr/>
      </w:pPr>
      <w:r>
        <w:rPr>
          <w:color w:val="172236"/>
          <w:sz w:val="18"/>
        </w:rPr>
        <w:t>Partial fills.</w:t>
      </w:r>
    </w:p>
    <w:p>
      <w:pPr>
        <w:pStyle w:val="ListBullet"/>
        <w:numPr>
          <w:ilvl w:val="0"/>
          <w:numId w:val="1"/>
        </w:numPr>
        <w:rPr/>
      </w:pPr>
      <w:r>
        <w:rPr>
          <w:color w:val="172236"/>
          <w:sz w:val="18"/>
        </w:rPr>
        <w:t>Option expiration.</w:t>
      </w:r>
    </w:p>
    <w:p>
      <w:pPr>
        <w:pStyle w:val="ListBullet"/>
        <w:numPr>
          <w:ilvl w:val="0"/>
          <w:numId w:val="1"/>
        </w:numPr>
        <w:rPr/>
      </w:pPr>
      <w:r>
        <w:rPr>
          <w:color w:val="172236"/>
          <w:sz w:val="18"/>
        </w:rPr>
        <w:t>Assignment/exercise assumptions.</w:t>
      </w:r>
    </w:p>
    <w:p>
      <w:pPr>
        <w:pStyle w:val="ListBullet"/>
        <w:numPr>
          <w:ilvl w:val="0"/>
          <w:numId w:val="1"/>
        </w:numPr>
        <w:rPr/>
      </w:pPr>
      <w:r>
        <w:rPr>
          <w:color w:val="172236"/>
          <w:sz w:val="18"/>
        </w:rPr>
        <w:t>Missing or stale data.</w:t>
      </w:r>
    </w:p>
    <w:p>
      <w:pPr>
        <w:pStyle w:val="ListBullet"/>
        <w:numPr>
          <w:ilvl w:val="0"/>
          <w:numId w:val="1"/>
        </w:numPr>
        <w:rPr/>
      </w:pPr>
      <w:r>
        <w:rPr>
          <w:color w:val="172236"/>
          <w:sz w:val="18"/>
        </w:rPr>
        <w:t>Event publication time.</w:t>
      </w:r>
    </w:p>
    <w:p>
      <w:pPr>
        <w:pStyle w:val="ListBullet"/>
        <w:numPr>
          <w:ilvl w:val="0"/>
          <w:numId w:val="1"/>
        </w:numPr>
        <w:rPr/>
      </w:pPr>
      <w:r>
        <w:rPr>
          <w:color w:val="172236"/>
          <w:sz w:val="18"/>
        </w:rPr>
        <w:t>Filing availability time.</w:t>
      </w:r>
    </w:p>
    <w:p>
      <w:pPr>
        <w:pStyle w:val="ListBullet"/>
        <w:numPr>
          <w:ilvl w:val="0"/>
          <w:numId w:val="1"/>
        </w:numPr>
        <w:rPr/>
      </w:pPr>
      <w:r>
        <w:rPr>
          <w:color w:val="172236"/>
          <w:sz w:val="18"/>
        </w:rPr>
        <w:t>Data revisions.</w:t>
      </w:r>
    </w:p>
    <w:p>
      <w:pPr>
        <w:pStyle w:val="Heading2"/>
        <w:pBdr>
          <w:left w:val="single" w:sz="14" w:space="4" w:color="8B5CF6"/>
        </w:pBdr>
        <w:rPr/>
      </w:pPr>
      <w:bookmarkStart w:id="93" w:name="__RefHeading___Toc6906_2150751134"/>
      <w:bookmarkEnd w:id="93"/>
      <w:r>
        <w:rPr>
          <w:rFonts w:ascii="Lato" w:hAnsi="Lato"/>
          <w:color w:val="172236"/>
          <w:sz w:val="29"/>
        </w:rPr>
        <w:t>11.3 Validation Modes</w:t>
      </w:r>
    </w:p>
    <w:p>
      <w:pPr>
        <w:pStyle w:val="ListBullet"/>
        <w:numPr>
          <w:ilvl w:val="0"/>
          <w:numId w:val="1"/>
        </w:numPr>
        <w:rPr/>
      </w:pPr>
      <w:r>
        <w:rPr>
          <w:color w:val="172236"/>
          <w:sz w:val="18"/>
        </w:rPr>
        <w:t>In-sample.</w:t>
      </w:r>
    </w:p>
    <w:p>
      <w:pPr>
        <w:pStyle w:val="ListBullet"/>
        <w:numPr>
          <w:ilvl w:val="0"/>
          <w:numId w:val="1"/>
        </w:numPr>
        <w:rPr/>
      </w:pPr>
      <w:r>
        <w:rPr>
          <w:color w:val="172236"/>
          <w:sz w:val="18"/>
        </w:rPr>
        <w:t>Holdout.</w:t>
      </w:r>
    </w:p>
    <w:p>
      <w:pPr>
        <w:pStyle w:val="ListBullet"/>
        <w:numPr>
          <w:ilvl w:val="0"/>
          <w:numId w:val="1"/>
        </w:numPr>
        <w:rPr/>
      </w:pPr>
      <w:r>
        <w:rPr>
          <w:color w:val="172236"/>
          <w:sz w:val="18"/>
        </w:rPr>
        <w:t>Rolling out-of-sample.</w:t>
      </w:r>
    </w:p>
    <w:p>
      <w:pPr>
        <w:pStyle w:val="ListBullet"/>
        <w:numPr>
          <w:ilvl w:val="0"/>
          <w:numId w:val="1"/>
        </w:numPr>
        <w:rPr/>
      </w:pPr>
      <w:r>
        <w:rPr>
          <w:color w:val="172236"/>
          <w:sz w:val="18"/>
        </w:rPr>
        <w:t>Walk-forward.</w:t>
      </w:r>
    </w:p>
    <w:p>
      <w:pPr>
        <w:pStyle w:val="ListBullet"/>
        <w:numPr>
          <w:ilvl w:val="0"/>
          <w:numId w:val="1"/>
        </w:numPr>
        <w:rPr/>
      </w:pPr>
      <w:r>
        <w:rPr>
          <w:color w:val="172236"/>
          <w:sz w:val="18"/>
        </w:rPr>
        <w:t>Anchored walk-forward.</w:t>
      </w:r>
    </w:p>
    <w:p>
      <w:pPr>
        <w:pStyle w:val="ListBullet"/>
        <w:numPr>
          <w:ilvl w:val="0"/>
          <w:numId w:val="1"/>
        </w:numPr>
        <w:rPr/>
      </w:pPr>
      <w:r>
        <w:rPr>
          <w:color w:val="172236"/>
          <w:sz w:val="18"/>
        </w:rPr>
        <w:t>Purged cross-validation for overlapping labels.</w:t>
      </w:r>
    </w:p>
    <w:p>
      <w:pPr>
        <w:pStyle w:val="ListBullet"/>
        <w:numPr>
          <w:ilvl w:val="0"/>
          <w:numId w:val="1"/>
        </w:numPr>
        <w:rPr/>
      </w:pPr>
      <w:r>
        <w:rPr>
          <w:color w:val="172236"/>
          <w:sz w:val="18"/>
        </w:rPr>
        <w:t>Monte Carlo resampling.</w:t>
      </w:r>
    </w:p>
    <w:p>
      <w:pPr>
        <w:pStyle w:val="ListBullet"/>
        <w:numPr>
          <w:ilvl w:val="0"/>
          <w:numId w:val="1"/>
        </w:numPr>
        <w:rPr/>
      </w:pPr>
      <w:r>
        <w:rPr>
          <w:color w:val="172236"/>
          <w:sz w:val="18"/>
        </w:rPr>
        <w:t>Parameter perturbation.</w:t>
      </w:r>
    </w:p>
    <w:p>
      <w:pPr>
        <w:pStyle w:val="ListBullet"/>
        <w:numPr>
          <w:ilvl w:val="0"/>
          <w:numId w:val="1"/>
        </w:numPr>
        <w:rPr/>
      </w:pPr>
      <w:r>
        <w:rPr>
          <w:color w:val="172236"/>
          <w:sz w:val="18"/>
        </w:rPr>
        <w:t>Regime split.</w:t>
      </w:r>
    </w:p>
    <w:p>
      <w:pPr>
        <w:pStyle w:val="ListBullet"/>
        <w:numPr>
          <w:ilvl w:val="0"/>
          <w:numId w:val="1"/>
        </w:numPr>
        <w:rPr/>
      </w:pPr>
      <w:r>
        <w:rPr>
          <w:color w:val="172236"/>
          <w:sz w:val="18"/>
        </w:rPr>
        <w:t>Sector split.</w:t>
      </w:r>
    </w:p>
    <w:p>
      <w:pPr>
        <w:pStyle w:val="ListBullet"/>
        <w:numPr>
          <w:ilvl w:val="0"/>
          <w:numId w:val="1"/>
        </w:numPr>
        <w:rPr/>
      </w:pPr>
      <w:r>
        <w:rPr>
          <w:color w:val="172236"/>
          <w:sz w:val="18"/>
        </w:rPr>
        <w:t>Timeframe split.</w:t>
      </w:r>
    </w:p>
    <w:p>
      <w:pPr>
        <w:pStyle w:val="ListBullet"/>
        <w:numPr>
          <w:ilvl w:val="0"/>
          <w:numId w:val="1"/>
        </w:numPr>
        <w:rPr/>
      </w:pPr>
      <w:r>
        <w:rPr>
          <w:color w:val="172236"/>
          <w:sz w:val="18"/>
        </w:rPr>
        <w:t>Reality-check/multiple-hypothesis controls.</w:t>
      </w:r>
    </w:p>
    <w:p>
      <w:pPr>
        <w:pStyle w:val="Heading2"/>
        <w:pBdr>
          <w:left w:val="single" w:sz="14" w:space="4" w:color="8B5CF6"/>
        </w:pBdr>
        <w:rPr/>
      </w:pPr>
      <w:bookmarkStart w:id="94" w:name="__RefHeading___Toc6908_2150751134"/>
      <w:bookmarkEnd w:id="94"/>
      <w:r>
        <w:rPr>
          <w:rFonts w:ascii="Lato" w:hAnsi="Lato"/>
          <w:color w:val="172236"/>
          <w:sz w:val="29"/>
        </w:rPr>
        <w:t>11.4 Metrics</w:t>
      </w:r>
    </w:p>
    <w:p>
      <w:pPr>
        <w:pStyle w:val="ListBullet"/>
        <w:numPr>
          <w:ilvl w:val="0"/>
          <w:numId w:val="1"/>
        </w:numPr>
        <w:rPr/>
      </w:pPr>
      <w:r>
        <w:rPr>
          <w:color w:val="172236"/>
          <w:sz w:val="18"/>
        </w:rPr>
        <w:t>Total and annualized return.</w:t>
      </w:r>
    </w:p>
    <w:p>
      <w:pPr>
        <w:pStyle w:val="ListBullet"/>
        <w:numPr>
          <w:ilvl w:val="0"/>
          <w:numId w:val="1"/>
        </w:numPr>
        <w:rPr/>
      </w:pPr>
      <w:r>
        <w:rPr>
          <w:color w:val="172236"/>
          <w:sz w:val="18"/>
        </w:rPr>
        <w:t>Win rate.</w:t>
      </w:r>
    </w:p>
    <w:p>
      <w:pPr>
        <w:pStyle w:val="ListBullet"/>
        <w:numPr>
          <w:ilvl w:val="0"/>
          <w:numId w:val="1"/>
        </w:numPr>
        <w:rPr/>
      </w:pPr>
      <w:r>
        <w:rPr>
          <w:color w:val="172236"/>
          <w:sz w:val="18"/>
        </w:rPr>
        <w:t>Expectancy.</w:t>
      </w:r>
    </w:p>
    <w:p>
      <w:pPr>
        <w:pStyle w:val="ListBullet"/>
        <w:numPr>
          <w:ilvl w:val="0"/>
          <w:numId w:val="1"/>
        </w:numPr>
        <w:rPr/>
      </w:pPr>
      <w:r>
        <w:rPr>
          <w:color w:val="172236"/>
          <w:sz w:val="18"/>
        </w:rPr>
        <w:t>Profit factor.</w:t>
      </w:r>
    </w:p>
    <w:p>
      <w:pPr>
        <w:pStyle w:val="ListBullet"/>
        <w:numPr>
          <w:ilvl w:val="0"/>
          <w:numId w:val="1"/>
        </w:numPr>
        <w:rPr/>
      </w:pPr>
      <w:r>
        <w:rPr>
          <w:color w:val="172236"/>
          <w:sz w:val="18"/>
        </w:rPr>
        <w:t>Max drawdown.</w:t>
      </w:r>
    </w:p>
    <w:p>
      <w:pPr>
        <w:pStyle w:val="ListBullet"/>
        <w:numPr>
          <w:ilvl w:val="0"/>
          <w:numId w:val="1"/>
        </w:numPr>
        <w:rPr/>
      </w:pPr>
      <w:r>
        <w:rPr>
          <w:color w:val="172236"/>
          <w:sz w:val="18"/>
        </w:rPr>
        <w:t>Ulcer index.</w:t>
      </w:r>
    </w:p>
    <w:p>
      <w:pPr>
        <w:pStyle w:val="ListBullet"/>
        <w:numPr>
          <w:ilvl w:val="0"/>
          <w:numId w:val="1"/>
        </w:numPr>
        <w:rPr/>
      </w:pPr>
      <w:r>
        <w:rPr>
          <w:color w:val="172236"/>
          <w:sz w:val="18"/>
        </w:rPr>
        <w:t>Sharpe and Sortino, with assumptions.</w:t>
      </w:r>
    </w:p>
    <w:p>
      <w:pPr>
        <w:pStyle w:val="ListBullet"/>
        <w:numPr>
          <w:ilvl w:val="0"/>
          <w:numId w:val="1"/>
        </w:numPr>
        <w:rPr/>
      </w:pPr>
      <w:r>
        <w:rPr>
          <w:color w:val="172236"/>
          <w:sz w:val="18"/>
        </w:rPr>
        <w:t>Calmar.</w:t>
      </w:r>
    </w:p>
    <w:p>
      <w:pPr>
        <w:pStyle w:val="ListBullet"/>
        <w:numPr>
          <w:ilvl w:val="0"/>
          <w:numId w:val="1"/>
        </w:numPr>
        <w:rPr/>
      </w:pPr>
      <w:r>
        <w:rPr>
          <w:color w:val="172236"/>
          <w:sz w:val="18"/>
        </w:rPr>
        <w:t>Tail loss.</w:t>
      </w:r>
    </w:p>
    <w:p>
      <w:pPr>
        <w:pStyle w:val="ListBullet"/>
        <w:numPr>
          <w:ilvl w:val="0"/>
          <w:numId w:val="1"/>
        </w:numPr>
        <w:rPr/>
      </w:pPr>
      <w:r>
        <w:rPr>
          <w:color w:val="172236"/>
          <w:sz w:val="18"/>
        </w:rPr>
        <w:t>CVaR/expected shortfall.</w:t>
      </w:r>
    </w:p>
    <w:p>
      <w:pPr>
        <w:pStyle w:val="ListBullet"/>
        <w:numPr>
          <w:ilvl w:val="0"/>
          <w:numId w:val="1"/>
        </w:numPr>
        <w:rPr/>
      </w:pPr>
      <w:r>
        <w:rPr>
          <w:color w:val="172236"/>
          <w:sz w:val="18"/>
        </w:rPr>
        <w:t>Exposure.</w:t>
      </w:r>
    </w:p>
    <w:p>
      <w:pPr>
        <w:pStyle w:val="ListBullet"/>
        <w:numPr>
          <w:ilvl w:val="0"/>
          <w:numId w:val="1"/>
        </w:numPr>
        <w:rPr/>
      </w:pPr>
      <w:r>
        <w:rPr>
          <w:color w:val="172236"/>
          <w:sz w:val="18"/>
        </w:rPr>
        <w:t>Turnover.</w:t>
      </w:r>
    </w:p>
    <w:p>
      <w:pPr>
        <w:pStyle w:val="ListBullet"/>
        <w:numPr>
          <w:ilvl w:val="0"/>
          <w:numId w:val="1"/>
        </w:numPr>
        <w:rPr/>
      </w:pPr>
      <w:r>
        <w:rPr>
          <w:color w:val="172236"/>
          <w:sz w:val="18"/>
        </w:rPr>
        <w:t>Capacity approximation.</w:t>
      </w:r>
    </w:p>
    <w:p>
      <w:pPr>
        <w:pStyle w:val="ListBullet"/>
        <w:numPr>
          <w:ilvl w:val="0"/>
          <w:numId w:val="1"/>
        </w:numPr>
        <w:rPr/>
      </w:pPr>
      <w:r>
        <w:rPr>
          <w:color w:val="172236"/>
          <w:sz w:val="18"/>
        </w:rPr>
        <w:t>Maximum favorable/adverse excursion.</w:t>
      </w:r>
    </w:p>
    <w:p>
      <w:pPr>
        <w:pStyle w:val="ListBullet"/>
        <w:numPr>
          <w:ilvl w:val="0"/>
          <w:numId w:val="1"/>
        </w:numPr>
        <w:rPr/>
      </w:pPr>
      <w:r>
        <w:rPr>
          <w:color w:val="172236"/>
          <w:sz w:val="18"/>
        </w:rPr>
        <w:t>Time under water.</w:t>
      </w:r>
    </w:p>
    <w:p>
      <w:pPr>
        <w:pStyle w:val="ListBullet"/>
        <w:numPr>
          <w:ilvl w:val="0"/>
          <w:numId w:val="1"/>
        </w:numPr>
        <w:rPr/>
      </w:pPr>
      <w:r>
        <w:rPr>
          <w:color w:val="172236"/>
          <w:sz w:val="18"/>
        </w:rPr>
        <w:t>Slippage sensitivity.</w:t>
      </w:r>
    </w:p>
    <w:p>
      <w:pPr>
        <w:pStyle w:val="ListBullet"/>
        <w:numPr>
          <w:ilvl w:val="0"/>
          <w:numId w:val="1"/>
        </w:numPr>
        <w:rPr/>
      </w:pPr>
      <w:r>
        <w:rPr>
          <w:color w:val="172236"/>
          <w:sz w:val="18"/>
        </w:rPr>
        <w:t>Regime-specific performance.</w:t>
      </w:r>
    </w:p>
    <w:p>
      <w:pPr>
        <w:pStyle w:val="ListBullet"/>
        <w:numPr>
          <w:ilvl w:val="0"/>
          <w:numId w:val="1"/>
        </w:numPr>
        <w:rPr/>
      </w:pPr>
      <w:r>
        <w:rPr>
          <w:color w:val="172236"/>
          <w:sz w:val="18"/>
        </w:rPr>
        <w:t>Confidence intervals.</w:t>
      </w:r>
    </w:p>
    <w:p>
      <w:pPr>
        <w:pStyle w:val="Heading2"/>
        <w:pBdr>
          <w:left w:val="single" w:sz="14" w:space="4" w:color="8B5CF6"/>
        </w:pBdr>
        <w:rPr/>
      </w:pPr>
      <w:bookmarkStart w:id="95" w:name="__RefHeading___Toc6910_2150751134"/>
      <w:bookmarkEnd w:id="95"/>
      <w:r>
        <w:rPr>
          <w:rFonts w:ascii="Lato" w:hAnsi="Lato"/>
          <w:color w:val="172236"/>
          <w:sz w:val="29"/>
        </w:rPr>
        <w:t>11.5 Monte Carlo Lab</w:t>
      </w:r>
    </w:p>
    <w:p>
      <w:pPr>
        <w:pStyle w:val="Normal"/>
        <w:rPr/>
      </w:pPr>
      <w:r>
        <w:rPr>
          <w:color w:val="172236"/>
          <w:sz w:val="19"/>
        </w:rPr>
        <w:t>Simulation modes:</w:t>
      </w:r>
    </w:p>
    <w:p>
      <w:pPr>
        <w:pStyle w:val="ListNumber"/>
        <w:numPr>
          <w:ilvl w:val="0"/>
          <w:numId w:val="4"/>
        </w:numPr>
        <w:rPr/>
      </w:pPr>
      <w:r>
        <w:rPr>
          <w:color w:val="172236"/>
          <w:sz w:val="18"/>
        </w:rPr>
        <w:t>Historical bootstrap.</w:t>
      </w:r>
    </w:p>
    <w:p>
      <w:pPr>
        <w:pStyle w:val="ListNumber"/>
        <w:numPr>
          <w:ilvl w:val="0"/>
          <w:numId w:val="4"/>
        </w:numPr>
        <w:rPr/>
      </w:pPr>
      <w:r>
        <w:rPr>
          <w:color w:val="172236"/>
          <w:sz w:val="18"/>
        </w:rPr>
        <w:t>Block bootstrap.</w:t>
      </w:r>
    </w:p>
    <w:p>
      <w:pPr>
        <w:pStyle w:val="ListNumber"/>
        <w:numPr>
          <w:ilvl w:val="0"/>
          <w:numId w:val="4"/>
        </w:numPr>
        <w:rPr/>
      </w:pPr>
      <w:r>
        <w:rPr>
          <w:color w:val="172236"/>
          <w:sz w:val="18"/>
        </w:rPr>
        <w:t>Parametric return distribution.</w:t>
      </w:r>
    </w:p>
    <w:p>
      <w:pPr>
        <w:pStyle w:val="ListNumber"/>
        <w:numPr>
          <w:ilvl w:val="0"/>
          <w:numId w:val="4"/>
        </w:numPr>
        <w:rPr/>
      </w:pPr>
      <w:r>
        <w:rPr>
          <w:color w:val="172236"/>
          <w:sz w:val="18"/>
        </w:rPr>
        <w:t>Geometric Brownian motion.</w:t>
      </w:r>
    </w:p>
    <w:p>
      <w:pPr>
        <w:pStyle w:val="ListNumber"/>
        <w:numPr>
          <w:ilvl w:val="0"/>
          <w:numId w:val="4"/>
        </w:numPr>
        <w:rPr/>
      </w:pPr>
      <w:r>
        <w:rPr>
          <w:color w:val="172236"/>
          <w:sz w:val="18"/>
        </w:rPr>
        <w:t>Jump diffusion.</w:t>
      </w:r>
    </w:p>
    <w:p>
      <w:pPr>
        <w:pStyle w:val="ListNumber"/>
        <w:numPr>
          <w:ilvl w:val="0"/>
          <w:numId w:val="4"/>
        </w:numPr>
        <w:rPr/>
      </w:pPr>
      <w:r>
        <w:rPr>
          <w:color w:val="172236"/>
          <w:sz w:val="18"/>
        </w:rPr>
        <w:t>Stochastic volatility.</w:t>
      </w:r>
    </w:p>
    <w:p>
      <w:pPr>
        <w:pStyle w:val="ListNumber"/>
        <w:numPr>
          <w:ilvl w:val="0"/>
          <w:numId w:val="4"/>
        </w:numPr>
        <w:rPr/>
      </w:pPr>
      <w:r>
        <w:rPr>
          <w:color w:val="172236"/>
          <w:sz w:val="18"/>
        </w:rPr>
        <w:t>Regime switching.</w:t>
      </w:r>
    </w:p>
    <w:p>
      <w:pPr>
        <w:pStyle w:val="ListNumber"/>
        <w:numPr>
          <w:ilvl w:val="0"/>
          <w:numId w:val="4"/>
        </w:numPr>
        <w:rPr/>
      </w:pPr>
      <w:r>
        <w:rPr>
          <w:color w:val="172236"/>
          <w:sz w:val="18"/>
        </w:rPr>
        <w:t>Correlated multi-asset simulation.</w:t>
      </w:r>
    </w:p>
    <w:p>
      <w:pPr>
        <w:pStyle w:val="ListNumber"/>
        <w:numPr>
          <w:ilvl w:val="0"/>
          <w:numId w:val="4"/>
        </w:numPr>
        <w:rPr/>
      </w:pPr>
      <w:r>
        <w:rPr>
          <w:color w:val="172236"/>
          <w:sz w:val="18"/>
        </w:rPr>
        <w:t>Volatility-surface-aware option simulation.</w:t>
      </w:r>
    </w:p>
    <w:p>
      <w:pPr>
        <w:pStyle w:val="ListNumber"/>
        <w:numPr>
          <w:ilvl w:val="0"/>
          <w:numId w:val="4"/>
        </w:numPr>
        <w:rPr/>
      </w:pPr>
      <w:r>
        <w:rPr>
          <w:color w:val="172236"/>
          <w:sz w:val="18"/>
        </w:rPr>
        <w:t>Trade-sequence reshuffling.</w:t>
      </w:r>
    </w:p>
    <w:p>
      <w:pPr>
        <w:pStyle w:val="Normal"/>
        <w:rPr/>
      </w:pPr>
      <w:r>
        <w:rPr>
          <w:color w:val="172236"/>
          <w:sz w:val="19"/>
        </w:rPr>
        <w:t>Outputs:</w:t>
      </w:r>
    </w:p>
    <w:p>
      <w:pPr>
        <w:pStyle w:val="ListBullet"/>
        <w:numPr>
          <w:ilvl w:val="0"/>
          <w:numId w:val="1"/>
        </w:numPr>
        <w:rPr/>
      </w:pPr>
      <w:r>
        <w:rPr>
          <w:color w:val="172236"/>
          <w:sz w:val="18"/>
        </w:rPr>
        <w:t>Terminal-value distribution.</w:t>
      </w:r>
    </w:p>
    <w:p>
      <w:pPr>
        <w:pStyle w:val="ListBullet"/>
        <w:numPr>
          <w:ilvl w:val="0"/>
          <w:numId w:val="1"/>
        </w:numPr>
        <w:rPr/>
      </w:pPr>
      <w:r>
        <w:rPr>
          <w:color w:val="172236"/>
          <w:sz w:val="18"/>
        </w:rPr>
        <w:t>Probability of profit.</w:t>
      </w:r>
    </w:p>
    <w:p>
      <w:pPr>
        <w:pStyle w:val="ListBullet"/>
        <w:numPr>
          <w:ilvl w:val="0"/>
          <w:numId w:val="1"/>
        </w:numPr>
        <w:rPr/>
      </w:pPr>
      <w:r>
        <w:rPr>
          <w:color w:val="172236"/>
          <w:sz w:val="18"/>
        </w:rPr>
        <w:t>Probability of ruin.</w:t>
      </w:r>
    </w:p>
    <w:p>
      <w:pPr>
        <w:pStyle w:val="ListBullet"/>
        <w:numPr>
          <w:ilvl w:val="0"/>
          <w:numId w:val="1"/>
        </w:numPr>
        <w:rPr/>
      </w:pPr>
      <w:r>
        <w:rPr>
          <w:color w:val="172236"/>
          <w:sz w:val="18"/>
        </w:rPr>
        <w:t>Drawdown distribution.</w:t>
      </w:r>
    </w:p>
    <w:p>
      <w:pPr>
        <w:pStyle w:val="ListBullet"/>
        <w:numPr>
          <w:ilvl w:val="0"/>
          <w:numId w:val="1"/>
        </w:numPr>
        <w:rPr/>
      </w:pPr>
      <w:r>
        <w:rPr>
          <w:color w:val="172236"/>
          <w:sz w:val="18"/>
        </w:rPr>
        <w:t>Expected shortfall.</w:t>
      </w:r>
    </w:p>
    <w:p>
      <w:pPr>
        <w:pStyle w:val="ListBullet"/>
        <w:numPr>
          <w:ilvl w:val="0"/>
          <w:numId w:val="1"/>
        </w:numPr>
        <w:rPr/>
      </w:pPr>
      <w:r>
        <w:rPr>
          <w:color w:val="172236"/>
          <w:sz w:val="18"/>
        </w:rPr>
        <w:t>Strike-touch probability.</w:t>
      </w:r>
    </w:p>
    <w:p>
      <w:pPr>
        <w:pStyle w:val="ListBullet"/>
        <w:numPr>
          <w:ilvl w:val="0"/>
          <w:numId w:val="1"/>
        </w:numPr>
        <w:rPr/>
      </w:pPr>
      <w:r>
        <w:rPr>
          <w:color w:val="172236"/>
          <w:sz w:val="18"/>
        </w:rPr>
        <w:t>Path-dependent stop/target outcomes.</w:t>
      </w:r>
    </w:p>
    <w:p>
      <w:pPr>
        <w:pStyle w:val="ListBullet"/>
        <w:numPr>
          <w:ilvl w:val="0"/>
          <w:numId w:val="1"/>
        </w:numPr>
        <w:rPr/>
      </w:pPr>
      <w:r>
        <w:rPr>
          <w:color w:val="172236"/>
          <w:sz w:val="18"/>
        </w:rPr>
        <w:t>Time-to-target distribution.</w:t>
      </w:r>
    </w:p>
    <w:p>
      <w:pPr>
        <w:pStyle w:val="ListBullet"/>
        <w:numPr>
          <w:ilvl w:val="0"/>
          <w:numId w:val="1"/>
        </w:numPr>
        <w:rPr/>
      </w:pPr>
      <w:r>
        <w:rPr>
          <w:color w:val="172236"/>
          <w:sz w:val="18"/>
        </w:rPr>
        <w:t>Volatility shock sensitivity.</w:t>
      </w:r>
    </w:p>
    <w:p>
      <w:pPr>
        <w:pStyle w:val="ListBullet"/>
        <w:numPr>
          <w:ilvl w:val="0"/>
          <w:numId w:val="1"/>
        </w:numPr>
        <w:rPr/>
      </w:pPr>
      <w:r>
        <w:rPr>
          <w:color w:val="172236"/>
          <w:sz w:val="18"/>
        </w:rPr>
        <w:t>Theta decay scenarios.</w:t>
      </w:r>
    </w:p>
    <w:p>
      <w:pPr>
        <w:pStyle w:val="ListBullet"/>
        <w:numPr>
          <w:ilvl w:val="0"/>
          <w:numId w:val="1"/>
        </w:numPr>
        <w:rPr/>
      </w:pPr>
      <w:r>
        <w:rPr>
          <w:color w:val="172236"/>
          <w:sz w:val="18"/>
        </w:rPr>
        <w:t>Portfolio breach probability.</w:t>
      </w:r>
    </w:p>
    <w:p>
      <w:pPr>
        <w:pStyle w:val="Normal"/>
        <w:rPr/>
      </w:pPr>
      <w:r>
        <w:rPr>
          <w:color w:val="172236"/>
          <w:sz w:val="19"/>
        </w:rPr>
        <w:t>Every simulation MUST record its assumptions and seed.</w:t>
      </w:r>
    </w:p>
    <w:p>
      <w:pPr>
        <w:pStyle w:val="Heading1"/>
        <w:pBdr>
          <w:bottom w:val="single" w:sz="12" w:space="5" w:color="33C7F2"/>
        </w:pBdr>
        <w:rPr/>
      </w:pPr>
      <w:bookmarkStart w:id="96" w:name="__RefHeading___Toc6912_2150751134"/>
      <w:bookmarkEnd w:id="96"/>
      <w:r>
        <w:rPr>
          <w:rFonts w:ascii="Lato" w:hAnsi="Lato"/>
          <w:color w:val="172236"/>
          <w:sz w:val="42"/>
        </w:rPr>
        <w:t>12. Predictive Intelligence Architecture</w:t>
      </w:r>
    </w:p>
    <w:p>
      <w:pPr>
        <w:pStyle w:val="Heading2"/>
        <w:pBdr>
          <w:left w:val="single" w:sz="14" w:space="4" w:color="8B5CF6"/>
        </w:pBdr>
        <w:rPr/>
      </w:pPr>
      <w:bookmarkStart w:id="97" w:name="__RefHeading___Toc6914_2150751134"/>
      <w:bookmarkEnd w:id="97"/>
      <w:r>
        <w:rPr>
          <w:rFonts w:ascii="Lato" w:hAnsi="Lato"/>
          <w:color w:val="172236"/>
          <w:sz w:val="29"/>
        </w:rPr>
        <w:t>12.1 Forecast Types</w:t>
      </w:r>
    </w:p>
    <w:p>
      <w:pPr>
        <w:pStyle w:val="ListBullet"/>
        <w:numPr>
          <w:ilvl w:val="0"/>
          <w:numId w:val="1"/>
        </w:numPr>
        <w:rPr/>
      </w:pPr>
      <w:r>
        <w:rPr>
          <w:color w:val="172236"/>
          <w:sz w:val="18"/>
        </w:rPr>
        <w:t>Direction probability.</w:t>
      </w:r>
    </w:p>
    <w:p>
      <w:pPr>
        <w:pStyle w:val="ListBullet"/>
        <w:numPr>
          <w:ilvl w:val="0"/>
          <w:numId w:val="1"/>
        </w:numPr>
        <w:rPr/>
      </w:pPr>
      <w:r>
        <w:rPr>
          <w:color w:val="172236"/>
          <w:sz w:val="18"/>
        </w:rPr>
        <w:t>Return distribution.</w:t>
      </w:r>
    </w:p>
    <w:p>
      <w:pPr>
        <w:pStyle w:val="ListBullet"/>
        <w:numPr>
          <w:ilvl w:val="0"/>
          <w:numId w:val="1"/>
        </w:numPr>
        <w:rPr/>
      </w:pPr>
      <w:r>
        <w:rPr>
          <w:color w:val="172236"/>
          <w:sz w:val="18"/>
        </w:rPr>
        <w:t>Volatility forecast.</w:t>
      </w:r>
    </w:p>
    <w:p>
      <w:pPr>
        <w:pStyle w:val="ListBullet"/>
        <w:numPr>
          <w:ilvl w:val="0"/>
          <w:numId w:val="1"/>
        </w:numPr>
        <w:rPr/>
      </w:pPr>
      <w:r>
        <w:rPr>
          <w:color w:val="172236"/>
          <w:sz w:val="18"/>
        </w:rPr>
        <w:t>Range forecast.</w:t>
      </w:r>
    </w:p>
    <w:p>
      <w:pPr>
        <w:pStyle w:val="ListBullet"/>
        <w:numPr>
          <w:ilvl w:val="0"/>
          <w:numId w:val="1"/>
        </w:numPr>
        <w:rPr/>
      </w:pPr>
      <w:r>
        <w:rPr>
          <w:color w:val="172236"/>
          <w:sz w:val="18"/>
        </w:rPr>
        <w:t>Event reaction distribution.</w:t>
      </w:r>
    </w:p>
    <w:p>
      <w:pPr>
        <w:pStyle w:val="ListBullet"/>
        <w:numPr>
          <w:ilvl w:val="0"/>
          <w:numId w:val="1"/>
        </w:numPr>
        <w:rPr/>
      </w:pPr>
      <w:r>
        <w:rPr>
          <w:color w:val="172236"/>
          <w:sz w:val="18"/>
        </w:rPr>
        <w:t>Liquidity forecast.</w:t>
      </w:r>
    </w:p>
    <w:p>
      <w:pPr>
        <w:pStyle w:val="ListBullet"/>
        <w:numPr>
          <w:ilvl w:val="0"/>
          <w:numId w:val="1"/>
        </w:numPr>
        <w:rPr/>
      </w:pPr>
      <w:r>
        <w:rPr>
          <w:color w:val="172236"/>
          <w:sz w:val="18"/>
        </w:rPr>
        <w:t>Regime probability.</w:t>
      </w:r>
    </w:p>
    <w:p>
      <w:pPr>
        <w:pStyle w:val="ListBullet"/>
        <w:numPr>
          <w:ilvl w:val="0"/>
          <w:numId w:val="1"/>
        </w:numPr>
        <w:rPr/>
      </w:pPr>
      <w:r>
        <w:rPr>
          <w:color w:val="172236"/>
          <w:sz w:val="18"/>
        </w:rPr>
        <w:t>Anomaly score.</w:t>
      </w:r>
    </w:p>
    <w:p>
      <w:pPr>
        <w:pStyle w:val="ListBullet"/>
        <w:numPr>
          <w:ilvl w:val="0"/>
          <w:numId w:val="1"/>
        </w:numPr>
        <w:rPr/>
      </w:pPr>
      <w:r>
        <w:rPr>
          <w:color w:val="172236"/>
          <w:sz w:val="18"/>
        </w:rPr>
        <w:t>Opportunity ranking.</w:t>
      </w:r>
    </w:p>
    <w:p>
      <w:pPr>
        <w:pStyle w:val="ListBullet"/>
        <w:numPr>
          <w:ilvl w:val="0"/>
          <w:numId w:val="1"/>
        </w:numPr>
        <w:rPr/>
      </w:pPr>
      <w:r>
        <w:rPr>
          <w:color w:val="172236"/>
          <w:sz w:val="18"/>
        </w:rPr>
        <w:t>Risk of thesis invalidation.</w:t>
      </w:r>
    </w:p>
    <w:p>
      <w:pPr>
        <w:pStyle w:val="Heading2"/>
        <w:pBdr>
          <w:left w:val="single" w:sz="14" w:space="4" w:color="8B5CF6"/>
        </w:pBdr>
        <w:rPr/>
      </w:pPr>
      <w:bookmarkStart w:id="98" w:name="__RefHeading___Toc6916_2150751134"/>
      <w:bookmarkEnd w:id="98"/>
      <w:r>
        <w:rPr>
          <w:rFonts w:ascii="Lato" w:hAnsi="Lato"/>
          <w:color w:val="172236"/>
          <w:sz w:val="29"/>
        </w:rPr>
        <w:t>12.2 Model Hierarchy</w:t>
      </w:r>
    </w:p>
    <w:p>
      <w:pPr>
        <w:pStyle w:val="Normal"/>
        <w:rPr/>
      </w:pPr>
      <w:r>
        <w:rPr>
          <w:color w:val="172236"/>
          <w:sz w:val="19"/>
        </w:rPr>
        <w:t>Start simple and earn complexity:</w:t>
      </w:r>
    </w:p>
    <w:p>
      <w:pPr>
        <w:pStyle w:val="ListNumber"/>
        <w:numPr>
          <w:ilvl w:val="0"/>
          <w:numId w:val="4"/>
        </w:numPr>
        <w:rPr/>
      </w:pPr>
      <w:r>
        <w:rPr>
          <w:color w:val="172236"/>
          <w:sz w:val="18"/>
        </w:rPr>
        <w:t>Baseline historical frequencies.</w:t>
      </w:r>
    </w:p>
    <w:p>
      <w:pPr>
        <w:pStyle w:val="ListNumber"/>
        <w:numPr>
          <w:ilvl w:val="0"/>
          <w:numId w:val="4"/>
        </w:numPr>
        <w:rPr/>
      </w:pPr>
      <w:r>
        <w:rPr>
          <w:color w:val="172236"/>
          <w:sz w:val="18"/>
        </w:rPr>
        <w:t>Linear/logistic models.</w:t>
      </w:r>
    </w:p>
    <w:p>
      <w:pPr>
        <w:pStyle w:val="ListNumber"/>
        <w:numPr>
          <w:ilvl w:val="0"/>
          <w:numId w:val="4"/>
        </w:numPr>
        <w:rPr/>
      </w:pPr>
      <w:r>
        <w:rPr>
          <w:color w:val="172236"/>
          <w:sz w:val="18"/>
        </w:rPr>
        <w:t>Tree ensembles.</w:t>
      </w:r>
    </w:p>
    <w:p>
      <w:pPr>
        <w:pStyle w:val="ListNumber"/>
        <w:numPr>
          <w:ilvl w:val="0"/>
          <w:numId w:val="4"/>
        </w:numPr>
        <w:rPr/>
      </w:pPr>
      <w:r>
        <w:rPr>
          <w:color w:val="172236"/>
          <w:sz w:val="18"/>
        </w:rPr>
        <w:t>Time-series models.</w:t>
      </w:r>
    </w:p>
    <w:p>
      <w:pPr>
        <w:pStyle w:val="ListNumber"/>
        <w:numPr>
          <w:ilvl w:val="0"/>
          <w:numId w:val="4"/>
        </w:numPr>
        <w:rPr/>
      </w:pPr>
      <w:r>
        <w:rPr>
          <w:color w:val="172236"/>
          <w:sz w:val="18"/>
        </w:rPr>
        <w:t>Calibrated gradient boosting.</w:t>
      </w:r>
    </w:p>
    <w:p>
      <w:pPr>
        <w:pStyle w:val="ListNumber"/>
        <w:numPr>
          <w:ilvl w:val="0"/>
          <w:numId w:val="4"/>
        </w:numPr>
        <w:rPr/>
      </w:pPr>
      <w:r>
        <w:rPr>
          <w:color w:val="172236"/>
          <w:sz w:val="18"/>
        </w:rPr>
        <w:t>Deep temporal models only where they outperform robust baselines.</w:t>
      </w:r>
    </w:p>
    <w:p>
      <w:pPr>
        <w:pStyle w:val="ListNumber"/>
        <w:numPr>
          <w:ilvl w:val="0"/>
          <w:numId w:val="4"/>
        </w:numPr>
        <w:rPr/>
      </w:pPr>
      <w:r>
        <w:rPr>
          <w:color w:val="172236"/>
          <w:sz w:val="18"/>
        </w:rPr>
        <w:t>Regime ensembles.</w:t>
      </w:r>
    </w:p>
    <w:p>
      <w:pPr>
        <w:pStyle w:val="ListNumber"/>
        <w:numPr>
          <w:ilvl w:val="0"/>
          <w:numId w:val="4"/>
        </w:numPr>
        <w:rPr/>
      </w:pPr>
      <w:r>
        <w:rPr>
          <w:color w:val="172236"/>
          <w:sz w:val="18"/>
        </w:rPr>
        <w:t>Bayesian models where uncertainty is central.</w:t>
      </w:r>
    </w:p>
    <w:p>
      <w:pPr>
        <w:pStyle w:val="Heading2"/>
        <w:pBdr>
          <w:left w:val="single" w:sz="14" w:space="4" w:color="8B5CF6"/>
        </w:pBdr>
        <w:rPr/>
      </w:pPr>
      <w:bookmarkStart w:id="99" w:name="__RefHeading___Toc6918_2150751134"/>
      <w:bookmarkEnd w:id="99"/>
      <w:r>
        <w:rPr>
          <w:rFonts w:ascii="Lato" w:hAnsi="Lato"/>
          <w:color w:val="172236"/>
          <w:sz w:val="29"/>
        </w:rPr>
        <w:t>12.3 Feature Families</w:t>
      </w:r>
    </w:p>
    <w:p>
      <w:pPr>
        <w:pStyle w:val="ListBullet"/>
        <w:numPr>
          <w:ilvl w:val="0"/>
          <w:numId w:val="1"/>
        </w:numPr>
        <w:rPr/>
      </w:pPr>
      <w:r>
        <w:rPr>
          <w:color w:val="172236"/>
          <w:sz w:val="18"/>
        </w:rPr>
        <w:t>Price and return.</w:t>
      </w:r>
    </w:p>
    <w:p>
      <w:pPr>
        <w:pStyle w:val="ListBullet"/>
        <w:numPr>
          <w:ilvl w:val="0"/>
          <w:numId w:val="1"/>
        </w:numPr>
        <w:rPr/>
      </w:pPr>
      <w:r>
        <w:rPr>
          <w:color w:val="172236"/>
          <w:sz w:val="18"/>
        </w:rPr>
        <w:t>Volume and liquidity.</w:t>
      </w:r>
    </w:p>
    <w:p>
      <w:pPr>
        <w:pStyle w:val="ListBullet"/>
        <w:numPr>
          <w:ilvl w:val="0"/>
          <w:numId w:val="1"/>
        </w:numPr>
        <w:rPr/>
      </w:pPr>
      <w:r>
        <w:rPr>
          <w:color w:val="172236"/>
          <w:sz w:val="18"/>
        </w:rPr>
        <w:t>Volatility.</w:t>
      </w:r>
    </w:p>
    <w:p>
      <w:pPr>
        <w:pStyle w:val="ListBullet"/>
        <w:numPr>
          <w:ilvl w:val="0"/>
          <w:numId w:val="1"/>
        </w:numPr>
        <w:rPr/>
      </w:pPr>
      <w:r>
        <w:rPr>
          <w:color w:val="172236"/>
          <w:sz w:val="18"/>
        </w:rPr>
        <w:t>Options flow and surface.</w:t>
      </w:r>
    </w:p>
    <w:p>
      <w:pPr>
        <w:pStyle w:val="ListBullet"/>
        <w:numPr>
          <w:ilvl w:val="0"/>
          <w:numId w:val="1"/>
        </w:numPr>
        <w:rPr/>
      </w:pPr>
      <w:r>
        <w:rPr>
          <w:color w:val="172236"/>
          <w:sz w:val="18"/>
        </w:rPr>
        <w:t>Market breadth.</w:t>
      </w:r>
    </w:p>
    <w:p>
      <w:pPr>
        <w:pStyle w:val="ListBullet"/>
        <w:numPr>
          <w:ilvl w:val="0"/>
          <w:numId w:val="1"/>
        </w:numPr>
        <w:rPr/>
      </w:pPr>
      <w:r>
        <w:rPr>
          <w:color w:val="172236"/>
          <w:sz w:val="18"/>
        </w:rPr>
        <w:t>Sector/industry state.</w:t>
      </w:r>
    </w:p>
    <w:p>
      <w:pPr>
        <w:pStyle w:val="ListBullet"/>
        <w:numPr>
          <w:ilvl w:val="0"/>
          <w:numId w:val="1"/>
        </w:numPr>
        <w:rPr/>
      </w:pPr>
      <w:r>
        <w:rPr>
          <w:color w:val="172236"/>
          <w:sz w:val="18"/>
        </w:rPr>
        <w:t>Institutional activity.</w:t>
      </w:r>
    </w:p>
    <w:p>
      <w:pPr>
        <w:pStyle w:val="ListBullet"/>
        <w:numPr>
          <w:ilvl w:val="0"/>
          <w:numId w:val="1"/>
        </w:numPr>
        <w:rPr/>
      </w:pPr>
      <w:r>
        <w:rPr>
          <w:color w:val="172236"/>
          <w:sz w:val="18"/>
        </w:rPr>
        <w:t>COT positioning.</w:t>
      </w:r>
    </w:p>
    <w:p>
      <w:pPr>
        <w:pStyle w:val="ListBullet"/>
        <w:numPr>
          <w:ilvl w:val="0"/>
          <w:numId w:val="1"/>
        </w:numPr>
        <w:rPr/>
      </w:pPr>
      <w:r>
        <w:rPr>
          <w:color w:val="172236"/>
          <w:sz w:val="18"/>
        </w:rPr>
        <w:t>Filing events.</w:t>
      </w:r>
    </w:p>
    <w:p>
      <w:pPr>
        <w:pStyle w:val="ListBullet"/>
        <w:numPr>
          <w:ilvl w:val="0"/>
          <w:numId w:val="1"/>
        </w:numPr>
        <w:rPr/>
      </w:pPr>
      <w:r>
        <w:rPr>
          <w:color w:val="172236"/>
          <w:sz w:val="18"/>
        </w:rPr>
        <w:t>Macro regime.</w:t>
      </w:r>
    </w:p>
    <w:p>
      <w:pPr>
        <w:pStyle w:val="ListBullet"/>
        <w:numPr>
          <w:ilvl w:val="0"/>
          <w:numId w:val="1"/>
        </w:numPr>
        <w:rPr/>
      </w:pPr>
      <w:r>
        <w:rPr>
          <w:color w:val="172236"/>
          <w:sz w:val="18"/>
        </w:rPr>
        <w:t>Crypto category and dominance.</w:t>
      </w:r>
    </w:p>
    <w:p>
      <w:pPr>
        <w:pStyle w:val="ListBullet"/>
        <w:numPr>
          <w:ilvl w:val="0"/>
          <w:numId w:val="1"/>
        </w:numPr>
        <w:rPr/>
      </w:pPr>
      <w:r>
        <w:rPr>
          <w:color w:val="172236"/>
          <w:sz w:val="18"/>
        </w:rPr>
        <w:t>Cross-asset correlation.</w:t>
      </w:r>
    </w:p>
    <w:p>
      <w:pPr>
        <w:pStyle w:val="ListBullet"/>
        <w:numPr>
          <w:ilvl w:val="0"/>
          <w:numId w:val="1"/>
        </w:numPr>
        <w:rPr/>
      </w:pPr>
      <w:r>
        <w:rPr>
          <w:color w:val="172236"/>
          <w:sz w:val="18"/>
        </w:rPr>
        <w:t>Sentiment and news where licensed.</w:t>
      </w:r>
    </w:p>
    <w:p>
      <w:pPr>
        <w:pStyle w:val="ListBullet"/>
        <w:numPr>
          <w:ilvl w:val="0"/>
          <w:numId w:val="1"/>
        </w:numPr>
        <w:rPr/>
      </w:pPr>
      <w:r>
        <w:rPr>
          <w:color w:val="172236"/>
          <w:sz w:val="18"/>
        </w:rPr>
        <w:t>User strategy context.</w:t>
      </w:r>
    </w:p>
    <w:p>
      <w:pPr>
        <w:pStyle w:val="Heading2"/>
        <w:pBdr>
          <w:left w:val="single" w:sz="14" w:space="4" w:color="8B5CF6"/>
        </w:pBdr>
        <w:rPr/>
      </w:pPr>
      <w:bookmarkStart w:id="100" w:name="__RefHeading___Toc6920_2150751134"/>
      <w:bookmarkEnd w:id="100"/>
      <w:r>
        <w:rPr>
          <w:rFonts w:ascii="Lato" w:hAnsi="Lato"/>
          <w:color w:val="172236"/>
          <w:sz w:val="29"/>
        </w:rPr>
        <w:t>12.4 Explainability</w:t>
      </w:r>
    </w:p>
    <w:p>
      <w:pPr>
        <w:pStyle w:val="Normal"/>
        <w:rPr/>
      </w:pPr>
      <w:r>
        <w:rPr>
          <w:color w:val="172236"/>
          <w:sz w:val="19"/>
        </w:rPr>
        <w:t>For each prediction:</w:t>
      </w:r>
    </w:p>
    <w:p>
      <w:pPr>
        <w:pStyle w:val="ListBullet"/>
        <w:numPr>
          <w:ilvl w:val="0"/>
          <w:numId w:val="1"/>
        </w:numPr>
        <w:rPr/>
      </w:pPr>
      <w:r>
        <w:rPr>
          <w:color w:val="172236"/>
          <w:sz w:val="18"/>
        </w:rPr>
        <w:t>Top positive contributors.</w:t>
      </w:r>
    </w:p>
    <w:p>
      <w:pPr>
        <w:pStyle w:val="ListBullet"/>
        <w:numPr>
          <w:ilvl w:val="0"/>
          <w:numId w:val="1"/>
        </w:numPr>
        <w:rPr/>
      </w:pPr>
      <w:r>
        <w:rPr>
          <w:color w:val="172236"/>
          <w:sz w:val="18"/>
        </w:rPr>
        <w:t>Top negative contributors.</w:t>
      </w:r>
    </w:p>
    <w:p>
      <w:pPr>
        <w:pStyle w:val="ListBullet"/>
        <w:numPr>
          <w:ilvl w:val="0"/>
          <w:numId w:val="1"/>
        </w:numPr>
        <w:rPr/>
      </w:pPr>
      <w:r>
        <w:rPr>
          <w:color w:val="172236"/>
          <w:sz w:val="18"/>
        </w:rPr>
        <w:t>Feature freshness.</w:t>
      </w:r>
    </w:p>
    <w:p>
      <w:pPr>
        <w:pStyle w:val="ListBullet"/>
        <w:numPr>
          <w:ilvl w:val="0"/>
          <w:numId w:val="1"/>
        </w:numPr>
        <w:rPr/>
      </w:pPr>
      <w:r>
        <w:rPr>
          <w:color w:val="172236"/>
          <w:sz w:val="18"/>
        </w:rPr>
        <w:t>Missing features.</w:t>
      </w:r>
    </w:p>
    <w:p>
      <w:pPr>
        <w:pStyle w:val="ListBullet"/>
        <w:numPr>
          <w:ilvl w:val="0"/>
          <w:numId w:val="1"/>
        </w:numPr>
        <w:rPr/>
      </w:pPr>
      <w:r>
        <w:rPr>
          <w:color w:val="172236"/>
          <w:sz w:val="18"/>
        </w:rPr>
        <w:t>Similar examples.</w:t>
      </w:r>
    </w:p>
    <w:p>
      <w:pPr>
        <w:pStyle w:val="ListBullet"/>
        <w:numPr>
          <w:ilvl w:val="0"/>
          <w:numId w:val="1"/>
        </w:numPr>
        <w:rPr/>
      </w:pPr>
      <w:r>
        <w:rPr>
          <w:color w:val="172236"/>
          <w:sz w:val="18"/>
        </w:rPr>
        <w:t>Calibration curve.</w:t>
      </w:r>
    </w:p>
    <w:p>
      <w:pPr>
        <w:pStyle w:val="ListBullet"/>
        <w:numPr>
          <w:ilvl w:val="0"/>
          <w:numId w:val="1"/>
        </w:numPr>
        <w:rPr/>
      </w:pPr>
      <w:r>
        <w:rPr>
          <w:color w:val="172236"/>
          <w:sz w:val="18"/>
        </w:rPr>
        <w:t>Training window.</w:t>
      </w:r>
    </w:p>
    <w:p>
      <w:pPr>
        <w:pStyle w:val="ListBullet"/>
        <w:numPr>
          <w:ilvl w:val="0"/>
          <w:numId w:val="1"/>
        </w:numPr>
        <w:rPr/>
      </w:pPr>
      <w:r>
        <w:rPr>
          <w:color w:val="172236"/>
          <w:sz w:val="18"/>
        </w:rPr>
        <w:t>Model version.</w:t>
      </w:r>
    </w:p>
    <w:p>
      <w:pPr>
        <w:pStyle w:val="ListBullet"/>
        <w:numPr>
          <w:ilvl w:val="0"/>
          <w:numId w:val="1"/>
        </w:numPr>
        <w:rPr/>
      </w:pPr>
      <w:r>
        <w:rPr>
          <w:color w:val="172236"/>
          <w:sz w:val="18"/>
        </w:rPr>
        <w:t>Known limitations.</w:t>
      </w:r>
    </w:p>
    <w:p>
      <w:pPr>
        <w:pStyle w:val="ListBullet"/>
        <w:numPr>
          <w:ilvl w:val="0"/>
          <w:numId w:val="1"/>
        </w:numPr>
        <w:rPr/>
      </w:pPr>
      <w:r>
        <w:rPr>
          <w:color w:val="172236"/>
          <w:sz w:val="18"/>
        </w:rPr>
        <w:t>Data drift status.</w:t>
      </w:r>
    </w:p>
    <w:p>
      <w:pPr>
        <w:pStyle w:val="Heading2"/>
        <w:pBdr>
          <w:left w:val="single" w:sz="14" w:space="4" w:color="8B5CF6"/>
        </w:pBdr>
        <w:rPr/>
      </w:pPr>
      <w:bookmarkStart w:id="101" w:name="__RefHeading___Toc6922_2150751134"/>
      <w:bookmarkEnd w:id="101"/>
      <w:r>
        <w:rPr>
          <w:rFonts w:ascii="Lato" w:hAnsi="Lato"/>
          <w:color w:val="172236"/>
          <w:sz w:val="29"/>
        </w:rPr>
        <w:t>12.5 Model Governance</w:t>
      </w:r>
    </w:p>
    <w:p>
      <w:pPr>
        <w:pStyle w:val="Normal"/>
        <w:rPr/>
      </w:pPr>
      <w:r>
        <w:rPr>
          <w:color w:val="172236"/>
          <w:sz w:val="19"/>
        </w:rPr>
        <w:t>Models MUST have:</w:t>
      </w:r>
    </w:p>
    <w:p>
      <w:pPr>
        <w:pStyle w:val="ListBullet"/>
        <w:numPr>
          <w:ilvl w:val="0"/>
          <w:numId w:val="1"/>
        </w:numPr>
        <w:rPr/>
      </w:pPr>
      <w:r>
        <w:rPr>
          <w:color w:val="172236"/>
          <w:sz w:val="18"/>
        </w:rPr>
        <w:t>Owner.</w:t>
      </w:r>
    </w:p>
    <w:p>
      <w:pPr>
        <w:pStyle w:val="ListBullet"/>
        <w:numPr>
          <w:ilvl w:val="0"/>
          <w:numId w:val="1"/>
        </w:numPr>
        <w:rPr/>
      </w:pPr>
      <w:r>
        <w:rPr>
          <w:color w:val="172236"/>
          <w:sz w:val="18"/>
        </w:rPr>
        <w:t>Intended use.</w:t>
      </w:r>
    </w:p>
    <w:p>
      <w:pPr>
        <w:pStyle w:val="ListBullet"/>
        <w:numPr>
          <w:ilvl w:val="0"/>
          <w:numId w:val="1"/>
        </w:numPr>
        <w:rPr/>
      </w:pPr>
      <w:r>
        <w:rPr>
          <w:color w:val="172236"/>
          <w:sz w:val="18"/>
        </w:rPr>
        <w:t>Prohibited use.</w:t>
      </w:r>
    </w:p>
    <w:p>
      <w:pPr>
        <w:pStyle w:val="ListBullet"/>
        <w:numPr>
          <w:ilvl w:val="0"/>
          <w:numId w:val="1"/>
        </w:numPr>
        <w:rPr/>
      </w:pPr>
      <w:r>
        <w:rPr>
          <w:color w:val="172236"/>
          <w:sz w:val="18"/>
        </w:rPr>
        <w:t>Dataset lineage.</w:t>
      </w:r>
    </w:p>
    <w:p>
      <w:pPr>
        <w:pStyle w:val="ListBullet"/>
        <w:numPr>
          <w:ilvl w:val="0"/>
          <w:numId w:val="1"/>
        </w:numPr>
        <w:rPr/>
      </w:pPr>
      <w:r>
        <w:rPr>
          <w:color w:val="172236"/>
          <w:sz w:val="18"/>
        </w:rPr>
        <w:t>Training code version.</w:t>
      </w:r>
    </w:p>
    <w:p>
      <w:pPr>
        <w:pStyle w:val="ListBullet"/>
        <w:numPr>
          <w:ilvl w:val="0"/>
          <w:numId w:val="1"/>
        </w:numPr>
        <w:rPr/>
      </w:pPr>
      <w:r>
        <w:rPr>
          <w:color w:val="172236"/>
          <w:sz w:val="18"/>
        </w:rPr>
        <w:t>Validation report.</w:t>
      </w:r>
    </w:p>
    <w:p>
      <w:pPr>
        <w:pStyle w:val="ListBullet"/>
        <w:numPr>
          <w:ilvl w:val="0"/>
          <w:numId w:val="1"/>
        </w:numPr>
        <w:rPr/>
      </w:pPr>
      <w:r>
        <w:rPr>
          <w:color w:val="172236"/>
          <w:sz w:val="18"/>
        </w:rPr>
        <w:t>Bias/leakage review.</w:t>
      </w:r>
    </w:p>
    <w:p>
      <w:pPr>
        <w:pStyle w:val="ListBullet"/>
        <w:numPr>
          <w:ilvl w:val="0"/>
          <w:numId w:val="1"/>
        </w:numPr>
        <w:rPr/>
      </w:pPr>
      <w:r>
        <w:rPr>
          <w:color w:val="172236"/>
          <w:sz w:val="18"/>
        </w:rPr>
        <w:t>Calibration report.</w:t>
      </w:r>
    </w:p>
    <w:p>
      <w:pPr>
        <w:pStyle w:val="ListBullet"/>
        <w:numPr>
          <w:ilvl w:val="0"/>
          <w:numId w:val="1"/>
        </w:numPr>
        <w:rPr/>
      </w:pPr>
      <w:r>
        <w:rPr>
          <w:color w:val="172236"/>
          <w:sz w:val="18"/>
        </w:rPr>
        <w:t>Promotion approval.</w:t>
      </w:r>
    </w:p>
    <w:p>
      <w:pPr>
        <w:pStyle w:val="ListBullet"/>
        <w:numPr>
          <w:ilvl w:val="0"/>
          <w:numId w:val="1"/>
        </w:numPr>
        <w:rPr/>
      </w:pPr>
      <w:r>
        <w:rPr>
          <w:color w:val="172236"/>
          <w:sz w:val="18"/>
        </w:rPr>
        <w:t>Drift thresholds.</w:t>
      </w:r>
    </w:p>
    <w:p>
      <w:pPr>
        <w:pStyle w:val="ListBullet"/>
        <w:numPr>
          <w:ilvl w:val="0"/>
          <w:numId w:val="1"/>
        </w:numPr>
        <w:rPr/>
      </w:pPr>
      <w:r>
        <w:rPr>
          <w:color w:val="172236"/>
          <w:sz w:val="18"/>
        </w:rPr>
        <w:t>Rollback.</w:t>
      </w:r>
    </w:p>
    <w:p>
      <w:pPr>
        <w:pStyle w:val="ListBullet"/>
        <w:numPr>
          <w:ilvl w:val="0"/>
          <w:numId w:val="1"/>
        </w:numPr>
        <w:rPr/>
      </w:pPr>
      <w:r>
        <w:rPr>
          <w:color w:val="172236"/>
          <w:sz w:val="18"/>
        </w:rPr>
        <w:t>Retirement plan.</w:t>
      </w:r>
    </w:p>
    <w:p>
      <w:pPr>
        <w:pStyle w:val="Heading2"/>
        <w:pBdr>
          <w:left w:val="single" w:sz="14" w:space="4" w:color="8B5CF6"/>
        </w:pBdr>
        <w:rPr/>
      </w:pPr>
      <w:bookmarkStart w:id="102" w:name="__RefHeading___Toc6924_2150751134"/>
      <w:bookmarkEnd w:id="102"/>
      <w:r>
        <w:rPr>
          <w:rFonts w:ascii="Lato" w:hAnsi="Lato"/>
          <w:color w:val="172236"/>
          <w:sz w:val="29"/>
        </w:rPr>
        <w:t>12.6 Avoiding False Precision</w:t>
      </w:r>
    </w:p>
    <w:p>
      <w:pPr>
        <w:pStyle w:val="Normal"/>
        <w:rPr/>
      </w:pPr>
      <w:r>
        <w:rPr>
          <w:color w:val="172236"/>
          <w:sz w:val="19"/>
        </w:rPr>
        <w:t>The UI SHOULD prefer:</w:t>
      </w:r>
    </w:p>
    <w:p>
      <w:pPr>
        <w:pStyle w:val="ListBullet"/>
        <w:numPr>
          <w:ilvl w:val="0"/>
          <w:numId w:val="1"/>
        </w:numPr>
        <w:rPr/>
      </w:pPr>
      <w:r>
        <w:rPr>
          <w:color w:val="172236"/>
          <w:sz w:val="18"/>
        </w:rPr>
        <w:t>“</w:t>
      </w:r>
      <w:r>
        <w:rPr>
          <w:color w:val="172236"/>
          <w:sz w:val="18"/>
        </w:rPr>
        <w:t>Estimated 58–66% probability range”over</w:t>
      </w:r>
    </w:p>
    <w:p>
      <w:pPr>
        <w:pStyle w:val="ListBullet"/>
        <w:numPr>
          <w:ilvl w:val="0"/>
          <w:numId w:val="1"/>
        </w:numPr>
        <w:rPr/>
      </w:pPr>
      <w:r>
        <w:rPr>
          <w:color w:val="172236"/>
          <w:sz w:val="18"/>
        </w:rPr>
        <w:t>“</w:t>
      </w:r>
      <w:r>
        <w:rPr>
          <w:color w:val="172236"/>
          <w:sz w:val="18"/>
        </w:rPr>
        <w:t>62.37% chance.”</w:t>
      </w:r>
    </w:p>
    <w:p>
      <w:pPr>
        <w:pStyle w:val="Normal"/>
        <w:rPr/>
      </w:pPr>
      <w:r>
        <w:rPr>
          <w:color w:val="172236"/>
          <w:sz w:val="19"/>
        </w:rPr>
        <w:t>Confidence must widen when data is sparse, stale, out-of-domain, or contradictory.</w:t>
      </w:r>
    </w:p>
    <w:p>
      <w:pPr>
        <w:pStyle w:val="Heading1"/>
        <w:pBdr>
          <w:bottom w:val="single" w:sz="12" w:space="5" w:color="33C7F2"/>
        </w:pBdr>
        <w:rPr/>
      </w:pPr>
      <w:bookmarkStart w:id="103" w:name="__RefHeading___Toc6926_2150751134"/>
      <w:bookmarkEnd w:id="103"/>
      <w:r>
        <w:rPr>
          <w:rFonts w:ascii="Lato" w:hAnsi="Lato"/>
          <w:color w:val="172236"/>
          <w:sz w:val="42"/>
        </w:rPr>
        <w:t>13. Options Intelligence Architecture</w:t>
      </w:r>
    </w:p>
    <w:p>
      <w:pPr>
        <w:pStyle w:val="Heading2"/>
        <w:pBdr>
          <w:left w:val="single" w:sz="14" w:space="4" w:color="8B5CF6"/>
        </w:pBdr>
        <w:rPr/>
      </w:pPr>
      <w:bookmarkStart w:id="104" w:name="__RefHeading___Toc6928_2150751134"/>
      <w:bookmarkEnd w:id="104"/>
      <w:r>
        <w:rPr>
          <w:rFonts w:ascii="Lato" w:hAnsi="Lato"/>
          <w:color w:val="172236"/>
          <w:sz w:val="29"/>
        </w:rPr>
        <w:t>13.1 Chain Explorer</w:t>
      </w:r>
    </w:p>
    <w:p>
      <w:pPr>
        <w:pStyle w:val="Normal"/>
        <w:rPr/>
      </w:pPr>
      <w:r>
        <w:rPr>
          <w:color w:val="172236"/>
          <w:sz w:val="19"/>
        </w:rPr>
        <w:t>Capabilities:</w:t>
      </w:r>
    </w:p>
    <w:p>
      <w:pPr>
        <w:pStyle w:val="ListBullet"/>
        <w:numPr>
          <w:ilvl w:val="0"/>
          <w:numId w:val="1"/>
        </w:numPr>
        <w:rPr/>
      </w:pPr>
      <w:r>
        <w:rPr>
          <w:color w:val="172236"/>
          <w:sz w:val="18"/>
        </w:rPr>
        <w:t>Expiration matrix.</w:t>
      </w:r>
    </w:p>
    <w:p>
      <w:pPr>
        <w:pStyle w:val="ListBullet"/>
        <w:numPr>
          <w:ilvl w:val="0"/>
          <w:numId w:val="1"/>
        </w:numPr>
        <w:rPr/>
      </w:pPr>
      <w:r>
        <w:rPr>
          <w:color w:val="172236"/>
          <w:sz w:val="18"/>
        </w:rPr>
        <w:t>Strike ladder.</w:t>
      </w:r>
    </w:p>
    <w:p>
      <w:pPr>
        <w:pStyle w:val="ListBullet"/>
        <w:numPr>
          <w:ilvl w:val="0"/>
          <w:numId w:val="1"/>
        </w:numPr>
        <w:rPr/>
      </w:pPr>
      <w:r>
        <w:rPr>
          <w:color w:val="172236"/>
          <w:sz w:val="18"/>
        </w:rPr>
        <w:t>Calls and puts.</w:t>
      </w:r>
    </w:p>
    <w:p>
      <w:pPr>
        <w:pStyle w:val="ListBullet"/>
        <w:numPr>
          <w:ilvl w:val="0"/>
          <w:numId w:val="1"/>
        </w:numPr>
        <w:rPr/>
      </w:pPr>
      <w:r>
        <w:rPr>
          <w:color w:val="172236"/>
          <w:sz w:val="18"/>
        </w:rPr>
        <w:t>Bid/ask.</w:t>
      </w:r>
    </w:p>
    <w:p>
      <w:pPr>
        <w:pStyle w:val="ListBullet"/>
        <w:numPr>
          <w:ilvl w:val="0"/>
          <w:numId w:val="1"/>
        </w:numPr>
        <w:rPr/>
      </w:pPr>
      <w:r>
        <w:rPr>
          <w:color w:val="172236"/>
          <w:sz w:val="18"/>
        </w:rPr>
        <w:t>Last.</w:t>
      </w:r>
    </w:p>
    <w:p>
      <w:pPr>
        <w:pStyle w:val="ListBullet"/>
        <w:numPr>
          <w:ilvl w:val="0"/>
          <w:numId w:val="1"/>
        </w:numPr>
        <w:rPr/>
      </w:pPr>
      <w:r>
        <w:rPr>
          <w:color w:val="172236"/>
          <w:sz w:val="18"/>
        </w:rPr>
        <w:t>Volume.</w:t>
      </w:r>
    </w:p>
    <w:p>
      <w:pPr>
        <w:pStyle w:val="ListBullet"/>
        <w:numPr>
          <w:ilvl w:val="0"/>
          <w:numId w:val="1"/>
        </w:numPr>
        <w:rPr/>
      </w:pPr>
      <w:r>
        <w:rPr>
          <w:color w:val="172236"/>
          <w:sz w:val="18"/>
        </w:rPr>
        <w:t>Open interest.</w:t>
      </w:r>
    </w:p>
    <w:p>
      <w:pPr>
        <w:pStyle w:val="ListBullet"/>
        <w:numPr>
          <w:ilvl w:val="0"/>
          <w:numId w:val="1"/>
        </w:numPr>
        <w:rPr/>
      </w:pPr>
      <w:r>
        <w:rPr>
          <w:color w:val="172236"/>
          <w:sz w:val="18"/>
        </w:rPr>
        <w:t>Implied volatility.</w:t>
      </w:r>
    </w:p>
    <w:p>
      <w:pPr>
        <w:pStyle w:val="ListBullet"/>
        <w:numPr>
          <w:ilvl w:val="0"/>
          <w:numId w:val="1"/>
        </w:numPr>
        <w:rPr/>
      </w:pPr>
      <w:r>
        <w:rPr>
          <w:color w:val="172236"/>
          <w:sz w:val="18"/>
        </w:rPr>
        <w:t>Greeks.</w:t>
      </w:r>
    </w:p>
    <w:p>
      <w:pPr>
        <w:pStyle w:val="ListBullet"/>
        <w:numPr>
          <w:ilvl w:val="0"/>
          <w:numId w:val="1"/>
        </w:numPr>
        <w:rPr/>
      </w:pPr>
      <w:r>
        <w:rPr>
          <w:color w:val="172236"/>
          <w:sz w:val="18"/>
        </w:rPr>
        <w:t>Intrinsic/extrinsic value.</w:t>
      </w:r>
    </w:p>
    <w:p>
      <w:pPr>
        <w:pStyle w:val="ListBullet"/>
        <w:numPr>
          <w:ilvl w:val="0"/>
          <w:numId w:val="1"/>
        </w:numPr>
        <w:rPr/>
      </w:pPr>
      <w:r>
        <w:rPr>
          <w:color w:val="172236"/>
          <w:sz w:val="18"/>
        </w:rPr>
        <w:t>Break-even.</w:t>
      </w:r>
    </w:p>
    <w:p>
      <w:pPr>
        <w:pStyle w:val="ListBullet"/>
        <w:numPr>
          <w:ilvl w:val="0"/>
          <w:numId w:val="1"/>
        </w:numPr>
        <w:rPr/>
      </w:pPr>
      <w:r>
        <w:rPr>
          <w:color w:val="172236"/>
          <w:sz w:val="18"/>
        </w:rPr>
        <w:t>Probability estimates.</w:t>
      </w:r>
    </w:p>
    <w:p>
      <w:pPr>
        <w:pStyle w:val="ListBullet"/>
        <w:numPr>
          <w:ilvl w:val="0"/>
          <w:numId w:val="1"/>
        </w:numPr>
        <w:rPr/>
      </w:pPr>
      <w:r>
        <w:rPr>
          <w:color w:val="172236"/>
          <w:sz w:val="18"/>
        </w:rPr>
        <w:t>Liquidity score.</w:t>
      </w:r>
    </w:p>
    <w:p>
      <w:pPr>
        <w:pStyle w:val="ListBullet"/>
        <w:numPr>
          <w:ilvl w:val="0"/>
          <w:numId w:val="1"/>
        </w:numPr>
        <w:rPr/>
      </w:pPr>
      <w:r>
        <w:rPr>
          <w:color w:val="172236"/>
          <w:sz w:val="18"/>
        </w:rPr>
        <w:t>Spread width.</w:t>
      </w:r>
    </w:p>
    <w:p>
      <w:pPr>
        <w:pStyle w:val="ListBullet"/>
        <w:numPr>
          <w:ilvl w:val="0"/>
          <w:numId w:val="1"/>
        </w:numPr>
        <w:rPr/>
      </w:pPr>
      <w:r>
        <w:rPr>
          <w:color w:val="172236"/>
          <w:sz w:val="18"/>
        </w:rPr>
        <w:t>Event markers.</w:t>
      </w:r>
    </w:p>
    <w:p>
      <w:pPr>
        <w:pStyle w:val="ListBullet"/>
        <w:numPr>
          <w:ilvl w:val="0"/>
          <w:numId w:val="1"/>
        </w:numPr>
        <w:rPr/>
      </w:pPr>
      <w:r>
        <w:rPr>
          <w:color w:val="172236"/>
          <w:sz w:val="18"/>
        </w:rPr>
        <w:t>Historical IV context.</w:t>
      </w:r>
    </w:p>
    <w:p>
      <w:pPr>
        <w:pStyle w:val="Heading2"/>
        <w:pBdr>
          <w:left w:val="single" w:sz="14" w:space="4" w:color="8B5CF6"/>
        </w:pBdr>
        <w:rPr/>
      </w:pPr>
      <w:bookmarkStart w:id="105" w:name="__RefHeading___Toc6930_2150751134"/>
      <w:bookmarkEnd w:id="105"/>
      <w:r>
        <w:rPr>
          <w:rFonts w:ascii="Lato" w:hAnsi="Lato"/>
          <w:color w:val="172236"/>
          <w:sz w:val="29"/>
        </w:rPr>
        <w:t>13.2 Flow Classification</w:t>
      </w:r>
    </w:p>
    <w:p>
      <w:pPr>
        <w:pStyle w:val="Normal"/>
        <w:rPr/>
      </w:pPr>
      <w:r>
        <w:rPr>
          <w:color w:val="172236"/>
          <w:sz w:val="19"/>
        </w:rPr>
        <w:t>Each observed trade or aggregate MUST separate facts from inference.</w:t>
      </w:r>
    </w:p>
    <w:p>
      <w:pPr>
        <w:pStyle w:val="Normal"/>
        <w:rPr/>
      </w:pPr>
      <w:r>
        <w:rPr>
          <w:color w:val="172236"/>
          <w:sz w:val="19"/>
        </w:rPr>
        <w:t>Facts:</w:t>
      </w:r>
    </w:p>
    <w:p>
      <w:pPr>
        <w:pStyle w:val="ListBullet"/>
        <w:numPr>
          <w:ilvl w:val="0"/>
          <w:numId w:val="1"/>
        </w:numPr>
        <w:rPr/>
      </w:pPr>
      <w:r>
        <w:rPr>
          <w:color w:val="172236"/>
          <w:sz w:val="18"/>
        </w:rPr>
        <w:t>Timestamp.</w:t>
      </w:r>
    </w:p>
    <w:p>
      <w:pPr>
        <w:pStyle w:val="ListBullet"/>
        <w:numPr>
          <w:ilvl w:val="0"/>
          <w:numId w:val="1"/>
        </w:numPr>
        <w:rPr/>
      </w:pPr>
      <w:r>
        <w:rPr>
          <w:color w:val="172236"/>
          <w:sz w:val="18"/>
        </w:rPr>
        <w:t>Contract.</w:t>
      </w:r>
    </w:p>
    <w:p>
      <w:pPr>
        <w:pStyle w:val="ListBullet"/>
        <w:numPr>
          <w:ilvl w:val="0"/>
          <w:numId w:val="1"/>
        </w:numPr>
        <w:rPr/>
      </w:pPr>
      <w:r>
        <w:rPr>
          <w:color w:val="172236"/>
          <w:sz w:val="18"/>
        </w:rPr>
        <w:t>Size.</w:t>
      </w:r>
    </w:p>
    <w:p>
      <w:pPr>
        <w:pStyle w:val="ListBullet"/>
        <w:numPr>
          <w:ilvl w:val="0"/>
          <w:numId w:val="1"/>
        </w:numPr>
        <w:rPr/>
      </w:pPr>
      <w:r>
        <w:rPr>
          <w:color w:val="172236"/>
          <w:sz w:val="18"/>
        </w:rPr>
        <w:t>Price.</w:t>
      </w:r>
    </w:p>
    <w:p>
      <w:pPr>
        <w:pStyle w:val="ListBullet"/>
        <w:numPr>
          <w:ilvl w:val="0"/>
          <w:numId w:val="1"/>
        </w:numPr>
        <w:rPr/>
      </w:pPr>
      <w:r>
        <w:rPr>
          <w:color w:val="172236"/>
          <w:sz w:val="18"/>
        </w:rPr>
        <w:t>Bid/ask context.</w:t>
      </w:r>
    </w:p>
    <w:p>
      <w:pPr>
        <w:pStyle w:val="ListBullet"/>
        <w:numPr>
          <w:ilvl w:val="0"/>
          <w:numId w:val="1"/>
        </w:numPr>
        <w:rPr/>
      </w:pPr>
      <w:r>
        <w:rPr>
          <w:color w:val="172236"/>
          <w:sz w:val="18"/>
        </w:rPr>
        <w:t>Premium.</w:t>
      </w:r>
    </w:p>
    <w:p>
      <w:pPr>
        <w:pStyle w:val="ListBullet"/>
        <w:numPr>
          <w:ilvl w:val="0"/>
          <w:numId w:val="1"/>
        </w:numPr>
        <w:rPr/>
      </w:pPr>
      <w:r>
        <w:rPr>
          <w:color w:val="172236"/>
          <w:sz w:val="18"/>
        </w:rPr>
        <w:t>Venue if available.</w:t>
      </w:r>
    </w:p>
    <w:p>
      <w:pPr>
        <w:pStyle w:val="ListBullet"/>
        <w:numPr>
          <w:ilvl w:val="0"/>
          <w:numId w:val="1"/>
        </w:numPr>
        <w:rPr/>
      </w:pPr>
      <w:r>
        <w:rPr>
          <w:color w:val="172236"/>
          <w:sz w:val="18"/>
        </w:rPr>
        <w:t>Volume and open interest.</w:t>
      </w:r>
    </w:p>
    <w:p>
      <w:pPr>
        <w:pStyle w:val="ListBullet"/>
        <w:numPr>
          <w:ilvl w:val="0"/>
          <w:numId w:val="1"/>
        </w:numPr>
        <w:rPr/>
      </w:pPr>
      <w:r>
        <w:rPr>
          <w:color w:val="172236"/>
          <w:sz w:val="18"/>
        </w:rPr>
        <w:t>Underlying state.</w:t>
      </w:r>
    </w:p>
    <w:p>
      <w:pPr>
        <w:pStyle w:val="Normal"/>
        <w:rPr/>
      </w:pPr>
      <w:r>
        <w:rPr>
          <w:color w:val="172236"/>
          <w:sz w:val="19"/>
        </w:rPr>
        <w:t>Inferences:</w:t>
      </w:r>
    </w:p>
    <w:p>
      <w:pPr>
        <w:pStyle w:val="ListBullet"/>
        <w:numPr>
          <w:ilvl w:val="0"/>
          <w:numId w:val="1"/>
        </w:numPr>
        <w:rPr/>
      </w:pPr>
      <w:r>
        <w:rPr>
          <w:color w:val="172236"/>
          <w:sz w:val="18"/>
        </w:rPr>
        <w:t>Buy/sell side likelihood.</w:t>
      </w:r>
    </w:p>
    <w:p>
      <w:pPr>
        <w:pStyle w:val="ListBullet"/>
        <w:numPr>
          <w:ilvl w:val="0"/>
          <w:numId w:val="1"/>
        </w:numPr>
        <w:rPr/>
      </w:pPr>
      <w:r>
        <w:rPr>
          <w:color w:val="172236"/>
          <w:sz w:val="18"/>
        </w:rPr>
        <w:t>Opening/closing likelihood.</w:t>
      </w:r>
    </w:p>
    <w:p>
      <w:pPr>
        <w:pStyle w:val="ListBullet"/>
        <w:numPr>
          <w:ilvl w:val="0"/>
          <w:numId w:val="1"/>
        </w:numPr>
        <w:rPr/>
      </w:pPr>
      <w:r>
        <w:rPr>
          <w:color w:val="172236"/>
          <w:sz w:val="18"/>
        </w:rPr>
        <w:t>Spread membership likelihood.</w:t>
      </w:r>
    </w:p>
    <w:p>
      <w:pPr>
        <w:pStyle w:val="ListBullet"/>
        <w:numPr>
          <w:ilvl w:val="0"/>
          <w:numId w:val="1"/>
        </w:numPr>
        <w:rPr/>
      </w:pPr>
      <w:r>
        <w:rPr>
          <w:color w:val="172236"/>
          <w:sz w:val="18"/>
        </w:rPr>
        <w:t>Directional/hedging likelihood.</w:t>
      </w:r>
    </w:p>
    <w:p>
      <w:pPr>
        <w:pStyle w:val="ListBullet"/>
        <w:numPr>
          <w:ilvl w:val="0"/>
          <w:numId w:val="1"/>
        </w:numPr>
        <w:rPr/>
      </w:pPr>
      <w:r>
        <w:rPr>
          <w:color w:val="172236"/>
          <w:sz w:val="18"/>
        </w:rPr>
        <w:t>Urgency.</w:t>
      </w:r>
    </w:p>
    <w:p>
      <w:pPr>
        <w:pStyle w:val="ListBullet"/>
        <w:numPr>
          <w:ilvl w:val="0"/>
          <w:numId w:val="1"/>
        </w:numPr>
        <w:rPr/>
      </w:pPr>
      <w:r>
        <w:rPr>
          <w:color w:val="172236"/>
          <w:sz w:val="18"/>
        </w:rPr>
        <w:t>Repeat accumulation.</w:t>
      </w:r>
    </w:p>
    <w:p>
      <w:pPr>
        <w:pStyle w:val="ListBullet"/>
        <w:numPr>
          <w:ilvl w:val="0"/>
          <w:numId w:val="1"/>
        </w:numPr>
        <w:rPr/>
      </w:pPr>
      <w:r>
        <w:rPr>
          <w:color w:val="172236"/>
          <w:sz w:val="18"/>
        </w:rPr>
        <w:t>Confidence.</w:t>
      </w:r>
    </w:p>
    <w:p>
      <w:pPr>
        <w:pStyle w:val="Heading2"/>
        <w:pBdr>
          <w:left w:val="single" w:sz="14" w:space="4" w:color="8B5CF6"/>
        </w:pBdr>
        <w:rPr/>
      </w:pPr>
      <w:bookmarkStart w:id="106" w:name="__RefHeading___Toc6932_2150751134"/>
      <w:bookmarkEnd w:id="106"/>
      <w:r>
        <w:rPr>
          <w:rFonts w:ascii="Lato" w:hAnsi="Lato"/>
          <w:color w:val="172236"/>
          <w:sz w:val="29"/>
        </w:rPr>
        <w:t>13.3 Flow Clustering</w:t>
      </w:r>
    </w:p>
    <w:p>
      <w:pPr>
        <w:pStyle w:val="Normal"/>
        <w:rPr/>
      </w:pPr>
      <w:r>
        <w:rPr>
          <w:color w:val="172236"/>
          <w:sz w:val="19"/>
        </w:rPr>
        <w:t>Cluster trades by:</w:t>
      </w:r>
    </w:p>
    <w:p>
      <w:pPr>
        <w:pStyle w:val="ListBullet"/>
        <w:numPr>
          <w:ilvl w:val="0"/>
          <w:numId w:val="1"/>
        </w:numPr>
        <w:rPr/>
      </w:pPr>
      <w:r>
        <w:rPr>
          <w:color w:val="172236"/>
          <w:sz w:val="18"/>
        </w:rPr>
        <w:t>Underlying.</w:t>
      </w:r>
    </w:p>
    <w:p>
      <w:pPr>
        <w:pStyle w:val="ListBullet"/>
        <w:numPr>
          <w:ilvl w:val="0"/>
          <w:numId w:val="1"/>
        </w:numPr>
        <w:rPr/>
      </w:pPr>
      <w:r>
        <w:rPr>
          <w:color w:val="172236"/>
          <w:sz w:val="18"/>
        </w:rPr>
        <w:t>Actor-like timing pattern.</w:t>
      </w:r>
    </w:p>
    <w:p>
      <w:pPr>
        <w:pStyle w:val="ListBullet"/>
        <w:numPr>
          <w:ilvl w:val="0"/>
          <w:numId w:val="1"/>
        </w:numPr>
        <w:rPr/>
      </w:pPr>
      <w:r>
        <w:rPr>
          <w:color w:val="172236"/>
          <w:sz w:val="18"/>
        </w:rPr>
        <w:t>Expiration.</w:t>
      </w:r>
    </w:p>
    <w:p>
      <w:pPr>
        <w:pStyle w:val="ListBullet"/>
        <w:numPr>
          <w:ilvl w:val="0"/>
          <w:numId w:val="1"/>
        </w:numPr>
        <w:rPr/>
      </w:pPr>
      <w:r>
        <w:rPr>
          <w:color w:val="172236"/>
          <w:sz w:val="18"/>
        </w:rPr>
        <w:t>Strike.</w:t>
      </w:r>
    </w:p>
    <w:p>
      <w:pPr>
        <w:pStyle w:val="ListBullet"/>
        <w:numPr>
          <w:ilvl w:val="0"/>
          <w:numId w:val="1"/>
        </w:numPr>
        <w:rPr/>
      </w:pPr>
      <w:r>
        <w:rPr>
          <w:color w:val="172236"/>
          <w:sz w:val="18"/>
        </w:rPr>
        <w:t>Side.</w:t>
      </w:r>
    </w:p>
    <w:p>
      <w:pPr>
        <w:pStyle w:val="ListBullet"/>
        <w:numPr>
          <w:ilvl w:val="0"/>
          <w:numId w:val="1"/>
        </w:numPr>
        <w:rPr/>
      </w:pPr>
      <w:r>
        <w:rPr>
          <w:color w:val="172236"/>
          <w:sz w:val="18"/>
        </w:rPr>
        <w:t>Premium.</w:t>
      </w:r>
    </w:p>
    <w:p>
      <w:pPr>
        <w:pStyle w:val="ListBullet"/>
        <w:numPr>
          <w:ilvl w:val="0"/>
          <w:numId w:val="1"/>
        </w:numPr>
        <w:rPr/>
      </w:pPr>
      <w:r>
        <w:rPr>
          <w:color w:val="172236"/>
          <w:sz w:val="18"/>
        </w:rPr>
        <w:t>Venue.</w:t>
      </w:r>
    </w:p>
    <w:p>
      <w:pPr>
        <w:pStyle w:val="ListBullet"/>
        <w:numPr>
          <w:ilvl w:val="0"/>
          <w:numId w:val="1"/>
        </w:numPr>
        <w:rPr/>
      </w:pPr>
      <w:r>
        <w:rPr>
          <w:color w:val="172236"/>
          <w:sz w:val="18"/>
        </w:rPr>
        <w:t>Repeated sequence.</w:t>
      </w:r>
    </w:p>
    <w:p>
      <w:pPr>
        <w:pStyle w:val="ListBullet"/>
        <w:numPr>
          <w:ilvl w:val="0"/>
          <w:numId w:val="1"/>
        </w:numPr>
        <w:rPr/>
      </w:pPr>
      <w:r>
        <w:rPr>
          <w:color w:val="172236"/>
          <w:sz w:val="18"/>
        </w:rPr>
        <w:t>Multi-leg relationship.</w:t>
      </w:r>
    </w:p>
    <w:p>
      <w:pPr>
        <w:pStyle w:val="Normal"/>
        <w:rPr/>
      </w:pPr>
      <w:r>
        <w:rPr>
          <w:color w:val="172236"/>
          <w:sz w:val="19"/>
        </w:rPr>
        <w:t>The UI SHOULD present both individual prints and inferred parent activity.</w:t>
      </w:r>
    </w:p>
    <w:p>
      <w:pPr>
        <w:pStyle w:val="Heading2"/>
        <w:pBdr>
          <w:left w:val="single" w:sz="14" w:space="4" w:color="8B5CF6"/>
        </w:pBdr>
        <w:rPr/>
      </w:pPr>
      <w:bookmarkStart w:id="107" w:name="__RefHeading___Toc6934_2150751134"/>
      <w:bookmarkEnd w:id="107"/>
      <w:r>
        <w:rPr>
          <w:rFonts w:ascii="Lato" w:hAnsi="Lato"/>
          <w:color w:val="172236"/>
          <w:sz w:val="29"/>
        </w:rPr>
        <w:t>13.4 Volatility Lab</w:t>
      </w:r>
    </w:p>
    <w:p>
      <w:pPr>
        <w:pStyle w:val="ListBullet"/>
        <w:numPr>
          <w:ilvl w:val="0"/>
          <w:numId w:val="1"/>
        </w:numPr>
        <w:rPr/>
      </w:pPr>
      <w:r>
        <w:rPr>
          <w:color w:val="172236"/>
          <w:sz w:val="18"/>
        </w:rPr>
        <w:t>IV rank.</w:t>
      </w:r>
    </w:p>
    <w:p>
      <w:pPr>
        <w:pStyle w:val="ListBullet"/>
        <w:numPr>
          <w:ilvl w:val="0"/>
          <w:numId w:val="1"/>
        </w:numPr>
        <w:rPr/>
      </w:pPr>
      <w:r>
        <w:rPr>
          <w:color w:val="172236"/>
          <w:sz w:val="18"/>
        </w:rPr>
        <w:t>IV percentile.</w:t>
      </w:r>
    </w:p>
    <w:p>
      <w:pPr>
        <w:pStyle w:val="ListBullet"/>
        <w:numPr>
          <w:ilvl w:val="0"/>
          <w:numId w:val="1"/>
        </w:numPr>
        <w:rPr/>
      </w:pPr>
      <w:r>
        <w:rPr>
          <w:color w:val="172236"/>
          <w:sz w:val="18"/>
        </w:rPr>
        <w:t>Realized volatility.</w:t>
      </w:r>
    </w:p>
    <w:p>
      <w:pPr>
        <w:pStyle w:val="ListBullet"/>
        <w:numPr>
          <w:ilvl w:val="0"/>
          <w:numId w:val="1"/>
        </w:numPr>
        <w:rPr/>
      </w:pPr>
      <w:r>
        <w:rPr>
          <w:color w:val="172236"/>
          <w:sz w:val="18"/>
        </w:rPr>
        <w:t>Term structure.</w:t>
      </w:r>
    </w:p>
    <w:p>
      <w:pPr>
        <w:pStyle w:val="ListBullet"/>
        <w:numPr>
          <w:ilvl w:val="0"/>
          <w:numId w:val="1"/>
        </w:numPr>
        <w:rPr/>
      </w:pPr>
      <w:r>
        <w:rPr>
          <w:color w:val="172236"/>
          <w:sz w:val="18"/>
        </w:rPr>
        <w:t>Skew.</w:t>
      </w:r>
    </w:p>
    <w:p>
      <w:pPr>
        <w:pStyle w:val="ListBullet"/>
        <w:numPr>
          <w:ilvl w:val="0"/>
          <w:numId w:val="1"/>
        </w:numPr>
        <w:rPr/>
      </w:pPr>
      <w:r>
        <w:rPr>
          <w:color w:val="172236"/>
          <w:sz w:val="18"/>
        </w:rPr>
        <w:t>Smile.</w:t>
      </w:r>
    </w:p>
    <w:p>
      <w:pPr>
        <w:pStyle w:val="ListBullet"/>
        <w:numPr>
          <w:ilvl w:val="0"/>
          <w:numId w:val="1"/>
        </w:numPr>
        <w:rPr/>
      </w:pPr>
      <w:r>
        <w:rPr>
          <w:color w:val="172236"/>
          <w:sz w:val="18"/>
        </w:rPr>
        <w:t>Event IV.</w:t>
      </w:r>
    </w:p>
    <w:p>
      <w:pPr>
        <w:pStyle w:val="ListBullet"/>
        <w:numPr>
          <w:ilvl w:val="0"/>
          <w:numId w:val="1"/>
        </w:numPr>
        <w:rPr/>
      </w:pPr>
      <w:r>
        <w:rPr>
          <w:color w:val="172236"/>
          <w:sz w:val="18"/>
        </w:rPr>
        <w:t>Forward volatility.</w:t>
      </w:r>
    </w:p>
    <w:p>
      <w:pPr>
        <w:pStyle w:val="ListBullet"/>
        <w:numPr>
          <w:ilvl w:val="0"/>
          <w:numId w:val="1"/>
        </w:numPr>
        <w:rPr/>
      </w:pPr>
      <w:r>
        <w:rPr>
          <w:color w:val="172236"/>
          <w:sz w:val="18"/>
        </w:rPr>
        <w:t>Volatility cone.</w:t>
      </w:r>
    </w:p>
    <w:p>
      <w:pPr>
        <w:pStyle w:val="ListBullet"/>
        <w:numPr>
          <w:ilvl w:val="0"/>
          <w:numId w:val="1"/>
        </w:numPr>
        <w:rPr/>
      </w:pPr>
      <w:r>
        <w:rPr>
          <w:color w:val="172236"/>
          <w:sz w:val="18"/>
        </w:rPr>
        <w:t>Surface interpolation.</w:t>
      </w:r>
    </w:p>
    <w:p>
      <w:pPr>
        <w:pStyle w:val="ListBullet"/>
        <w:numPr>
          <w:ilvl w:val="0"/>
          <w:numId w:val="1"/>
        </w:numPr>
        <w:rPr/>
      </w:pPr>
      <w:r>
        <w:rPr>
          <w:color w:val="172236"/>
          <w:sz w:val="18"/>
        </w:rPr>
        <w:t>Surface change.</w:t>
      </w:r>
    </w:p>
    <w:p>
      <w:pPr>
        <w:pStyle w:val="ListBullet"/>
        <w:numPr>
          <w:ilvl w:val="0"/>
          <w:numId w:val="1"/>
        </w:numPr>
        <w:rPr/>
      </w:pPr>
      <w:r>
        <w:rPr>
          <w:color w:val="172236"/>
          <w:sz w:val="18"/>
        </w:rPr>
        <w:t>Relative-value comparisons.</w:t>
      </w:r>
    </w:p>
    <w:p>
      <w:pPr>
        <w:pStyle w:val="Heading2"/>
        <w:pBdr>
          <w:left w:val="single" w:sz="14" w:space="4" w:color="8B5CF6"/>
        </w:pBdr>
        <w:rPr/>
      </w:pPr>
      <w:bookmarkStart w:id="108" w:name="__RefHeading___Toc6936_2150751134"/>
      <w:bookmarkEnd w:id="108"/>
      <w:r>
        <w:rPr>
          <w:rFonts w:ascii="Lato" w:hAnsi="Lato"/>
          <w:color w:val="172236"/>
          <w:sz w:val="29"/>
        </w:rPr>
        <w:t>13.5 Strategy Constructor</w:t>
      </w:r>
    </w:p>
    <w:p>
      <w:pPr>
        <w:pStyle w:val="Normal"/>
        <w:rPr/>
      </w:pPr>
      <w:r>
        <w:rPr>
          <w:color w:val="172236"/>
          <w:sz w:val="19"/>
        </w:rPr>
        <w:t>Inputs:</w:t>
      </w:r>
    </w:p>
    <w:p>
      <w:pPr>
        <w:pStyle w:val="ListBullet"/>
        <w:numPr>
          <w:ilvl w:val="0"/>
          <w:numId w:val="1"/>
        </w:numPr>
        <w:rPr/>
      </w:pPr>
      <w:r>
        <w:rPr>
          <w:color w:val="172236"/>
          <w:sz w:val="18"/>
        </w:rPr>
        <w:t>Thesis direction.</w:t>
      </w:r>
    </w:p>
    <w:p>
      <w:pPr>
        <w:pStyle w:val="ListBullet"/>
        <w:numPr>
          <w:ilvl w:val="0"/>
          <w:numId w:val="1"/>
        </w:numPr>
        <w:rPr/>
      </w:pPr>
      <w:r>
        <w:rPr>
          <w:color w:val="172236"/>
          <w:sz w:val="18"/>
        </w:rPr>
        <w:t>Expected move.</w:t>
      </w:r>
    </w:p>
    <w:p>
      <w:pPr>
        <w:pStyle w:val="ListBullet"/>
        <w:numPr>
          <w:ilvl w:val="0"/>
          <w:numId w:val="1"/>
        </w:numPr>
        <w:rPr/>
      </w:pPr>
      <w:r>
        <w:rPr>
          <w:color w:val="172236"/>
          <w:sz w:val="18"/>
        </w:rPr>
        <w:t>Time horizon.</w:t>
      </w:r>
    </w:p>
    <w:p>
      <w:pPr>
        <w:pStyle w:val="ListBullet"/>
        <w:numPr>
          <w:ilvl w:val="0"/>
          <w:numId w:val="1"/>
        </w:numPr>
        <w:rPr/>
      </w:pPr>
      <w:r>
        <w:rPr>
          <w:color w:val="172236"/>
          <w:sz w:val="18"/>
        </w:rPr>
        <w:t>Volatility view.</w:t>
      </w:r>
    </w:p>
    <w:p>
      <w:pPr>
        <w:pStyle w:val="ListBullet"/>
        <w:numPr>
          <w:ilvl w:val="0"/>
          <w:numId w:val="1"/>
        </w:numPr>
        <w:rPr/>
      </w:pPr>
      <w:r>
        <w:rPr>
          <w:color w:val="172236"/>
          <w:sz w:val="18"/>
        </w:rPr>
        <w:t>Risk budget.</w:t>
      </w:r>
    </w:p>
    <w:p>
      <w:pPr>
        <w:pStyle w:val="ListBullet"/>
        <w:numPr>
          <w:ilvl w:val="0"/>
          <w:numId w:val="1"/>
        </w:numPr>
        <w:rPr/>
      </w:pPr>
      <w:r>
        <w:rPr>
          <w:color w:val="172236"/>
          <w:sz w:val="18"/>
        </w:rPr>
        <w:t>Probability preference.</w:t>
      </w:r>
    </w:p>
    <w:p>
      <w:pPr>
        <w:pStyle w:val="ListBullet"/>
        <w:numPr>
          <w:ilvl w:val="0"/>
          <w:numId w:val="1"/>
        </w:numPr>
        <w:rPr/>
      </w:pPr>
      <w:r>
        <w:rPr>
          <w:color w:val="172236"/>
          <w:sz w:val="18"/>
        </w:rPr>
        <w:t>Liquidity threshold.</w:t>
      </w:r>
    </w:p>
    <w:p>
      <w:pPr>
        <w:pStyle w:val="ListBullet"/>
        <w:numPr>
          <w:ilvl w:val="0"/>
          <w:numId w:val="1"/>
        </w:numPr>
        <w:rPr/>
      </w:pPr>
      <w:r>
        <w:rPr>
          <w:color w:val="172236"/>
          <w:sz w:val="18"/>
        </w:rPr>
        <w:t>Event exposure.</w:t>
      </w:r>
    </w:p>
    <w:p>
      <w:pPr>
        <w:pStyle w:val="ListBullet"/>
        <w:numPr>
          <w:ilvl w:val="0"/>
          <w:numId w:val="1"/>
        </w:numPr>
        <w:rPr/>
      </w:pPr>
      <w:r>
        <w:rPr>
          <w:color w:val="172236"/>
          <w:sz w:val="18"/>
        </w:rPr>
        <w:t>Account constraints.</w:t>
      </w:r>
    </w:p>
    <w:p>
      <w:pPr>
        <w:pStyle w:val="Normal"/>
        <w:rPr/>
      </w:pPr>
      <w:r>
        <w:rPr>
          <w:color w:val="172236"/>
          <w:sz w:val="19"/>
        </w:rPr>
        <w:t>Candidate structures are ranked by:</w:t>
      </w:r>
    </w:p>
    <w:p>
      <w:pPr>
        <w:pStyle w:val="ListBullet"/>
        <w:numPr>
          <w:ilvl w:val="0"/>
          <w:numId w:val="1"/>
        </w:numPr>
        <w:rPr/>
      </w:pPr>
      <w:r>
        <w:rPr>
          <w:color w:val="172236"/>
          <w:sz w:val="18"/>
        </w:rPr>
        <w:t>Expected value.</w:t>
      </w:r>
    </w:p>
    <w:p>
      <w:pPr>
        <w:pStyle w:val="ListBullet"/>
        <w:numPr>
          <w:ilvl w:val="0"/>
          <w:numId w:val="1"/>
        </w:numPr>
        <w:rPr/>
      </w:pPr>
      <w:r>
        <w:rPr>
          <w:color w:val="172236"/>
          <w:sz w:val="18"/>
        </w:rPr>
        <w:t>Probability of profit.</w:t>
      </w:r>
    </w:p>
    <w:p>
      <w:pPr>
        <w:pStyle w:val="ListBullet"/>
        <w:numPr>
          <w:ilvl w:val="0"/>
          <w:numId w:val="1"/>
        </w:numPr>
        <w:rPr/>
      </w:pPr>
      <w:r>
        <w:rPr>
          <w:color w:val="172236"/>
          <w:sz w:val="18"/>
        </w:rPr>
        <w:t>Maximum loss.</w:t>
      </w:r>
    </w:p>
    <w:p>
      <w:pPr>
        <w:pStyle w:val="ListBullet"/>
        <w:numPr>
          <w:ilvl w:val="0"/>
          <w:numId w:val="1"/>
        </w:numPr>
        <w:rPr/>
      </w:pPr>
      <w:r>
        <w:rPr>
          <w:color w:val="172236"/>
          <w:sz w:val="18"/>
        </w:rPr>
        <w:t>Capital efficiency.</w:t>
      </w:r>
    </w:p>
    <w:p>
      <w:pPr>
        <w:pStyle w:val="ListBullet"/>
        <w:numPr>
          <w:ilvl w:val="0"/>
          <w:numId w:val="1"/>
        </w:numPr>
        <w:rPr/>
      </w:pPr>
      <w:r>
        <w:rPr>
          <w:color w:val="172236"/>
          <w:sz w:val="18"/>
        </w:rPr>
        <w:t>Liquidity.</w:t>
      </w:r>
    </w:p>
    <w:p>
      <w:pPr>
        <w:pStyle w:val="ListBullet"/>
        <w:numPr>
          <w:ilvl w:val="0"/>
          <w:numId w:val="1"/>
        </w:numPr>
        <w:rPr/>
      </w:pPr>
      <w:r>
        <w:rPr>
          <w:color w:val="172236"/>
          <w:sz w:val="18"/>
        </w:rPr>
        <w:t>Theta.</w:t>
      </w:r>
    </w:p>
    <w:p>
      <w:pPr>
        <w:pStyle w:val="ListBullet"/>
        <w:numPr>
          <w:ilvl w:val="0"/>
          <w:numId w:val="1"/>
        </w:numPr>
        <w:rPr/>
      </w:pPr>
      <w:r>
        <w:rPr>
          <w:color w:val="172236"/>
          <w:sz w:val="18"/>
        </w:rPr>
        <w:t>Vega.</w:t>
      </w:r>
    </w:p>
    <w:p>
      <w:pPr>
        <w:pStyle w:val="ListBullet"/>
        <w:numPr>
          <w:ilvl w:val="0"/>
          <w:numId w:val="1"/>
        </w:numPr>
        <w:rPr/>
      </w:pPr>
      <w:r>
        <w:rPr>
          <w:color w:val="172236"/>
          <w:sz w:val="18"/>
        </w:rPr>
        <w:t>Gamma.</w:t>
      </w:r>
    </w:p>
    <w:p>
      <w:pPr>
        <w:pStyle w:val="ListBullet"/>
        <w:numPr>
          <w:ilvl w:val="0"/>
          <w:numId w:val="1"/>
        </w:numPr>
        <w:rPr/>
      </w:pPr>
      <w:r>
        <w:rPr>
          <w:color w:val="172236"/>
          <w:sz w:val="18"/>
        </w:rPr>
        <w:t>Assignment complexity.</w:t>
      </w:r>
    </w:p>
    <w:p>
      <w:pPr>
        <w:pStyle w:val="ListBullet"/>
        <w:numPr>
          <w:ilvl w:val="0"/>
          <w:numId w:val="1"/>
        </w:numPr>
        <w:rPr/>
      </w:pPr>
      <w:r>
        <w:rPr>
          <w:color w:val="172236"/>
          <w:sz w:val="18"/>
        </w:rPr>
        <w:t>Tail risk.</w:t>
      </w:r>
    </w:p>
    <w:p>
      <w:pPr>
        <w:pStyle w:val="ListBullet"/>
        <w:numPr>
          <w:ilvl w:val="0"/>
          <w:numId w:val="1"/>
        </w:numPr>
        <w:rPr/>
      </w:pPr>
      <w:r>
        <w:rPr>
          <w:color w:val="172236"/>
          <w:sz w:val="18"/>
        </w:rPr>
        <w:t>Scenario stability.</w:t>
      </w:r>
    </w:p>
    <w:p>
      <w:pPr>
        <w:pStyle w:val="Heading2"/>
        <w:pBdr>
          <w:left w:val="single" w:sz="14" w:space="4" w:color="8B5CF6"/>
        </w:pBdr>
        <w:rPr/>
      </w:pPr>
      <w:bookmarkStart w:id="109" w:name="__RefHeading___Toc6938_2150751134"/>
      <w:bookmarkEnd w:id="109"/>
      <w:r>
        <w:rPr>
          <w:rFonts w:ascii="Lato" w:hAnsi="Lato"/>
          <w:color w:val="172236"/>
          <w:sz w:val="29"/>
        </w:rPr>
        <w:t>13.6 Trade Quality Score</w:t>
      </w:r>
    </w:p>
    <w:p>
      <w:pPr>
        <w:pStyle w:val="Normal"/>
        <w:rPr/>
      </w:pPr>
      <w:r>
        <w:rPr>
          <w:color w:val="172236"/>
          <w:sz w:val="19"/>
        </w:rPr>
        <w:t>Suggested dimensions:</w:t>
      </w:r>
    </w:p>
    <w:p>
      <w:pPr>
        <w:pStyle w:val="ListBullet"/>
        <w:numPr>
          <w:ilvl w:val="0"/>
          <w:numId w:val="1"/>
        </w:numPr>
        <w:rPr/>
      </w:pPr>
      <w:r>
        <w:rPr>
          <w:color w:val="172236"/>
          <w:sz w:val="18"/>
        </w:rPr>
        <w:t>Evidence confluence.</w:t>
      </w:r>
    </w:p>
    <w:p>
      <w:pPr>
        <w:pStyle w:val="ListBullet"/>
        <w:numPr>
          <w:ilvl w:val="0"/>
          <w:numId w:val="1"/>
        </w:numPr>
        <w:rPr/>
      </w:pPr>
      <w:r>
        <w:rPr>
          <w:color w:val="172236"/>
          <w:sz w:val="18"/>
        </w:rPr>
        <w:t>Flow quality.</w:t>
      </w:r>
    </w:p>
    <w:p>
      <w:pPr>
        <w:pStyle w:val="ListBullet"/>
        <w:numPr>
          <w:ilvl w:val="0"/>
          <w:numId w:val="1"/>
        </w:numPr>
        <w:rPr/>
      </w:pPr>
      <w:r>
        <w:rPr>
          <w:color w:val="172236"/>
          <w:sz w:val="18"/>
        </w:rPr>
        <w:t>Catalyst quality.</w:t>
      </w:r>
    </w:p>
    <w:p>
      <w:pPr>
        <w:pStyle w:val="ListBullet"/>
        <w:numPr>
          <w:ilvl w:val="0"/>
          <w:numId w:val="1"/>
        </w:numPr>
        <w:rPr/>
      </w:pPr>
      <w:r>
        <w:rPr>
          <w:color w:val="172236"/>
          <w:sz w:val="18"/>
        </w:rPr>
        <w:t>Volatility value.</w:t>
      </w:r>
    </w:p>
    <w:p>
      <w:pPr>
        <w:pStyle w:val="ListBullet"/>
        <w:numPr>
          <w:ilvl w:val="0"/>
          <w:numId w:val="1"/>
        </w:numPr>
        <w:rPr/>
      </w:pPr>
      <w:r>
        <w:rPr>
          <w:color w:val="172236"/>
          <w:sz w:val="18"/>
        </w:rPr>
        <w:t>Technical structure.</w:t>
      </w:r>
    </w:p>
    <w:p>
      <w:pPr>
        <w:pStyle w:val="ListBullet"/>
        <w:numPr>
          <w:ilvl w:val="0"/>
          <w:numId w:val="1"/>
        </w:numPr>
        <w:rPr/>
      </w:pPr>
      <w:r>
        <w:rPr>
          <w:color w:val="172236"/>
          <w:sz w:val="18"/>
        </w:rPr>
        <w:t>Institutional alignment.</w:t>
      </w:r>
    </w:p>
    <w:p>
      <w:pPr>
        <w:pStyle w:val="ListBullet"/>
        <w:numPr>
          <w:ilvl w:val="0"/>
          <w:numId w:val="1"/>
        </w:numPr>
        <w:rPr/>
      </w:pPr>
      <w:r>
        <w:rPr>
          <w:color w:val="172236"/>
          <w:sz w:val="18"/>
        </w:rPr>
        <w:t>Liquidity.</w:t>
      </w:r>
    </w:p>
    <w:p>
      <w:pPr>
        <w:pStyle w:val="ListBullet"/>
        <w:numPr>
          <w:ilvl w:val="0"/>
          <w:numId w:val="1"/>
        </w:numPr>
        <w:rPr/>
      </w:pPr>
      <w:r>
        <w:rPr>
          <w:color w:val="172236"/>
          <w:sz w:val="18"/>
        </w:rPr>
        <w:t>Execution cost.</w:t>
      </w:r>
    </w:p>
    <w:p>
      <w:pPr>
        <w:pStyle w:val="ListBullet"/>
        <w:numPr>
          <w:ilvl w:val="0"/>
          <w:numId w:val="1"/>
        </w:numPr>
        <w:rPr/>
      </w:pPr>
      <w:r>
        <w:rPr>
          <w:color w:val="172236"/>
          <w:sz w:val="18"/>
        </w:rPr>
        <w:t>Risk/reward.</w:t>
      </w:r>
    </w:p>
    <w:p>
      <w:pPr>
        <w:pStyle w:val="ListBullet"/>
        <w:numPr>
          <w:ilvl w:val="0"/>
          <w:numId w:val="1"/>
        </w:numPr>
        <w:rPr/>
      </w:pPr>
      <w:r>
        <w:rPr>
          <w:color w:val="172236"/>
          <w:sz w:val="18"/>
        </w:rPr>
        <w:t>Historical validation.</w:t>
      </w:r>
    </w:p>
    <w:p>
      <w:pPr>
        <w:pStyle w:val="ListBullet"/>
        <w:numPr>
          <w:ilvl w:val="0"/>
          <w:numId w:val="1"/>
        </w:numPr>
        <w:rPr/>
      </w:pPr>
      <w:r>
        <w:rPr>
          <w:color w:val="172236"/>
          <w:sz w:val="18"/>
        </w:rPr>
        <w:t>Model confidence.</w:t>
      </w:r>
    </w:p>
    <w:p>
      <w:pPr>
        <w:pStyle w:val="ListBullet"/>
        <w:numPr>
          <w:ilvl w:val="0"/>
          <w:numId w:val="1"/>
        </w:numPr>
        <w:rPr/>
      </w:pPr>
      <w:r>
        <w:rPr>
          <w:color w:val="172236"/>
          <w:sz w:val="18"/>
        </w:rPr>
        <w:t>Data quality.</w:t>
      </w:r>
    </w:p>
    <w:p>
      <w:pPr>
        <w:pStyle w:val="ListBullet"/>
        <w:numPr>
          <w:ilvl w:val="0"/>
          <w:numId w:val="1"/>
        </w:numPr>
        <w:rPr/>
      </w:pPr>
      <w:r>
        <w:rPr>
          <w:color w:val="172236"/>
          <w:sz w:val="18"/>
        </w:rPr>
        <w:t>Portfolio fit.</w:t>
      </w:r>
    </w:p>
    <w:p>
      <w:pPr>
        <w:pStyle w:val="Normal"/>
        <w:rPr/>
      </w:pPr>
      <w:r>
        <w:rPr>
          <w:color w:val="172236"/>
          <w:sz w:val="19"/>
        </w:rPr>
        <w:t>The final score MUST not hide dimension-level disagreement.</w:t>
      </w:r>
    </w:p>
    <w:p>
      <w:pPr>
        <w:pStyle w:val="Heading2"/>
        <w:pBdr>
          <w:left w:val="single" w:sz="14" w:space="4" w:color="8B5CF6"/>
        </w:pBdr>
        <w:rPr/>
      </w:pPr>
      <w:bookmarkStart w:id="110" w:name="__RefHeading___Toc6940_2150751134"/>
      <w:bookmarkEnd w:id="110"/>
      <w:r>
        <w:rPr>
          <w:rFonts w:ascii="Lato" w:hAnsi="Lato"/>
          <w:color w:val="172236"/>
          <w:sz w:val="29"/>
        </w:rPr>
        <w:t>13.7 Dealer Exposure</w:t>
      </w:r>
    </w:p>
    <w:p>
      <w:pPr>
        <w:pStyle w:val="Normal"/>
        <w:rPr/>
      </w:pPr>
      <w:r>
        <w:rPr>
          <w:color w:val="172236"/>
          <w:sz w:val="19"/>
        </w:rPr>
        <w:t>Gamma and related dealer-exposure estimates SHOULD be clearly labeled as estimates because open-interest ownership and dealer positioning are not directly observable in full.</w:t>
      </w:r>
    </w:p>
    <w:p>
      <w:pPr>
        <w:pStyle w:val="Heading1"/>
        <w:pBdr>
          <w:bottom w:val="single" w:sz="12" w:space="5" w:color="33C7F2"/>
        </w:pBdr>
        <w:rPr/>
      </w:pPr>
      <w:bookmarkStart w:id="111" w:name="__RefHeading___Toc6942_2150751134"/>
      <w:bookmarkEnd w:id="111"/>
      <w:r>
        <w:rPr>
          <w:rFonts w:ascii="Lato" w:hAnsi="Lato"/>
          <w:color w:val="172236"/>
          <w:sz w:val="42"/>
        </w:rPr>
        <w:t>14. Institutional and Regulatory Intelligence</w:t>
      </w:r>
    </w:p>
    <w:p>
      <w:pPr>
        <w:pStyle w:val="Heading2"/>
        <w:pBdr>
          <w:left w:val="single" w:sz="14" w:space="4" w:color="8B5CF6"/>
        </w:pBdr>
        <w:rPr/>
      </w:pPr>
      <w:bookmarkStart w:id="112" w:name="__RefHeading___Toc6944_2150751134"/>
      <w:bookmarkEnd w:id="112"/>
      <w:r>
        <w:rPr>
          <w:rFonts w:ascii="Lato" w:hAnsi="Lato"/>
          <w:color w:val="172236"/>
          <w:sz w:val="29"/>
        </w:rPr>
        <w:t>14.1 13F Intelligence</w:t>
      </w:r>
    </w:p>
    <w:p>
      <w:pPr>
        <w:pStyle w:val="Normal"/>
        <w:rPr/>
      </w:pPr>
      <w:r>
        <w:rPr>
          <w:color w:val="172236"/>
          <w:sz w:val="19"/>
        </w:rPr>
        <w:t>Functions:</w:t>
      </w:r>
    </w:p>
    <w:p>
      <w:pPr>
        <w:pStyle w:val="ListBullet"/>
        <w:numPr>
          <w:ilvl w:val="0"/>
          <w:numId w:val="1"/>
        </w:numPr>
        <w:rPr/>
      </w:pPr>
      <w:r>
        <w:rPr>
          <w:color w:val="172236"/>
          <w:sz w:val="18"/>
        </w:rPr>
        <w:t>Filing calendar.</w:t>
      </w:r>
    </w:p>
    <w:p>
      <w:pPr>
        <w:pStyle w:val="ListBullet"/>
        <w:numPr>
          <w:ilvl w:val="0"/>
          <w:numId w:val="1"/>
        </w:numPr>
        <w:rPr/>
      </w:pPr>
      <w:r>
        <w:rPr>
          <w:color w:val="172236"/>
          <w:sz w:val="18"/>
        </w:rPr>
        <w:t>Manager profiles.</w:t>
      </w:r>
    </w:p>
    <w:p>
      <w:pPr>
        <w:pStyle w:val="ListBullet"/>
        <w:numPr>
          <w:ilvl w:val="0"/>
          <w:numId w:val="1"/>
        </w:numPr>
        <w:rPr/>
      </w:pPr>
      <w:r>
        <w:rPr>
          <w:color w:val="172236"/>
          <w:sz w:val="18"/>
        </w:rPr>
        <w:t>Current holdings.</w:t>
      </w:r>
    </w:p>
    <w:p>
      <w:pPr>
        <w:pStyle w:val="ListBullet"/>
        <w:numPr>
          <w:ilvl w:val="0"/>
          <w:numId w:val="1"/>
        </w:numPr>
        <w:rPr/>
      </w:pPr>
      <w:r>
        <w:rPr>
          <w:color w:val="172236"/>
          <w:sz w:val="18"/>
        </w:rPr>
        <w:t>New positions.</w:t>
      </w:r>
    </w:p>
    <w:p>
      <w:pPr>
        <w:pStyle w:val="ListBullet"/>
        <w:numPr>
          <w:ilvl w:val="0"/>
          <w:numId w:val="1"/>
        </w:numPr>
        <w:rPr/>
      </w:pPr>
      <w:r>
        <w:rPr>
          <w:color w:val="172236"/>
          <w:sz w:val="18"/>
        </w:rPr>
        <w:t>Increases.</w:t>
      </w:r>
    </w:p>
    <w:p>
      <w:pPr>
        <w:pStyle w:val="ListBullet"/>
        <w:numPr>
          <w:ilvl w:val="0"/>
          <w:numId w:val="1"/>
        </w:numPr>
        <w:rPr/>
      </w:pPr>
      <w:r>
        <w:rPr>
          <w:color w:val="172236"/>
          <w:sz w:val="18"/>
        </w:rPr>
        <w:t>Decreases.</w:t>
      </w:r>
    </w:p>
    <w:p>
      <w:pPr>
        <w:pStyle w:val="ListBullet"/>
        <w:numPr>
          <w:ilvl w:val="0"/>
          <w:numId w:val="1"/>
        </w:numPr>
        <w:rPr/>
      </w:pPr>
      <w:r>
        <w:rPr>
          <w:color w:val="172236"/>
          <w:sz w:val="18"/>
        </w:rPr>
        <w:t>Exits.</w:t>
      </w:r>
    </w:p>
    <w:p>
      <w:pPr>
        <w:pStyle w:val="ListBullet"/>
        <w:numPr>
          <w:ilvl w:val="0"/>
          <w:numId w:val="1"/>
        </w:numPr>
        <w:rPr/>
      </w:pPr>
      <w:r>
        <w:rPr>
          <w:color w:val="172236"/>
          <w:sz w:val="18"/>
        </w:rPr>
        <w:t>Concentration.</w:t>
      </w:r>
    </w:p>
    <w:p>
      <w:pPr>
        <w:pStyle w:val="ListBullet"/>
        <w:numPr>
          <w:ilvl w:val="0"/>
          <w:numId w:val="1"/>
        </w:numPr>
        <w:rPr/>
      </w:pPr>
      <w:r>
        <w:rPr>
          <w:color w:val="172236"/>
          <w:sz w:val="18"/>
        </w:rPr>
        <w:t>Sector changes.</w:t>
      </w:r>
    </w:p>
    <w:p>
      <w:pPr>
        <w:pStyle w:val="ListBullet"/>
        <w:numPr>
          <w:ilvl w:val="0"/>
          <w:numId w:val="1"/>
        </w:numPr>
        <w:rPr/>
      </w:pPr>
      <w:r>
        <w:rPr>
          <w:color w:val="172236"/>
          <w:sz w:val="18"/>
        </w:rPr>
        <w:t>Manager consensus.</w:t>
      </w:r>
    </w:p>
    <w:p>
      <w:pPr>
        <w:pStyle w:val="ListBullet"/>
        <w:numPr>
          <w:ilvl w:val="0"/>
          <w:numId w:val="1"/>
        </w:numPr>
        <w:rPr/>
      </w:pPr>
      <w:r>
        <w:rPr>
          <w:color w:val="172236"/>
          <w:sz w:val="18"/>
        </w:rPr>
        <w:t>Position novelty.</w:t>
      </w:r>
    </w:p>
    <w:p>
      <w:pPr>
        <w:pStyle w:val="ListBullet"/>
        <w:numPr>
          <w:ilvl w:val="0"/>
          <w:numId w:val="1"/>
        </w:numPr>
        <w:rPr/>
      </w:pPr>
      <w:r>
        <w:rPr>
          <w:color w:val="172236"/>
          <w:sz w:val="18"/>
        </w:rPr>
        <w:t>Historical manager behavior.</w:t>
      </w:r>
    </w:p>
    <w:p>
      <w:pPr>
        <w:pStyle w:val="Normal"/>
        <w:rPr/>
      </w:pPr>
      <w:r>
        <w:rPr>
          <w:color w:val="172236"/>
          <w:sz w:val="19"/>
        </w:rPr>
        <w:t>Limitations MUST be explicit:</w:t>
      </w:r>
    </w:p>
    <w:p>
      <w:pPr>
        <w:pStyle w:val="ListBullet"/>
        <w:numPr>
          <w:ilvl w:val="0"/>
          <w:numId w:val="1"/>
        </w:numPr>
        <w:rPr/>
      </w:pPr>
      <w:r>
        <w:rPr>
          <w:color w:val="172236"/>
          <w:sz w:val="18"/>
        </w:rPr>
        <w:t>Reporting delay.</w:t>
      </w:r>
    </w:p>
    <w:p>
      <w:pPr>
        <w:pStyle w:val="ListBullet"/>
        <w:numPr>
          <w:ilvl w:val="0"/>
          <w:numId w:val="1"/>
        </w:numPr>
        <w:rPr/>
      </w:pPr>
      <w:r>
        <w:rPr>
          <w:color w:val="172236"/>
          <w:sz w:val="18"/>
        </w:rPr>
        <w:t>Quarter-end snapshot.</w:t>
      </w:r>
    </w:p>
    <w:p>
      <w:pPr>
        <w:pStyle w:val="ListBullet"/>
        <w:numPr>
          <w:ilvl w:val="0"/>
          <w:numId w:val="1"/>
        </w:numPr>
        <w:rPr/>
      </w:pPr>
      <w:r>
        <w:rPr>
          <w:color w:val="172236"/>
          <w:sz w:val="18"/>
        </w:rPr>
        <w:t>Long holdings emphasis.</w:t>
      </w:r>
    </w:p>
    <w:p>
      <w:pPr>
        <w:pStyle w:val="ListBullet"/>
        <w:numPr>
          <w:ilvl w:val="0"/>
          <w:numId w:val="1"/>
        </w:numPr>
        <w:rPr/>
      </w:pPr>
      <w:r>
        <w:rPr>
          <w:color w:val="172236"/>
          <w:sz w:val="18"/>
        </w:rPr>
        <w:t>Incomplete short/derivative picture.</w:t>
      </w:r>
    </w:p>
    <w:p>
      <w:pPr>
        <w:pStyle w:val="ListBullet"/>
        <w:numPr>
          <w:ilvl w:val="0"/>
          <w:numId w:val="1"/>
        </w:numPr>
        <w:rPr/>
      </w:pPr>
      <w:r>
        <w:rPr>
          <w:color w:val="172236"/>
          <w:sz w:val="18"/>
        </w:rPr>
        <w:t>Unknown intra-quarter transaction timing.</w:t>
      </w:r>
    </w:p>
    <w:p>
      <w:pPr>
        <w:pStyle w:val="Heading2"/>
        <w:pBdr>
          <w:left w:val="single" w:sz="14" w:space="4" w:color="8B5CF6"/>
        </w:pBdr>
        <w:rPr/>
      </w:pPr>
      <w:bookmarkStart w:id="113" w:name="__RefHeading___Toc6946_2150751134"/>
      <w:bookmarkEnd w:id="113"/>
      <w:r>
        <w:rPr>
          <w:rFonts w:ascii="Lato" w:hAnsi="Lato"/>
          <w:color w:val="172236"/>
          <w:sz w:val="29"/>
        </w:rPr>
        <w:t>14.2 Ownership Intelligence</w:t>
      </w:r>
    </w:p>
    <w:p>
      <w:pPr>
        <w:pStyle w:val="Normal"/>
        <w:rPr/>
      </w:pPr>
      <w:r>
        <w:rPr>
          <w:color w:val="172236"/>
          <w:sz w:val="19"/>
        </w:rPr>
        <w:t>13D/13G features:</w:t>
      </w:r>
    </w:p>
    <w:p>
      <w:pPr>
        <w:pStyle w:val="ListBullet"/>
        <w:numPr>
          <w:ilvl w:val="0"/>
          <w:numId w:val="1"/>
        </w:numPr>
        <w:rPr/>
      </w:pPr>
      <w:r>
        <w:rPr>
          <w:color w:val="172236"/>
          <w:sz w:val="18"/>
        </w:rPr>
        <w:t>Ownership threshold events.</w:t>
      </w:r>
    </w:p>
    <w:p>
      <w:pPr>
        <w:pStyle w:val="ListBullet"/>
        <w:numPr>
          <w:ilvl w:val="0"/>
          <w:numId w:val="1"/>
        </w:numPr>
        <w:rPr/>
      </w:pPr>
      <w:r>
        <w:rPr>
          <w:color w:val="172236"/>
          <w:sz w:val="18"/>
        </w:rPr>
        <w:t>Amendment history.</w:t>
      </w:r>
    </w:p>
    <w:p>
      <w:pPr>
        <w:pStyle w:val="ListBullet"/>
        <w:numPr>
          <w:ilvl w:val="0"/>
          <w:numId w:val="1"/>
        </w:numPr>
        <w:rPr/>
      </w:pPr>
      <w:r>
        <w:rPr>
          <w:color w:val="172236"/>
          <w:sz w:val="18"/>
        </w:rPr>
        <w:t>Activist indicators.</w:t>
      </w:r>
    </w:p>
    <w:p>
      <w:pPr>
        <w:pStyle w:val="ListBullet"/>
        <w:numPr>
          <w:ilvl w:val="0"/>
          <w:numId w:val="1"/>
        </w:numPr>
        <w:rPr/>
      </w:pPr>
      <w:r>
        <w:rPr>
          <w:color w:val="172236"/>
          <w:sz w:val="18"/>
        </w:rPr>
        <w:t>Holder relationships.</w:t>
      </w:r>
    </w:p>
    <w:p>
      <w:pPr>
        <w:pStyle w:val="ListBullet"/>
        <w:numPr>
          <w:ilvl w:val="0"/>
          <w:numId w:val="1"/>
        </w:numPr>
        <w:rPr/>
      </w:pPr>
      <w:r>
        <w:rPr>
          <w:color w:val="172236"/>
          <w:sz w:val="18"/>
        </w:rPr>
        <w:t>Change magnitude.</w:t>
      </w:r>
    </w:p>
    <w:p>
      <w:pPr>
        <w:pStyle w:val="ListBullet"/>
        <w:numPr>
          <w:ilvl w:val="0"/>
          <w:numId w:val="1"/>
        </w:numPr>
        <w:rPr/>
      </w:pPr>
      <w:r>
        <w:rPr>
          <w:color w:val="172236"/>
          <w:sz w:val="18"/>
        </w:rPr>
        <w:t>Related news and filings.</w:t>
      </w:r>
    </w:p>
    <w:p>
      <w:pPr>
        <w:pStyle w:val="Heading2"/>
        <w:pBdr>
          <w:left w:val="single" w:sz="14" w:space="4" w:color="8B5CF6"/>
        </w:pBdr>
        <w:rPr/>
      </w:pPr>
      <w:bookmarkStart w:id="114" w:name="__RefHeading___Toc6948_2150751134"/>
      <w:bookmarkEnd w:id="114"/>
      <w:r>
        <w:rPr>
          <w:rFonts w:ascii="Lato" w:hAnsi="Lato"/>
          <w:color w:val="172236"/>
          <w:sz w:val="29"/>
        </w:rPr>
        <w:t>14.3 Insider Intelligence</w:t>
      </w:r>
    </w:p>
    <w:p>
      <w:pPr>
        <w:pStyle w:val="Normal"/>
        <w:rPr/>
      </w:pPr>
      <w:r>
        <w:rPr>
          <w:color w:val="172236"/>
          <w:sz w:val="19"/>
        </w:rPr>
        <w:t>Forms 3/4/5:</w:t>
      </w:r>
    </w:p>
    <w:p>
      <w:pPr>
        <w:pStyle w:val="ListBullet"/>
        <w:numPr>
          <w:ilvl w:val="0"/>
          <w:numId w:val="1"/>
        </w:numPr>
        <w:rPr/>
      </w:pPr>
      <w:r>
        <w:rPr>
          <w:color w:val="172236"/>
          <w:sz w:val="18"/>
        </w:rPr>
        <w:t>Open-market buys/sells.</w:t>
      </w:r>
    </w:p>
    <w:p>
      <w:pPr>
        <w:pStyle w:val="ListBullet"/>
        <w:numPr>
          <w:ilvl w:val="0"/>
          <w:numId w:val="1"/>
        </w:numPr>
        <w:rPr/>
      </w:pPr>
      <w:r>
        <w:rPr>
          <w:color w:val="172236"/>
          <w:sz w:val="18"/>
        </w:rPr>
        <w:t>Grants.</w:t>
      </w:r>
    </w:p>
    <w:p>
      <w:pPr>
        <w:pStyle w:val="ListBullet"/>
        <w:numPr>
          <w:ilvl w:val="0"/>
          <w:numId w:val="1"/>
        </w:numPr>
        <w:rPr/>
      </w:pPr>
      <w:r>
        <w:rPr>
          <w:color w:val="172236"/>
          <w:sz w:val="18"/>
        </w:rPr>
        <w:t>Option exercises.</w:t>
      </w:r>
    </w:p>
    <w:p>
      <w:pPr>
        <w:pStyle w:val="ListBullet"/>
        <w:numPr>
          <w:ilvl w:val="0"/>
          <w:numId w:val="1"/>
        </w:numPr>
        <w:rPr/>
      </w:pPr>
      <w:r>
        <w:rPr>
          <w:color w:val="172236"/>
          <w:sz w:val="18"/>
        </w:rPr>
        <w:t>Tax-related dispositions.</w:t>
      </w:r>
    </w:p>
    <w:p>
      <w:pPr>
        <w:pStyle w:val="ListBullet"/>
        <w:numPr>
          <w:ilvl w:val="0"/>
          <w:numId w:val="1"/>
        </w:numPr>
        <w:rPr/>
      </w:pPr>
      <w:r>
        <w:rPr>
          <w:color w:val="172236"/>
          <w:sz w:val="18"/>
        </w:rPr>
        <w:t>10b5-1 indicators where reported.</w:t>
      </w:r>
    </w:p>
    <w:p>
      <w:pPr>
        <w:pStyle w:val="ListBullet"/>
        <w:numPr>
          <w:ilvl w:val="0"/>
          <w:numId w:val="1"/>
        </w:numPr>
        <w:rPr/>
      </w:pPr>
      <w:r>
        <w:rPr>
          <w:color w:val="172236"/>
          <w:sz w:val="18"/>
        </w:rPr>
        <w:t>Cluster buying.</w:t>
      </w:r>
    </w:p>
    <w:p>
      <w:pPr>
        <w:pStyle w:val="ListBullet"/>
        <w:numPr>
          <w:ilvl w:val="0"/>
          <w:numId w:val="1"/>
        </w:numPr>
        <w:rPr/>
      </w:pPr>
      <w:r>
        <w:rPr>
          <w:color w:val="172236"/>
          <w:sz w:val="18"/>
        </w:rPr>
        <w:t>Role and ownership context.</w:t>
      </w:r>
    </w:p>
    <w:p>
      <w:pPr>
        <w:pStyle w:val="ListBullet"/>
        <w:numPr>
          <w:ilvl w:val="0"/>
          <w:numId w:val="1"/>
        </w:numPr>
        <w:rPr/>
      </w:pPr>
      <w:r>
        <w:rPr>
          <w:color w:val="172236"/>
          <w:sz w:val="18"/>
        </w:rPr>
        <w:t>Historical insider behavior.</w:t>
      </w:r>
    </w:p>
    <w:p>
      <w:pPr>
        <w:pStyle w:val="Normal"/>
        <w:rPr/>
      </w:pPr>
      <w:r>
        <w:rPr>
          <w:color w:val="172236"/>
          <w:sz w:val="19"/>
        </w:rPr>
        <w:t>The system MUST not treat all insider transactions equally.</w:t>
      </w:r>
    </w:p>
    <w:p>
      <w:pPr>
        <w:pStyle w:val="Heading2"/>
        <w:pBdr>
          <w:left w:val="single" w:sz="14" w:space="4" w:color="8B5CF6"/>
        </w:pBdr>
        <w:rPr/>
      </w:pPr>
      <w:bookmarkStart w:id="115" w:name="__RefHeading___Toc6950_2150751134"/>
      <w:bookmarkEnd w:id="115"/>
      <w:r>
        <w:rPr>
          <w:rFonts w:ascii="Lato" w:hAnsi="Lato"/>
          <w:color w:val="172236"/>
          <w:sz w:val="29"/>
        </w:rPr>
        <w:t>14.4 Material Event Intelligence</w:t>
      </w:r>
    </w:p>
    <w:p>
      <w:pPr>
        <w:pStyle w:val="Normal"/>
        <w:rPr/>
      </w:pPr>
      <w:r>
        <w:rPr>
          <w:color w:val="172236"/>
          <w:sz w:val="19"/>
        </w:rPr>
        <w:t>8-K extraction:</w:t>
      </w:r>
    </w:p>
    <w:p>
      <w:pPr>
        <w:pStyle w:val="ListBullet"/>
        <w:numPr>
          <w:ilvl w:val="0"/>
          <w:numId w:val="1"/>
        </w:numPr>
        <w:rPr/>
      </w:pPr>
      <w:r>
        <w:rPr>
          <w:color w:val="172236"/>
          <w:sz w:val="18"/>
        </w:rPr>
        <w:t>Earnings and guidance.</w:t>
      </w:r>
    </w:p>
    <w:p>
      <w:pPr>
        <w:pStyle w:val="ListBullet"/>
        <w:numPr>
          <w:ilvl w:val="0"/>
          <w:numId w:val="1"/>
        </w:numPr>
        <w:rPr/>
      </w:pPr>
      <w:r>
        <w:rPr>
          <w:color w:val="172236"/>
          <w:sz w:val="18"/>
        </w:rPr>
        <w:t>Leadership changes.</w:t>
      </w:r>
    </w:p>
    <w:p>
      <w:pPr>
        <w:pStyle w:val="ListBullet"/>
        <w:numPr>
          <w:ilvl w:val="0"/>
          <w:numId w:val="1"/>
        </w:numPr>
        <w:rPr/>
      </w:pPr>
      <w:r>
        <w:rPr>
          <w:color w:val="172236"/>
          <w:sz w:val="18"/>
        </w:rPr>
        <w:t>Material agreements.</w:t>
      </w:r>
    </w:p>
    <w:p>
      <w:pPr>
        <w:pStyle w:val="ListBullet"/>
        <w:numPr>
          <w:ilvl w:val="0"/>
          <w:numId w:val="1"/>
        </w:numPr>
        <w:rPr/>
      </w:pPr>
      <w:r>
        <w:rPr>
          <w:color w:val="172236"/>
          <w:sz w:val="18"/>
        </w:rPr>
        <w:t>Debt events.</w:t>
      </w:r>
    </w:p>
    <w:p>
      <w:pPr>
        <w:pStyle w:val="ListBullet"/>
        <w:numPr>
          <w:ilvl w:val="0"/>
          <w:numId w:val="1"/>
        </w:numPr>
        <w:rPr/>
      </w:pPr>
      <w:r>
        <w:rPr>
          <w:color w:val="172236"/>
          <w:sz w:val="18"/>
        </w:rPr>
        <w:t>Acquisitions.</w:t>
      </w:r>
    </w:p>
    <w:p>
      <w:pPr>
        <w:pStyle w:val="ListBullet"/>
        <w:numPr>
          <w:ilvl w:val="0"/>
          <w:numId w:val="1"/>
        </w:numPr>
        <w:rPr/>
      </w:pPr>
      <w:r>
        <w:rPr>
          <w:color w:val="172236"/>
          <w:sz w:val="18"/>
        </w:rPr>
        <w:t>Cybersecurity incidents.</w:t>
      </w:r>
    </w:p>
    <w:p>
      <w:pPr>
        <w:pStyle w:val="ListBullet"/>
        <w:numPr>
          <w:ilvl w:val="0"/>
          <w:numId w:val="1"/>
        </w:numPr>
        <w:rPr/>
      </w:pPr>
      <w:r>
        <w:rPr>
          <w:color w:val="172236"/>
          <w:sz w:val="18"/>
        </w:rPr>
        <w:t>Restatements.</w:t>
      </w:r>
    </w:p>
    <w:p>
      <w:pPr>
        <w:pStyle w:val="ListBullet"/>
        <w:numPr>
          <w:ilvl w:val="0"/>
          <w:numId w:val="1"/>
        </w:numPr>
        <w:rPr/>
      </w:pPr>
      <w:r>
        <w:rPr>
          <w:color w:val="172236"/>
          <w:sz w:val="18"/>
        </w:rPr>
        <w:t>Bankruptcy.</w:t>
      </w:r>
    </w:p>
    <w:p>
      <w:pPr>
        <w:pStyle w:val="ListBullet"/>
        <w:numPr>
          <w:ilvl w:val="0"/>
          <w:numId w:val="1"/>
        </w:numPr>
        <w:rPr/>
      </w:pPr>
      <w:r>
        <w:rPr>
          <w:color w:val="172236"/>
          <w:sz w:val="18"/>
        </w:rPr>
        <w:t>Auditor changes.</w:t>
      </w:r>
    </w:p>
    <w:p>
      <w:pPr>
        <w:pStyle w:val="Heading2"/>
        <w:pBdr>
          <w:left w:val="single" w:sz="14" w:space="4" w:color="8B5CF6"/>
        </w:pBdr>
        <w:rPr/>
      </w:pPr>
      <w:bookmarkStart w:id="116" w:name="__RefHeading___Toc6952_2150751134"/>
      <w:bookmarkEnd w:id="116"/>
      <w:r>
        <w:rPr>
          <w:rFonts w:ascii="Lato" w:hAnsi="Lato"/>
          <w:color w:val="172236"/>
          <w:sz w:val="29"/>
        </w:rPr>
        <w:t>14.5 Institutional Relationship Graph</w:t>
      </w:r>
    </w:p>
    <w:p>
      <w:pPr>
        <w:pStyle w:val="Normal"/>
        <w:rPr/>
      </w:pPr>
      <w:r>
        <w:rPr>
          <w:color w:val="172236"/>
          <w:sz w:val="19"/>
        </w:rPr>
        <w:t>Graph nodes:</w:t>
      </w:r>
    </w:p>
    <w:p>
      <w:pPr>
        <w:pStyle w:val="ListBullet"/>
        <w:numPr>
          <w:ilvl w:val="0"/>
          <w:numId w:val="1"/>
        </w:numPr>
        <w:rPr/>
      </w:pPr>
      <w:r>
        <w:rPr>
          <w:color w:val="172236"/>
          <w:sz w:val="18"/>
        </w:rPr>
        <w:t>Institution.</w:t>
      </w:r>
    </w:p>
    <w:p>
      <w:pPr>
        <w:pStyle w:val="ListBullet"/>
        <w:numPr>
          <w:ilvl w:val="0"/>
          <w:numId w:val="1"/>
        </w:numPr>
        <w:rPr/>
      </w:pPr>
      <w:r>
        <w:rPr>
          <w:color w:val="172236"/>
          <w:sz w:val="18"/>
        </w:rPr>
        <w:t>Fund.</w:t>
      </w:r>
    </w:p>
    <w:p>
      <w:pPr>
        <w:pStyle w:val="ListBullet"/>
        <w:numPr>
          <w:ilvl w:val="0"/>
          <w:numId w:val="1"/>
        </w:numPr>
        <w:rPr/>
      </w:pPr>
      <w:r>
        <w:rPr>
          <w:color w:val="172236"/>
          <w:sz w:val="18"/>
        </w:rPr>
        <w:t>Manager.</w:t>
      </w:r>
    </w:p>
    <w:p>
      <w:pPr>
        <w:pStyle w:val="ListBullet"/>
        <w:numPr>
          <w:ilvl w:val="0"/>
          <w:numId w:val="1"/>
        </w:numPr>
        <w:rPr/>
      </w:pPr>
      <w:r>
        <w:rPr>
          <w:color w:val="172236"/>
          <w:sz w:val="18"/>
        </w:rPr>
        <w:t>Company.</w:t>
      </w:r>
    </w:p>
    <w:p>
      <w:pPr>
        <w:pStyle w:val="ListBullet"/>
        <w:numPr>
          <w:ilvl w:val="0"/>
          <w:numId w:val="1"/>
        </w:numPr>
        <w:rPr/>
      </w:pPr>
      <w:r>
        <w:rPr>
          <w:color w:val="172236"/>
          <w:sz w:val="18"/>
        </w:rPr>
        <w:t>Executive.</w:t>
      </w:r>
    </w:p>
    <w:p>
      <w:pPr>
        <w:pStyle w:val="ListBullet"/>
        <w:numPr>
          <w:ilvl w:val="0"/>
          <w:numId w:val="1"/>
        </w:numPr>
        <w:rPr/>
      </w:pPr>
      <w:r>
        <w:rPr>
          <w:color w:val="172236"/>
          <w:sz w:val="18"/>
        </w:rPr>
        <w:t>Filing.</w:t>
      </w:r>
    </w:p>
    <w:p>
      <w:pPr>
        <w:pStyle w:val="ListBullet"/>
        <w:numPr>
          <w:ilvl w:val="0"/>
          <w:numId w:val="1"/>
        </w:numPr>
        <w:rPr/>
      </w:pPr>
      <w:r>
        <w:rPr>
          <w:color w:val="172236"/>
          <w:sz w:val="18"/>
        </w:rPr>
        <w:t>Security.</w:t>
      </w:r>
    </w:p>
    <w:p>
      <w:pPr>
        <w:pStyle w:val="ListBullet"/>
        <w:numPr>
          <w:ilvl w:val="0"/>
          <w:numId w:val="1"/>
        </w:numPr>
        <w:rPr/>
      </w:pPr>
      <w:r>
        <w:rPr>
          <w:color w:val="172236"/>
          <w:sz w:val="18"/>
        </w:rPr>
        <w:t>Sector.</w:t>
      </w:r>
    </w:p>
    <w:p>
      <w:pPr>
        <w:pStyle w:val="ListBullet"/>
        <w:numPr>
          <w:ilvl w:val="0"/>
          <w:numId w:val="1"/>
        </w:numPr>
        <w:rPr/>
      </w:pPr>
      <w:r>
        <w:rPr>
          <w:color w:val="172236"/>
          <w:sz w:val="18"/>
        </w:rPr>
        <w:t>Event.</w:t>
      </w:r>
    </w:p>
    <w:p>
      <w:pPr>
        <w:pStyle w:val="Normal"/>
        <w:rPr/>
      </w:pPr>
      <w:r>
        <w:rPr>
          <w:color w:val="172236"/>
          <w:sz w:val="19"/>
        </w:rPr>
        <w:t>Edges MUST retain source, effective date, confidence, and validity interval.</w:t>
      </w:r>
    </w:p>
    <w:p>
      <w:pPr>
        <w:pStyle w:val="Heading1"/>
        <w:pBdr>
          <w:bottom w:val="single" w:sz="12" w:space="5" w:color="33C7F2"/>
        </w:pBdr>
        <w:rPr/>
      </w:pPr>
      <w:bookmarkStart w:id="117" w:name="__RefHeading___Toc6954_2150751134"/>
      <w:bookmarkEnd w:id="117"/>
      <w:r>
        <w:rPr>
          <w:rFonts w:ascii="Lato" w:hAnsi="Lato"/>
          <w:color w:val="172236"/>
          <w:sz w:val="42"/>
        </w:rPr>
        <w:t>15. Crypto Intelligence</w:t>
      </w:r>
    </w:p>
    <w:p>
      <w:pPr>
        <w:pStyle w:val="Heading2"/>
        <w:pBdr>
          <w:left w:val="single" w:sz="14" w:space="4" w:color="8B5CF6"/>
        </w:pBdr>
        <w:rPr/>
      </w:pPr>
      <w:bookmarkStart w:id="118" w:name="__RefHeading___Toc6956_2150751134"/>
      <w:bookmarkEnd w:id="118"/>
      <w:r>
        <w:rPr>
          <w:rFonts w:ascii="Lato" w:hAnsi="Lato"/>
          <w:color w:val="172236"/>
          <w:sz w:val="29"/>
        </w:rPr>
        <w:t>15.1 Crypto Market Command</w:t>
      </w:r>
    </w:p>
    <w:p>
      <w:pPr>
        <w:pStyle w:val="ListBullet"/>
        <w:numPr>
          <w:ilvl w:val="0"/>
          <w:numId w:val="1"/>
        </w:numPr>
        <w:rPr/>
      </w:pPr>
      <w:r>
        <w:rPr>
          <w:color w:val="172236"/>
          <w:sz w:val="18"/>
        </w:rPr>
        <w:t>Total market capitalization.</w:t>
      </w:r>
    </w:p>
    <w:p>
      <w:pPr>
        <w:pStyle w:val="ListBullet"/>
        <w:numPr>
          <w:ilvl w:val="0"/>
          <w:numId w:val="1"/>
        </w:numPr>
        <w:rPr/>
      </w:pPr>
      <w:r>
        <w:rPr>
          <w:color w:val="172236"/>
          <w:sz w:val="18"/>
        </w:rPr>
        <w:t>Volume.</w:t>
      </w:r>
    </w:p>
    <w:p>
      <w:pPr>
        <w:pStyle w:val="ListBullet"/>
        <w:numPr>
          <w:ilvl w:val="0"/>
          <w:numId w:val="1"/>
        </w:numPr>
        <w:rPr/>
      </w:pPr>
      <w:r>
        <w:rPr>
          <w:color w:val="172236"/>
          <w:sz w:val="18"/>
        </w:rPr>
        <w:t>BTC/ETH dominance.</w:t>
      </w:r>
    </w:p>
    <w:p>
      <w:pPr>
        <w:pStyle w:val="ListBullet"/>
        <w:numPr>
          <w:ilvl w:val="0"/>
          <w:numId w:val="1"/>
        </w:numPr>
        <w:rPr/>
      </w:pPr>
      <w:r>
        <w:rPr>
          <w:color w:val="172236"/>
          <w:sz w:val="18"/>
        </w:rPr>
        <w:t>Stablecoin context where available.</w:t>
      </w:r>
    </w:p>
    <w:p>
      <w:pPr>
        <w:pStyle w:val="ListBullet"/>
        <w:numPr>
          <w:ilvl w:val="0"/>
          <w:numId w:val="1"/>
        </w:numPr>
        <w:rPr/>
      </w:pPr>
      <w:r>
        <w:rPr>
          <w:color w:val="172236"/>
          <w:sz w:val="18"/>
        </w:rPr>
        <w:t>Category performance.</w:t>
      </w:r>
    </w:p>
    <w:p>
      <w:pPr>
        <w:pStyle w:val="ListBullet"/>
        <w:numPr>
          <w:ilvl w:val="0"/>
          <w:numId w:val="1"/>
        </w:numPr>
        <w:rPr/>
      </w:pPr>
      <w:r>
        <w:rPr>
          <w:color w:val="172236"/>
          <w:sz w:val="18"/>
        </w:rPr>
        <w:t>Trending assets.</w:t>
      </w:r>
    </w:p>
    <w:p>
      <w:pPr>
        <w:pStyle w:val="ListBullet"/>
        <w:numPr>
          <w:ilvl w:val="0"/>
          <w:numId w:val="1"/>
        </w:numPr>
        <w:rPr/>
      </w:pPr>
      <w:r>
        <w:rPr>
          <w:color w:val="172236"/>
          <w:sz w:val="18"/>
        </w:rPr>
        <w:t>Largest movers.</w:t>
      </w:r>
    </w:p>
    <w:p>
      <w:pPr>
        <w:pStyle w:val="ListBullet"/>
        <w:numPr>
          <w:ilvl w:val="0"/>
          <w:numId w:val="1"/>
        </w:numPr>
        <w:rPr/>
      </w:pPr>
      <w:r>
        <w:rPr>
          <w:color w:val="172236"/>
          <w:sz w:val="18"/>
        </w:rPr>
        <w:t>Liquidity warnings.</w:t>
      </w:r>
    </w:p>
    <w:p>
      <w:pPr>
        <w:pStyle w:val="ListBullet"/>
        <w:numPr>
          <w:ilvl w:val="0"/>
          <w:numId w:val="1"/>
        </w:numPr>
        <w:rPr/>
      </w:pPr>
      <w:r>
        <w:rPr>
          <w:color w:val="172236"/>
          <w:sz w:val="18"/>
        </w:rPr>
        <w:t>Exchange conditions.</w:t>
      </w:r>
    </w:p>
    <w:p>
      <w:pPr>
        <w:pStyle w:val="ListBullet"/>
        <w:numPr>
          <w:ilvl w:val="0"/>
          <w:numId w:val="1"/>
        </w:numPr>
        <w:rPr/>
      </w:pPr>
      <w:r>
        <w:rPr>
          <w:color w:val="172236"/>
          <w:sz w:val="18"/>
        </w:rPr>
        <w:t>Market regime.</w:t>
      </w:r>
    </w:p>
    <w:p>
      <w:pPr>
        <w:pStyle w:val="Heading2"/>
        <w:pBdr>
          <w:left w:val="single" w:sz="14" w:space="4" w:color="8B5CF6"/>
        </w:pBdr>
        <w:rPr/>
      </w:pPr>
      <w:bookmarkStart w:id="119" w:name="__RefHeading___Toc6958_2150751134"/>
      <w:bookmarkEnd w:id="119"/>
      <w:r>
        <w:rPr>
          <w:rFonts w:ascii="Lato" w:hAnsi="Lato"/>
          <w:color w:val="172236"/>
          <w:sz w:val="29"/>
        </w:rPr>
        <w:t>15.2 Asset Profile</w:t>
      </w:r>
    </w:p>
    <w:p>
      <w:pPr>
        <w:pStyle w:val="ListBullet"/>
        <w:numPr>
          <w:ilvl w:val="0"/>
          <w:numId w:val="1"/>
        </w:numPr>
        <w:rPr/>
      </w:pPr>
      <w:r>
        <w:rPr>
          <w:color w:val="172236"/>
          <w:sz w:val="18"/>
        </w:rPr>
        <w:t>Canonical token identity.</w:t>
      </w:r>
    </w:p>
    <w:p>
      <w:pPr>
        <w:pStyle w:val="ListBullet"/>
        <w:numPr>
          <w:ilvl w:val="0"/>
          <w:numId w:val="1"/>
        </w:numPr>
        <w:rPr/>
      </w:pPr>
      <w:r>
        <w:rPr>
          <w:color w:val="172236"/>
          <w:sz w:val="18"/>
        </w:rPr>
        <w:t>Chain and contract addresses.</w:t>
      </w:r>
    </w:p>
    <w:p>
      <w:pPr>
        <w:pStyle w:val="ListBullet"/>
        <w:numPr>
          <w:ilvl w:val="0"/>
          <w:numId w:val="1"/>
        </w:numPr>
        <w:rPr/>
      </w:pPr>
      <w:r>
        <w:rPr>
          <w:color w:val="172236"/>
          <w:sz w:val="18"/>
        </w:rPr>
        <w:t>Market data.</w:t>
      </w:r>
    </w:p>
    <w:p>
      <w:pPr>
        <w:pStyle w:val="ListBullet"/>
        <w:numPr>
          <w:ilvl w:val="0"/>
          <w:numId w:val="1"/>
        </w:numPr>
        <w:rPr/>
      </w:pPr>
      <w:r>
        <w:rPr>
          <w:color w:val="172236"/>
          <w:sz w:val="18"/>
        </w:rPr>
        <w:t>Supply metrics.</w:t>
      </w:r>
    </w:p>
    <w:p>
      <w:pPr>
        <w:pStyle w:val="ListBullet"/>
        <w:numPr>
          <w:ilvl w:val="0"/>
          <w:numId w:val="1"/>
        </w:numPr>
        <w:rPr/>
      </w:pPr>
      <w:r>
        <w:rPr>
          <w:color w:val="172236"/>
          <w:sz w:val="18"/>
        </w:rPr>
        <w:t>Market capitalization and fully diluted valuation.</w:t>
      </w:r>
    </w:p>
    <w:p>
      <w:pPr>
        <w:pStyle w:val="ListBullet"/>
        <w:numPr>
          <w:ilvl w:val="0"/>
          <w:numId w:val="1"/>
        </w:numPr>
        <w:rPr/>
      </w:pPr>
      <w:r>
        <w:rPr>
          <w:color w:val="172236"/>
          <w:sz w:val="18"/>
        </w:rPr>
        <w:t>Historical chart.</w:t>
      </w:r>
    </w:p>
    <w:p>
      <w:pPr>
        <w:pStyle w:val="ListBullet"/>
        <w:numPr>
          <w:ilvl w:val="0"/>
          <w:numId w:val="1"/>
        </w:numPr>
        <w:rPr/>
      </w:pPr>
      <w:r>
        <w:rPr>
          <w:color w:val="172236"/>
          <w:sz w:val="18"/>
        </w:rPr>
        <w:t>Categories.</w:t>
      </w:r>
    </w:p>
    <w:p>
      <w:pPr>
        <w:pStyle w:val="ListBullet"/>
        <w:numPr>
          <w:ilvl w:val="0"/>
          <w:numId w:val="1"/>
        </w:numPr>
        <w:rPr/>
      </w:pPr>
      <w:r>
        <w:rPr>
          <w:color w:val="172236"/>
          <w:sz w:val="18"/>
        </w:rPr>
        <w:t>Exchange listings.</w:t>
      </w:r>
    </w:p>
    <w:p>
      <w:pPr>
        <w:pStyle w:val="ListBullet"/>
        <w:numPr>
          <w:ilvl w:val="0"/>
          <w:numId w:val="1"/>
        </w:numPr>
        <w:rPr/>
      </w:pPr>
      <w:r>
        <w:rPr>
          <w:color w:val="172236"/>
          <w:sz w:val="18"/>
        </w:rPr>
        <w:t>Community/developer metadata where available.</w:t>
      </w:r>
    </w:p>
    <w:p>
      <w:pPr>
        <w:pStyle w:val="ListBullet"/>
        <w:numPr>
          <w:ilvl w:val="0"/>
          <w:numId w:val="1"/>
        </w:numPr>
        <w:rPr/>
      </w:pPr>
      <w:r>
        <w:rPr>
          <w:color w:val="172236"/>
          <w:sz w:val="18"/>
        </w:rPr>
        <w:t>Related assets.</w:t>
      </w:r>
    </w:p>
    <w:p>
      <w:pPr>
        <w:pStyle w:val="ListBullet"/>
        <w:numPr>
          <w:ilvl w:val="0"/>
          <w:numId w:val="1"/>
        </w:numPr>
        <w:rPr/>
      </w:pPr>
      <w:r>
        <w:rPr>
          <w:color w:val="172236"/>
          <w:sz w:val="18"/>
        </w:rPr>
        <w:t>Risk flags.</w:t>
      </w:r>
    </w:p>
    <w:p>
      <w:pPr>
        <w:pStyle w:val="ListBullet"/>
        <w:numPr>
          <w:ilvl w:val="0"/>
          <w:numId w:val="1"/>
        </w:numPr>
        <w:rPr/>
      </w:pPr>
      <w:r>
        <w:rPr>
          <w:color w:val="172236"/>
          <w:sz w:val="18"/>
        </w:rPr>
        <w:t>Data freshness.</w:t>
      </w:r>
    </w:p>
    <w:p>
      <w:pPr>
        <w:pStyle w:val="Heading2"/>
        <w:pBdr>
          <w:left w:val="single" w:sz="14" w:space="4" w:color="8B5CF6"/>
        </w:pBdr>
        <w:rPr/>
      </w:pPr>
      <w:bookmarkStart w:id="120" w:name="__RefHeading___Toc6960_2150751134"/>
      <w:bookmarkEnd w:id="120"/>
      <w:r>
        <w:rPr>
          <w:rFonts w:ascii="Lato" w:hAnsi="Lato"/>
          <w:color w:val="172236"/>
          <w:sz w:val="29"/>
        </w:rPr>
        <w:t>15.3 Category and Narrative Explorer</w:t>
      </w:r>
    </w:p>
    <w:p>
      <w:pPr>
        <w:pStyle w:val="ListBullet"/>
        <w:numPr>
          <w:ilvl w:val="0"/>
          <w:numId w:val="1"/>
        </w:numPr>
        <w:rPr/>
      </w:pPr>
      <w:r>
        <w:rPr>
          <w:color w:val="172236"/>
          <w:sz w:val="18"/>
        </w:rPr>
        <w:t>Category constituents.</w:t>
      </w:r>
    </w:p>
    <w:p>
      <w:pPr>
        <w:pStyle w:val="ListBullet"/>
        <w:numPr>
          <w:ilvl w:val="0"/>
          <w:numId w:val="1"/>
        </w:numPr>
        <w:rPr/>
      </w:pPr>
      <w:r>
        <w:rPr>
          <w:color w:val="172236"/>
          <w:sz w:val="18"/>
        </w:rPr>
        <w:t>Weighted performance.</w:t>
      </w:r>
    </w:p>
    <w:p>
      <w:pPr>
        <w:pStyle w:val="ListBullet"/>
        <w:numPr>
          <w:ilvl w:val="0"/>
          <w:numId w:val="1"/>
        </w:numPr>
        <w:rPr/>
      </w:pPr>
      <w:r>
        <w:rPr>
          <w:color w:val="172236"/>
          <w:sz w:val="18"/>
        </w:rPr>
        <w:t>Dispersion.</w:t>
      </w:r>
    </w:p>
    <w:p>
      <w:pPr>
        <w:pStyle w:val="ListBullet"/>
        <w:numPr>
          <w:ilvl w:val="0"/>
          <w:numId w:val="1"/>
        </w:numPr>
        <w:rPr/>
      </w:pPr>
      <w:r>
        <w:rPr>
          <w:color w:val="172236"/>
          <w:sz w:val="18"/>
        </w:rPr>
        <w:t>Volume.</w:t>
      </w:r>
    </w:p>
    <w:p>
      <w:pPr>
        <w:pStyle w:val="ListBullet"/>
        <w:numPr>
          <w:ilvl w:val="0"/>
          <w:numId w:val="1"/>
        </w:numPr>
        <w:rPr/>
      </w:pPr>
      <w:r>
        <w:rPr>
          <w:color w:val="172236"/>
          <w:sz w:val="18"/>
        </w:rPr>
        <w:t>Leadership rotation.</w:t>
      </w:r>
    </w:p>
    <w:p>
      <w:pPr>
        <w:pStyle w:val="ListBullet"/>
        <w:numPr>
          <w:ilvl w:val="0"/>
          <w:numId w:val="1"/>
        </w:numPr>
        <w:rPr/>
      </w:pPr>
      <w:r>
        <w:rPr>
          <w:color w:val="172236"/>
          <w:sz w:val="18"/>
        </w:rPr>
        <w:t>Correlation.</w:t>
      </w:r>
    </w:p>
    <w:p>
      <w:pPr>
        <w:pStyle w:val="ListBullet"/>
        <w:numPr>
          <w:ilvl w:val="0"/>
          <w:numId w:val="1"/>
        </w:numPr>
        <w:rPr/>
      </w:pPr>
      <w:r>
        <w:rPr>
          <w:color w:val="172236"/>
          <w:sz w:val="18"/>
        </w:rPr>
        <w:t>New entrants.</w:t>
      </w:r>
    </w:p>
    <w:p>
      <w:pPr>
        <w:pStyle w:val="ListBullet"/>
        <w:numPr>
          <w:ilvl w:val="0"/>
          <w:numId w:val="1"/>
        </w:numPr>
        <w:rPr/>
      </w:pPr>
      <w:r>
        <w:rPr>
          <w:color w:val="172236"/>
          <w:sz w:val="18"/>
        </w:rPr>
        <w:t>Historical cycles.</w:t>
      </w:r>
    </w:p>
    <w:p>
      <w:pPr>
        <w:pStyle w:val="Heading2"/>
        <w:pBdr>
          <w:left w:val="single" w:sz="14" w:space="4" w:color="8B5CF6"/>
        </w:pBdr>
        <w:rPr/>
      </w:pPr>
      <w:bookmarkStart w:id="121" w:name="__RefHeading___Toc6962_2150751134"/>
      <w:bookmarkEnd w:id="121"/>
      <w:r>
        <w:rPr>
          <w:rFonts w:ascii="Lato" w:hAnsi="Lato"/>
          <w:color w:val="172236"/>
          <w:sz w:val="29"/>
        </w:rPr>
        <w:t>15.4 Exchange Explorer</w:t>
      </w:r>
    </w:p>
    <w:p>
      <w:pPr>
        <w:pStyle w:val="ListBullet"/>
        <w:numPr>
          <w:ilvl w:val="0"/>
          <w:numId w:val="1"/>
        </w:numPr>
        <w:rPr/>
      </w:pPr>
      <w:r>
        <w:rPr>
          <w:color w:val="172236"/>
          <w:sz w:val="18"/>
        </w:rPr>
        <w:t>Exchange metadata.</w:t>
      </w:r>
    </w:p>
    <w:p>
      <w:pPr>
        <w:pStyle w:val="ListBullet"/>
        <w:numPr>
          <w:ilvl w:val="0"/>
          <w:numId w:val="1"/>
        </w:numPr>
        <w:rPr/>
      </w:pPr>
      <w:r>
        <w:rPr>
          <w:color w:val="172236"/>
          <w:sz w:val="18"/>
        </w:rPr>
        <w:t>Trust/quality information supplied by provider.</w:t>
      </w:r>
    </w:p>
    <w:p>
      <w:pPr>
        <w:pStyle w:val="ListBullet"/>
        <w:numPr>
          <w:ilvl w:val="0"/>
          <w:numId w:val="1"/>
        </w:numPr>
        <w:rPr/>
      </w:pPr>
      <w:r>
        <w:rPr>
          <w:color w:val="172236"/>
          <w:sz w:val="18"/>
        </w:rPr>
        <w:t>Pair availability.</w:t>
      </w:r>
    </w:p>
    <w:p>
      <w:pPr>
        <w:pStyle w:val="ListBullet"/>
        <w:numPr>
          <w:ilvl w:val="0"/>
          <w:numId w:val="1"/>
        </w:numPr>
        <w:rPr/>
      </w:pPr>
      <w:r>
        <w:rPr>
          <w:color w:val="172236"/>
          <w:sz w:val="18"/>
        </w:rPr>
        <w:t>Volume.</w:t>
      </w:r>
    </w:p>
    <w:p>
      <w:pPr>
        <w:pStyle w:val="ListBullet"/>
        <w:numPr>
          <w:ilvl w:val="0"/>
          <w:numId w:val="1"/>
        </w:numPr>
        <w:rPr/>
      </w:pPr>
      <w:r>
        <w:rPr>
          <w:color w:val="172236"/>
          <w:sz w:val="18"/>
        </w:rPr>
        <w:t>Geographic or access notes where known.</w:t>
      </w:r>
    </w:p>
    <w:p>
      <w:pPr>
        <w:pStyle w:val="ListBullet"/>
        <w:numPr>
          <w:ilvl w:val="0"/>
          <w:numId w:val="1"/>
        </w:numPr>
        <w:rPr/>
      </w:pPr>
      <w:r>
        <w:rPr>
          <w:color w:val="172236"/>
          <w:sz w:val="18"/>
        </w:rPr>
        <w:t>User-connected account adapters in later phases.</w:t>
      </w:r>
    </w:p>
    <w:p>
      <w:pPr>
        <w:pStyle w:val="Heading2"/>
        <w:pBdr>
          <w:left w:val="single" w:sz="14" w:space="4" w:color="8B5CF6"/>
        </w:pBdr>
        <w:rPr/>
      </w:pPr>
      <w:bookmarkStart w:id="122" w:name="__RefHeading___Toc6964_2150751134"/>
      <w:bookmarkEnd w:id="122"/>
      <w:r>
        <w:rPr>
          <w:rFonts w:ascii="Lato" w:hAnsi="Lato"/>
          <w:color w:val="172236"/>
          <w:sz w:val="29"/>
        </w:rPr>
        <w:t>15.5 Exchange-Native Extensions</w:t>
      </w:r>
    </w:p>
    <w:p>
      <w:pPr>
        <w:pStyle w:val="Normal"/>
        <w:rPr/>
      </w:pPr>
      <w:r>
        <w:rPr>
          <w:color w:val="172236"/>
          <w:sz w:val="19"/>
        </w:rPr>
        <w:t>CoinGecko is the aggregation foundation, but optional adapters SHOULD provide:</w:t>
      </w:r>
    </w:p>
    <w:p>
      <w:pPr>
        <w:pStyle w:val="ListBullet"/>
        <w:numPr>
          <w:ilvl w:val="0"/>
          <w:numId w:val="1"/>
        </w:numPr>
        <w:rPr/>
      </w:pPr>
      <w:r>
        <w:rPr>
          <w:color w:val="172236"/>
          <w:sz w:val="18"/>
        </w:rPr>
        <w:t>Order books.</w:t>
      </w:r>
    </w:p>
    <w:p>
      <w:pPr>
        <w:pStyle w:val="ListBullet"/>
        <w:numPr>
          <w:ilvl w:val="0"/>
          <w:numId w:val="1"/>
        </w:numPr>
        <w:rPr/>
      </w:pPr>
      <w:r>
        <w:rPr>
          <w:color w:val="172236"/>
          <w:sz w:val="18"/>
        </w:rPr>
        <w:t>Trades.</w:t>
      </w:r>
    </w:p>
    <w:p>
      <w:pPr>
        <w:pStyle w:val="ListBullet"/>
        <w:numPr>
          <w:ilvl w:val="0"/>
          <w:numId w:val="1"/>
        </w:numPr>
        <w:rPr/>
      </w:pPr>
      <w:r>
        <w:rPr>
          <w:color w:val="172236"/>
          <w:sz w:val="18"/>
        </w:rPr>
        <w:t>Funding rates.</w:t>
      </w:r>
    </w:p>
    <w:p>
      <w:pPr>
        <w:pStyle w:val="ListBullet"/>
        <w:numPr>
          <w:ilvl w:val="0"/>
          <w:numId w:val="1"/>
        </w:numPr>
        <w:rPr/>
      </w:pPr>
      <w:r>
        <w:rPr>
          <w:color w:val="172236"/>
          <w:sz w:val="18"/>
        </w:rPr>
        <w:t>Open interest.</w:t>
      </w:r>
    </w:p>
    <w:p>
      <w:pPr>
        <w:pStyle w:val="ListBullet"/>
        <w:numPr>
          <w:ilvl w:val="0"/>
          <w:numId w:val="1"/>
        </w:numPr>
        <w:rPr/>
      </w:pPr>
      <w:r>
        <w:rPr>
          <w:color w:val="172236"/>
          <w:sz w:val="18"/>
        </w:rPr>
        <w:t>Liquidations.</w:t>
      </w:r>
    </w:p>
    <w:p>
      <w:pPr>
        <w:pStyle w:val="ListBullet"/>
        <w:numPr>
          <w:ilvl w:val="0"/>
          <w:numId w:val="1"/>
        </w:numPr>
        <w:rPr/>
      </w:pPr>
      <w:r>
        <w:rPr>
          <w:color w:val="172236"/>
          <w:sz w:val="18"/>
        </w:rPr>
        <w:t>Private balances.</w:t>
      </w:r>
    </w:p>
    <w:p>
      <w:pPr>
        <w:pStyle w:val="ListBullet"/>
        <w:numPr>
          <w:ilvl w:val="0"/>
          <w:numId w:val="1"/>
        </w:numPr>
        <w:rPr/>
      </w:pPr>
      <w:r>
        <w:rPr>
          <w:color w:val="172236"/>
          <w:sz w:val="18"/>
        </w:rPr>
        <w:t>Orders.</w:t>
      </w:r>
    </w:p>
    <w:p>
      <w:pPr>
        <w:pStyle w:val="ListBullet"/>
        <w:numPr>
          <w:ilvl w:val="0"/>
          <w:numId w:val="1"/>
        </w:numPr>
        <w:rPr/>
      </w:pPr>
      <w:r>
        <w:rPr>
          <w:color w:val="172236"/>
          <w:sz w:val="18"/>
        </w:rPr>
        <w:t>Execution.</w:t>
      </w:r>
    </w:p>
    <w:p>
      <w:pPr>
        <w:pStyle w:val="Normal"/>
        <w:rPr/>
      </w:pPr>
      <w:r>
        <w:rPr>
          <w:color w:val="172236"/>
          <w:sz w:val="19"/>
        </w:rPr>
        <w:t>Potential adapters:</w:t>
      </w:r>
    </w:p>
    <w:p>
      <w:pPr>
        <w:pStyle w:val="ListBullet"/>
        <w:numPr>
          <w:ilvl w:val="0"/>
          <w:numId w:val="1"/>
        </w:numPr>
        <w:rPr/>
      </w:pPr>
      <w:r>
        <w:rPr>
          <w:color w:val="172236"/>
          <w:sz w:val="18"/>
        </w:rPr>
        <w:t>Coinbase.</w:t>
      </w:r>
    </w:p>
    <w:p>
      <w:pPr>
        <w:pStyle w:val="ListBullet"/>
        <w:numPr>
          <w:ilvl w:val="0"/>
          <w:numId w:val="1"/>
        </w:numPr>
        <w:rPr/>
      </w:pPr>
      <w:r>
        <w:rPr>
          <w:color w:val="172236"/>
          <w:sz w:val="18"/>
        </w:rPr>
        <w:t>Kraken.</w:t>
      </w:r>
    </w:p>
    <w:p>
      <w:pPr>
        <w:pStyle w:val="ListBullet"/>
        <w:numPr>
          <w:ilvl w:val="0"/>
          <w:numId w:val="1"/>
        </w:numPr>
        <w:rPr/>
      </w:pPr>
      <w:r>
        <w:rPr>
          <w:color w:val="172236"/>
          <w:sz w:val="18"/>
        </w:rPr>
        <w:t>Binance where legally and geographically appropriate.</w:t>
      </w:r>
    </w:p>
    <w:p>
      <w:pPr>
        <w:pStyle w:val="ListBullet"/>
        <w:numPr>
          <w:ilvl w:val="0"/>
          <w:numId w:val="1"/>
        </w:numPr>
        <w:rPr/>
      </w:pPr>
      <w:r>
        <w:rPr>
          <w:color w:val="172236"/>
          <w:sz w:val="18"/>
        </w:rPr>
        <w:t>Hyperliquid.</w:t>
      </w:r>
    </w:p>
    <w:p>
      <w:pPr>
        <w:pStyle w:val="ListBullet"/>
        <w:numPr>
          <w:ilvl w:val="0"/>
          <w:numId w:val="1"/>
        </w:numPr>
        <w:rPr/>
      </w:pPr>
      <w:r>
        <w:rPr>
          <w:color w:val="172236"/>
          <w:sz w:val="18"/>
        </w:rPr>
        <w:t>Bybit where legally appropriate.</w:t>
      </w:r>
    </w:p>
    <w:p>
      <w:pPr>
        <w:pStyle w:val="Normal"/>
        <w:rPr/>
      </w:pPr>
      <w:r>
        <w:rPr>
          <w:color w:val="172236"/>
          <w:sz w:val="19"/>
        </w:rPr>
        <w:t>These are separate security and compliance boundaries.</w:t>
      </w:r>
    </w:p>
    <w:p>
      <w:pPr>
        <w:pStyle w:val="Heading2"/>
        <w:pBdr>
          <w:left w:val="single" w:sz="14" w:space="4" w:color="8B5CF6"/>
        </w:pBdr>
        <w:rPr/>
      </w:pPr>
      <w:bookmarkStart w:id="123" w:name="__RefHeading___Toc6966_2150751134"/>
      <w:bookmarkEnd w:id="123"/>
      <w:r>
        <w:rPr>
          <w:rFonts w:ascii="Lato" w:hAnsi="Lato"/>
          <w:color w:val="172236"/>
          <w:sz w:val="29"/>
        </w:rPr>
        <w:t>15.6 Crypto Risk Engine</w:t>
      </w:r>
    </w:p>
    <w:p>
      <w:pPr>
        <w:pStyle w:val="ListBullet"/>
        <w:numPr>
          <w:ilvl w:val="0"/>
          <w:numId w:val="1"/>
        </w:numPr>
        <w:rPr/>
      </w:pPr>
      <w:r>
        <w:rPr>
          <w:color w:val="172236"/>
          <w:sz w:val="18"/>
        </w:rPr>
        <w:t>Liquidity concentration.</w:t>
      </w:r>
    </w:p>
    <w:p>
      <w:pPr>
        <w:pStyle w:val="ListBullet"/>
        <w:numPr>
          <w:ilvl w:val="0"/>
          <w:numId w:val="1"/>
        </w:numPr>
        <w:rPr/>
      </w:pPr>
      <w:r>
        <w:rPr>
          <w:color w:val="172236"/>
          <w:sz w:val="18"/>
        </w:rPr>
        <w:t>Exchange concentration.</w:t>
      </w:r>
    </w:p>
    <w:p>
      <w:pPr>
        <w:pStyle w:val="ListBullet"/>
        <w:numPr>
          <w:ilvl w:val="0"/>
          <w:numId w:val="1"/>
        </w:numPr>
        <w:rPr/>
      </w:pPr>
      <w:r>
        <w:rPr>
          <w:color w:val="172236"/>
          <w:sz w:val="18"/>
        </w:rPr>
        <w:t>Volatility.</w:t>
      </w:r>
    </w:p>
    <w:p>
      <w:pPr>
        <w:pStyle w:val="ListBullet"/>
        <w:numPr>
          <w:ilvl w:val="0"/>
          <w:numId w:val="1"/>
        </w:numPr>
        <w:rPr/>
      </w:pPr>
      <w:r>
        <w:rPr>
          <w:color w:val="172236"/>
          <w:sz w:val="18"/>
        </w:rPr>
        <w:t>Drawdown.</w:t>
      </w:r>
    </w:p>
    <w:p>
      <w:pPr>
        <w:pStyle w:val="ListBullet"/>
        <w:numPr>
          <w:ilvl w:val="0"/>
          <w:numId w:val="1"/>
        </w:numPr>
        <w:rPr/>
      </w:pPr>
      <w:r>
        <w:rPr>
          <w:color w:val="172236"/>
          <w:sz w:val="18"/>
        </w:rPr>
        <w:t>Correlation.</w:t>
      </w:r>
    </w:p>
    <w:p>
      <w:pPr>
        <w:pStyle w:val="ListBullet"/>
        <w:numPr>
          <w:ilvl w:val="0"/>
          <w:numId w:val="1"/>
        </w:numPr>
        <w:rPr/>
      </w:pPr>
      <w:r>
        <w:rPr>
          <w:color w:val="172236"/>
          <w:sz w:val="18"/>
        </w:rPr>
        <w:t>Token age.</w:t>
      </w:r>
    </w:p>
    <w:p>
      <w:pPr>
        <w:pStyle w:val="ListBullet"/>
        <w:numPr>
          <w:ilvl w:val="0"/>
          <w:numId w:val="1"/>
        </w:numPr>
        <w:rPr/>
      </w:pPr>
      <w:r>
        <w:rPr>
          <w:color w:val="172236"/>
          <w:sz w:val="18"/>
        </w:rPr>
        <w:t>Supply concentration where data exists.</w:t>
      </w:r>
    </w:p>
    <w:p>
      <w:pPr>
        <w:pStyle w:val="ListBullet"/>
        <w:numPr>
          <w:ilvl w:val="0"/>
          <w:numId w:val="1"/>
        </w:numPr>
        <w:rPr/>
      </w:pPr>
      <w:r>
        <w:rPr>
          <w:color w:val="172236"/>
          <w:sz w:val="18"/>
        </w:rPr>
        <w:t>Contract/chain mapping warnings.</w:t>
      </w:r>
    </w:p>
    <w:p>
      <w:pPr>
        <w:pStyle w:val="ListBullet"/>
        <w:numPr>
          <w:ilvl w:val="0"/>
          <w:numId w:val="1"/>
        </w:numPr>
        <w:rPr/>
      </w:pPr>
      <w:r>
        <w:rPr>
          <w:color w:val="172236"/>
          <w:sz w:val="18"/>
        </w:rPr>
        <w:t>Stablecoin depeg scenarios.</w:t>
      </w:r>
    </w:p>
    <w:p>
      <w:pPr>
        <w:pStyle w:val="ListBullet"/>
        <w:numPr>
          <w:ilvl w:val="0"/>
          <w:numId w:val="1"/>
        </w:numPr>
        <w:rPr/>
      </w:pPr>
      <w:r>
        <w:rPr>
          <w:color w:val="172236"/>
          <w:sz w:val="18"/>
        </w:rPr>
        <w:t>Bridge/protocol exposure through later providers.</w:t>
      </w:r>
    </w:p>
    <w:p>
      <w:pPr>
        <w:pStyle w:val="ListBullet"/>
        <w:numPr>
          <w:ilvl w:val="0"/>
          <w:numId w:val="1"/>
        </w:numPr>
        <w:rPr/>
      </w:pPr>
      <w:r>
        <w:rPr>
          <w:color w:val="172236"/>
          <w:sz w:val="18"/>
        </w:rPr>
        <w:t>Venue outage scenarios.</w:t>
      </w:r>
    </w:p>
    <w:p>
      <w:pPr>
        <w:pStyle w:val="Heading1"/>
        <w:pBdr>
          <w:bottom w:val="single" w:sz="12" w:space="5" w:color="33C7F2"/>
        </w:pBdr>
        <w:rPr/>
      </w:pPr>
      <w:bookmarkStart w:id="124" w:name="__RefHeading___Toc6968_2150751134"/>
      <w:bookmarkEnd w:id="124"/>
      <w:r>
        <w:rPr>
          <w:rFonts w:ascii="Lato" w:hAnsi="Lato"/>
          <w:color w:val="172236"/>
          <w:sz w:val="42"/>
        </w:rPr>
        <w:t>16. AI and Agentic Intelligence</w:t>
      </w:r>
    </w:p>
    <w:p>
      <w:pPr>
        <w:pStyle w:val="Heading2"/>
        <w:pBdr>
          <w:left w:val="single" w:sz="14" w:space="4" w:color="8B5CF6"/>
        </w:pBdr>
        <w:rPr/>
      </w:pPr>
      <w:bookmarkStart w:id="125" w:name="__RefHeading___Toc6970_2150751134"/>
      <w:bookmarkEnd w:id="125"/>
      <w:r>
        <w:rPr>
          <w:rFonts w:ascii="Lato" w:hAnsi="Lato"/>
          <w:color w:val="172236"/>
          <w:sz w:val="29"/>
        </w:rPr>
        <w:t>16.1 AI Analyst</w:t>
      </w:r>
    </w:p>
    <w:p>
      <w:pPr>
        <w:pStyle w:val="Normal"/>
        <w:rPr/>
      </w:pPr>
      <w:r>
        <w:rPr>
          <w:color w:val="172236"/>
          <w:sz w:val="19"/>
        </w:rPr>
        <w:t>Supported questions:</w:t>
      </w:r>
    </w:p>
    <w:p>
      <w:pPr>
        <w:pStyle w:val="ListBullet"/>
        <w:numPr>
          <w:ilvl w:val="0"/>
          <w:numId w:val="1"/>
        </w:numPr>
        <w:rPr/>
      </w:pPr>
      <w:r>
        <w:rPr>
          <w:color w:val="172236"/>
          <w:sz w:val="18"/>
        </w:rPr>
        <w:t>Why did this asset move?</w:t>
      </w:r>
    </w:p>
    <w:p>
      <w:pPr>
        <w:pStyle w:val="ListBullet"/>
        <w:numPr>
          <w:ilvl w:val="0"/>
          <w:numId w:val="1"/>
        </w:numPr>
        <w:rPr/>
      </w:pPr>
      <w:r>
        <w:rPr>
          <w:color w:val="172236"/>
          <w:sz w:val="18"/>
        </w:rPr>
        <w:t>What upcoming events matter?</w:t>
      </w:r>
    </w:p>
    <w:p>
      <w:pPr>
        <w:pStyle w:val="ListBullet"/>
        <w:numPr>
          <w:ilvl w:val="0"/>
          <w:numId w:val="1"/>
        </w:numPr>
        <w:rPr/>
      </w:pPr>
      <w:r>
        <w:rPr>
          <w:color w:val="172236"/>
          <w:sz w:val="18"/>
        </w:rPr>
        <w:t>What changed in the options surface?</w:t>
      </w:r>
    </w:p>
    <w:p>
      <w:pPr>
        <w:pStyle w:val="ListBullet"/>
        <w:numPr>
          <w:ilvl w:val="0"/>
          <w:numId w:val="1"/>
        </w:numPr>
        <w:rPr/>
      </w:pPr>
      <w:r>
        <w:rPr>
          <w:color w:val="172236"/>
          <w:sz w:val="18"/>
        </w:rPr>
        <w:t>Which institutional filings are significant?</w:t>
      </w:r>
    </w:p>
    <w:p>
      <w:pPr>
        <w:pStyle w:val="ListBullet"/>
        <w:numPr>
          <w:ilvl w:val="0"/>
          <w:numId w:val="1"/>
        </w:numPr>
        <w:rPr/>
      </w:pPr>
      <w:r>
        <w:rPr>
          <w:color w:val="172236"/>
          <w:sz w:val="18"/>
        </w:rPr>
        <w:t>Find similar historical conditions.</w:t>
      </w:r>
    </w:p>
    <w:p>
      <w:pPr>
        <w:pStyle w:val="ListBullet"/>
        <w:numPr>
          <w:ilvl w:val="0"/>
          <w:numId w:val="1"/>
        </w:numPr>
        <w:rPr/>
      </w:pPr>
      <w:r>
        <w:rPr>
          <w:color w:val="172236"/>
          <w:sz w:val="18"/>
        </w:rPr>
        <w:t>Construct and compare option structures.</w:t>
      </w:r>
    </w:p>
    <w:p>
      <w:pPr>
        <w:pStyle w:val="ListBullet"/>
        <w:numPr>
          <w:ilvl w:val="0"/>
          <w:numId w:val="1"/>
        </w:numPr>
        <w:rPr/>
      </w:pPr>
      <w:r>
        <w:rPr>
          <w:color w:val="172236"/>
          <w:sz w:val="18"/>
        </w:rPr>
        <w:t>Explain this strategy’s failure.</w:t>
      </w:r>
    </w:p>
    <w:p>
      <w:pPr>
        <w:pStyle w:val="ListBullet"/>
        <w:numPr>
          <w:ilvl w:val="0"/>
          <w:numId w:val="1"/>
        </w:numPr>
        <w:rPr/>
      </w:pPr>
      <w:r>
        <w:rPr>
          <w:color w:val="172236"/>
          <w:sz w:val="18"/>
        </w:rPr>
        <w:t>Summarize portfolio risks.</w:t>
      </w:r>
    </w:p>
    <w:p>
      <w:pPr>
        <w:pStyle w:val="ListBullet"/>
        <w:numPr>
          <w:ilvl w:val="0"/>
          <w:numId w:val="1"/>
        </w:numPr>
        <w:rPr/>
      </w:pPr>
      <w:r>
        <w:rPr>
          <w:color w:val="172236"/>
          <w:sz w:val="18"/>
        </w:rPr>
        <w:t>Generate a research plan.</w:t>
      </w:r>
    </w:p>
    <w:p>
      <w:pPr>
        <w:pStyle w:val="ListBullet"/>
        <w:numPr>
          <w:ilvl w:val="0"/>
          <w:numId w:val="1"/>
        </w:numPr>
        <w:rPr/>
      </w:pPr>
      <w:r>
        <w:rPr>
          <w:color w:val="172236"/>
          <w:sz w:val="18"/>
        </w:rPr>
        <w:t>Translate natural language into a scan or strategy draft.</w:t>
      </w:r>
    </w:p>
    <w:p>
      <w:pPr>
        <w:pStyle w:val="Heading2"/>
        <w:pBdr>
          <w:left w:val="single" w:sz="14" w:space="4" w:color="8B5CF6"/>
        </w:pBdr>
        <w:rPr/>
      </w:pPr>
      <w:bookmarkStart w:id="126" w:name="__RefHeading___Toc6972_2150751134"/>
      <w:bookmarkEnd w:id="126"/>
      <w:r>
        <w:rPr>
          <w:rFonts w:ascii="Lato" w:hAnsi="Lato"/>
          <w:color w:val="172236"/>
          <w:sz w:val="29"/>
        </w:rPr>
        <w:t>16.2 Tool Architecture</w:t>
      </w:r>
    </w:p>
    <w:p>
      <w:pPr>
        <w:pStyle w:val="Normal"/>
        <w:rPr/>
      </w:pPr>
      <w:r>
        <w:rPr>
          <w:color w:val="172236"/>
          <w:sz w:val="19"/>
        </w:rPr>
        <w:t>The AI MUST use a controlled tool layer:</w:t>
      </w:r>
    </w:p>
    <w:p>
      <w:pPr>
        <w:pStyle w:val="ListBullet"/>
        <w:numPr>
          <w:ilvl w:val="0"/>
          <w:numId w:val="1"/>
        </w:numPr>
        <w:rPr/>
      </w:pPr>
      <w:r>
        <w:rPr>
          <w:color w:val="172236"/>
          <w:sz w:val="18"/>
        </w:rPr>
        <w:t>Read-only market query.</w:t>
      </w:r>
    </w:p>
    <w:p>
      <w:pPr>
        <w:pStyle w:val="ListBullet"/>
        <w:numPr>
          <w:ilvl w:val="0"/>
          <w:numId w:val="1"/>
        </w:numPr>
        <w:rPr/>
      </w:pPr>
      <w:r>
        <w:rPr>
          <w:color w:val="172236"/>
          <w:sz w:val="18"/>
        </w:rPr>
        <w:t>Filing query.</w:t>
      </w:r>
    </w:p>
    <w:p>
      <w:pPr>
        <w:pStyle w:val="ListBullet"/>
        <w:numPr>
          <w:ilvl w:val="0"/>
          <w:numId w:val="1"/>
        </w:numPr>
        <w:rPr/>
      </w:pPr>
      <w:r>
        <w:rPr>
          <w:color w:val="172236"/>
          <w:sz w:val="18"/>
        </w:rPr>
        <w:t>COT query.</w:t>
      </w:r>
    </w:p>
    <w:p>
      <w:pPr>
        <w:pStyle w:val="ListBullet"/>
        <w:numPr>
          <w:ilvl w:val="0"/>
          <w:numId w:val="1"/>
        </w:numPr>
        <w:rPr/>
      </w:pPr>
      <w:r>
        <w:rPr>
          <w:color w:val="172236"/>
          <w:sz w:val="18"/>
        </w:rPr>
        <w:t>Backtest request.</w:t>
      </w:r>
    </w:p>
    <w:p>
      <w:pPr>
        <w:pStyle w:val="ListBullet"/>
        <w:numPr>
          <w:ilvl w:val="0"/>
          <w:numId w:val="1"/>
        </w:numPr>
        <w:rPr/>
      </w:pPr>
      <w:r>
        <w:rPr>
          <w:color w:val="172236"/>
          <w:sz w:val="18"/>
        </w:rPr>
        <w:t>Simulation request.</w:t>
      </w:r>
    </w:p>
    <w:p>
      <w:pPr>
        <w:pStyle w:val="ListBullet"/>
        <w:numPr>
          <w:ilvl w:val="0"/>
          <w:numId w:val="1"/>
        </w:numPr>
        <w:rPr/>
      </w:pPr>
      <w:r>
        <w:rPr>
          <w:color w:val="172236"/>
          <w:sz w:val="18"/>
        </w:rPr>
        <w:t>Chart snapshot.</w:t>
      </w:r>
    </w:p>
    <w:p>
      <w:pPr>
        <w:pStyle w:val="ListBullet"/>
        <w:numPr>
          <w:ilvl w:val="0"/>
          <w:numId w:val="1"/>
        </w:numPr>
        <w:rPr/>
      </w:pPr>
      <w:r>
        <w:rPr>
          <w:color w:val="172236"/>
          <w:sz w:val="18"/>
        </w:rPr>
        <w:t>Portfolio analysis.</w:t>
      </w:r>
    </w:p>
    <w:p>
      <w:pPr>
        <w:pStyle w:val="ListBullet"/>
        <w:numPr>
          <w:ilvl w:val="0"/>
          <w:numId w:val="1"/>
        </w:numPr>
        <w:rPr/>
      </w:pPr>
      <w:r>
        <w:rPr>
          <w:color w:val="172236"/>
          <w:sz w:val="18"/>
        </w:rPr>
        <w:t>Journal search.</w:t>
      </w:r>
    </w:p>
    <w:p>
      <w:pPr>
        <w:pStyle w:val="ListBullet"/>
        <w:numPr>
          <w:ilvl w:val="0"/>
          <w:numId w:val="1"/>
        </w:numPr>
        <w:rPr/>
      </w:pPr>
      <w:r>
        <w:rPr>
          <w:color w:val="172236"/>
          <w:sz w:val="18"/>
        </w:rPr>
        <w:t>Draft alert.</w:t>
      </w:r>
    </w:p>
    <w:p>
      <w:pPr>
        <w:pStyle w:val="ListBullet"/>
        <w:numPr>
          <w:ilvl w:val="0"/>
          <w:numId w:val="1"/>
        </w:numPr>
        <w:rPr/>
      </w:pPr>
      <w:r>
        <w:rPr>
          <w:color w:val="172236"/>
          <w:sz w:val="18"/>
        </w:rPr>
        <w:t>Draft strategy.</w:t>
      </w:r>
    </w:p>
    <w:p>
      <w:pPr>
        <w:pStyle w:val="ListBullet"/>
        <w:numPr>
          <w:ilvl w:val="0"/>
          <w:numId w:val="1"/>
        </w:numPr>
        <w:rPr/>
      </w:pPr>
      <w:r>
        <w:rPr>
          <w:color w:val="172236"/>
          <w:sz w:val="18"/>
        </w:rPr>
        <w:t>Draft order.</w:t>
      </w:r>
    </w:p>
    <w:p>
      <w:pPr>
        <w:pStyle w:val="Normal"/>
        <w:rPr/>
      </w:pPr>
      <w:r>
        <w:rPr>
          <w:color w:val="172236"/>
          <w:sz w:val="19"/>
        </w:rPr>
        <w:t>Live order submission MUST not be directly available to a general conversational model. It requires a deterministic execution workflow and explicit user approval.</w:t>
      </w:r>
    </w:p>
    <w:p>
      <w:pPr>
        <w:pStyle w:val="Heading2"/>
        <w:pBdr>
          <w:left w:val="single" w:sz="14" w:space="4" w:color="8B5CF6"/>
        </w:pBdr>
        <w:rPr/>
      </w:pPr>
      <w:bookmarkStart w:id="127" w:name="__RefHeading___Toc6974_2150751134"/>
      <w:bookmarkEnd w:id="127"/>
      <w:r>
        <w:rPr>
          <w:rFonts w:ascii="Lato" w:hAnsi="Lato"/>
          <w:color w:val="172236"/>
          <w:sz w:val="29"/>
        </w:rPr>
        <w:t>16.3 MCP Integration</w:t>
      </w:r>
    </w:p>
    <w:p>
      <w:pPr>
        <w:pStyle w:val="Normal"/>
        <w:rPr/>
      </w:pPr>
      <w:r>
        <w:rPr>
          <w:color w:val="172236"/>
          <w:sz w:val="19"/>
        </w:rPr>
        <w:t>MCP servers MUST be:</w:t>
      </w:r>
    </w:p>
    <w:p>
      <w:pPr>
        <w:pStyle w:val="ListBullet"/>
        <w:numPr>
          <w:ilvl w:val="0"/>
          <w:numId w:val="1"/>
        </w:numPr>
        <w:rPr/>
      </w:pPr>
      <w:r>
        <w:rPr>
          <w:color w:val="172236"/>
          <w:sz w:val="18"/>
        </w:rPr>
        <w:t>Explicitly installed.</w:t>
      </w:r>
    </w:p>
    <w:p>
      <w:pPr>
        <w:pStyle w:val="ListBullet"/>
        <w:numPr>
          <w:ilvl w:val="0"/>
          <w:numId w:val="1"/>
        </w:numPr>
        <w:rPr/>
      </w:pPr>
      <w:r>
        <w:rPr>
          <w:color w:val="172236"/>
          <w:sz w:val="18"/>
        </w:rPr>
        <w:t>Signed where possible.</w:t>
      </w:r>
    </w:p>
    <w:p>
      <w:pPr>
        <w:pStyle w:val="ListBullet"/>
        <w:numPr>
          <w:ilvl w:val="0"/>
          <w:numId w:val="1"/>
        </w:numPr>
        <w:rPr/>
      </w:pPr>
      <w:r>
        <w:rPr>
          <w:color w:val="172236"/>
          <w:sz w:val="18"/>
        </w:rPr>
        <w:t>Version pinned.</w:t>
      </w:r>
    </w:p>
    <w:p>
      <w:pPr>
        <w:pStyle w:val="ListBullet"/>
        <w:numPr>
          <w:ilvl w:val="0"/>
          <w:numId w:val="1"/>
        </w:numPr>
        <w:rPr/>
      </w:pPr>
      <w:r>
        <w:rPr>
          <w:color w:val="172236"/>
          <w:sz w:val="18"/>
        </w:rPr>
        <w:t>Capability scoped.</w:t>
      </w:r>
    </w:p>
    <w:p>
      <w:pPr>
        <w:pStyle w:val="ListBullet"/>
        <w:numPr>
          <w:ilvl w:val="0"/>
          <w:numId w:val="1"/>
        </w:numPr>
        <w:rPr/>
      </w:pPr>
      <w:r>
        <w:rPr>
          <w:color w:val="172236"/>
          <w:sz w:val="18"/>
        </w:rPr>
        <w:t>Network restricted.</w:t>
      </w:r>
    </w:p>
    <w:p>
      <w:pPr>
        <w:pStyle w:val="ListBullet"/>
        <w:numPr>
          <w:ilvl w:val="0"/>
          <w:numId w:val="1"/>
        </w:numPr>
        <w:rPr/>
      </w:pPr>
      <w:r>
        <w:rPr>
          <w:color w:val="172236"/>
          <w:sz w:val="18"/>
        </w:rPr>
        <w:t>Audited.</w:t>
      </w:r>
    </w:p>
    <w:p>
      <w:pPr>
        <w:pStyle w:val="ListBullet"/>
        <w:numPr>
          <w:ilvl w:val="0"/>
          <w:numId w:val="1"/>
        </w:numPr>
        <w:rPr/>
      </w:pPr>
      <w:r>
        <w:rPr>
          <w:color w:val="172236"/>
          <w:sz w:val="18"/>
        </w:rPr>
        <w:t>Disableable.</w:t>
      </w:r>
    </w:p>
    <w:p>
      <w:pPr>
        <w:pStyle w:val="ListBullet"/>
        <w:numPr>
          <w:ilvl w:val="0"/>
          <w:numId w:val="1"/>
        </w:numPr>
        <w:rPr/>
      </w:pPr>
      <w:r>
        <w:rPr>
          <w:color w:val="172236"/>
          <w:sz w:val="18"/>
        </w:rPr>
        <w:t>Assigned a trust level.</w:t>
      </w:r>
    </w:p>
    <w:p>
      <w:pPr>
        <w:pStyle w:val="ListBullet"/>
        <w:numPr>
          <w:ilvl w:val="0"/>
          <w:numId w:val="1"/>
        </w:numPr>
        <w:rPr/>
      </w:pPr>
      <w:r>
        <w:rPr>
          <w:color w:val="172236"/>
          <w:sz w:val="18"/>
        </w:rPr>
        <w:t>Prevented from reading unrelated local files or secrets.</w:t>
      </w:r>
    </w:p>
    <w:p>
      <w:pPr>
        <w:pStyle w:val="Normal"/>
        <w:rPr/>
      </w:pPr>
      <w:r>
        <w:rPr>
          <w:color w:val="172236"/>
          <w:sz w:val="19"/>
        </w:rPr>
        <w:t>A remote MCP server SHOULD be treated as an external dependency, not trusted local code.</w:t>
      </w:r>
    </w:p>
    <w:p>
      <w:pPr>
        <w:pStyle w:val="Heading2"/>
        <w:pBdr>
          <w:left w:val="single" w:sz="14" w:space="4" w:color="8B5CF6"/>
        </w:pBdr>
        <w:rPr/>
      </w:pPr>
      <w:bookmarkStart w:id="128" w:name="__RefHeading___Toc6976_2150751134"/>
      <w:bookmarkEnd w:id="128"/>
      <w:r>
        <w:rPr>
          <w:rFonts w:ascii="Lato" w:hAnsi="Lato"/>
          <w:color w:val="172236"/>
          <w:sz w:val="29"/>
        </w:rPr>
        <w:t>16.4 Retrieval and Knowledge</w:t>
      </w:r>
    </w:p>
    <w:p>
      <w:pPr>
        <w:pStyle w:val="Normal"/>
        <w:rPr/>
      </w:pPr>
      <w:r>
        <w:rPr>
          <w:color w:val="172236"/>
          <w:sz w:val="19"/>
        </w:rPr>
        <w:t>The AI retrieval layer may index:</w:t>
      </w:r>
    </w:p>
    <w:p>
      <w:pPr>
        <w:pStyle w:val="ListBullet"/>
        <w:numPr>
          <w:ilvl w:val="0"/>
          <w:numId w:val="1"/>
        </w:numPr>
        <w:rPr/>
      </w:pPr>
      <w:r>
        <w:rPr>
          <w:color w:val="172236"/>
          <w:sz w:val="18"/>
        </w:rPr>
        <w:t>User notes.</w:t>
      </w:r>
    </w:p>
    <w:p>
      <w:pPr>
        <w:pStyle w:val="ListBullet"/>
        <w:numPr>
          <w:ilvl w:val="0"/>
          <w:numId w:val="1"/>
        </w:numPr>
        <w:rPr/>
      </w:pPr>
      <w:r>
        <w:rPr>
          <w:color w:val="172236"/>
          <w:sz w:val="18"/>
        </w:rPr>
        <w:t>Strategy definitions.</w:t>
      </w:r>
    </w:p>
    <w:p>
      <w:pPr>
        <w:pStyle w:val="ListBullet"/>
        <w:numPr>
          <w:ilvl w:val="0"/>
          <w:numId w:val="1"/>
        </w:numPr>
        <w:rPr/>
      </w:pPr>
      <w:r>
        <w:rPr>
          <w:color w:val="172236"/>
          <w:sz w:val="18"/>
        </w:rPr>
        <w:t>Backtest reports.</w:t>
      </w:r>
    </w:p>
    <w:p>
      <w:pPr>
        <w:pStyle w:val="ListBullet"/>
        <w:numPr>
          <w:ilvl w:val="0"/>
          <w:numId w:val="1"/>
        </w:numPr>
        <w:rPr/>
      </w:pPr>
      <w:r>
        <w:rPr>
          <w:color w:val="172236"/>
          <w:sz w:val="18"/>
        </w:rPr>
        <w:t>Journal entries.</w:t>
      </w:r>
    </w:p>
    <w:p>
      <w:pPr>
        <w:pStyle w:val="ListBullet"/>
        <w:numPr>
          <w:ilvl w:val="0"/>
          <w:numId w:val="1"/>
        </w:numPr>
        <w:rPr/>
      </w:pPr>
      <w:r>
        <w:rPr>
          <w:color w:val="172236"/>
          <w:sz w:val="18"/>
        </w:rPr>
        <w:t>Filings.</w:t>
      </w:r>
    </w:p>
    <w:p>
      <w:pPr>
        <w:pStyle w:val="ListBullet"/>
        <w:numPr>
          <w:ilvl w:val="0"/>
          <w:numId w:val="1"/>
        </w:numPr>
        <w:rPr/>
      </w:pPr>
      <w:r>
        <w:rPr>
          <w:color w:val="172236"/>
          <w:sz w:val="18"/>
        </w:rPr>
        <w:t>Provider documentation.</w:t>
      </w:r>
    </w:p>
    <w:p>
      <w:pPr>
        <w:pStyle w:val="ListBullet"/>
        <w:numPr>
          <w:ilvl w:val="0"/>
          <w:numId w:val="1"/>
        </w:numPr>
        <w:rPr/>
      </w:pPr>
      <w:r>
        <w:rPr>
          <w:color w:val="172236"/>
          <w:sz w:val="18"/>
        </w:rPr>
        <w:t>Internal help.</w:t>
      </w:r>
    </w:p>
    <w:p>
      <w:pPr>
        <w:pStyle w:val="ListBullet"/>
        <w:numPr>
          <w:ilvl w:val="0"/>
          <w:numId w:val="1"/>
        </w:numPr>
        <w:rPr/>
      </w:pPr>
      <w:r>
        <w:rPr>
          <w:color w:val="172236"/>
          <w:sz w:val="18"/>
        </w:rPr>
        <w:t>Model cards.</w:t>
      </w:r>
    </w:p>
    <w:p>
      <w:pPr>
        <w:pStyle w:val="ListBullet"/>
        <w:numPr>
          <w:ilvl w:val="0"/>
          <w:numId w:val="1"/>
        </w:numPr>
        <w:rPr/>
      </w:pPr>
      <w:r>
        <w:rPr>
          <w:color w:val="172236"/>
          <w:sz w:val="18"/>
        </w:rPr>
        <w:t>Runbooks.</w:t>
      </w:r>
    </w:p>
    <w:p>
      <w:pPr>
        <w:pStyle w:val="Normal"/>
        <w:rPr/>
      </w:pPr>
      <w:r>
        <w:rPr>
          <w:color w:val="172236"/>
          <w:sz w:val="19"/>
        </w:rPr>
        <w:t>Sensitive indices MUST be encrypted, tenant-scoped, and covered by retention policy.</w:t>
      </w:r>
    </w:p>
    <w:p>
      <w:pPr>
        <w:pStyle w:val="Heading2"/>
        <w:pBdr>
          <w:left w:val="single" w:sz="14" w:space="4" w:color="8B5CF6"/>
        </w:pBdr>
        <w:rPr/>
      </w:pPr>
      <w:bookmarkStart w:id="129" w:name="__RefHeading___Toc6978_2150751134"/>
      <w:bookmarkEnd w:id="129"/>
      <w:r>
        <w:rPr>
          <w:rFonts w:ascii="Lato" w:hAnsi="Lato"/>
          <w:color w:val="172236"/>
          <w:sz w:val="29"/>
        </w:rPr>
        <w:t>16.5 AI Output Contract</w:t>
      </w:r>
    </w:p>
    <w:p>
      <w:pPr>
        <w:pStyle w:val="Normal"/>
        <w:rPr/>
      </w:pPr>
      <w:r>
        <w:rPr>
          <w:color w:val="172236"/>
          <w:sz w:val="19"/>
        </w:rPr>
        <w:t>Every market answer SHOULD provide:</w:t>
      </w:r>
    </w:p>
    <w:p>
      <w:pPr>
        <w:pStyle w:val="ListBullet"/>
        <w:numPr>
          <w:ilvl w:val="0"/>
          <w:numId w:val="1"/>
        </w:numPr>
        <w:rPr/>
      </w:pPr>
      <w:r>
        <w:rPr>
          <w:color w:val="172236"/>
          <w:sz w:val="18"/>
        </w:rPr>
        <w:t>Direct answer.</w:t>
      </w:r>
    </w:p>
    <w:p>
      <w:pPr>
        <w:pStyle w:val="ListBullet"/>
        <w:numPr>
          <w:ilvl w:val="0"/>
          <w:numId w:val="1"/>
        </w:numPr>
        <w:rPr/>
      </w:pPr>
      <w:r>
        <w:rPr>
          <w:color w:val="172236"/>
          <w:sz w:val="18"/>
        </w:rPr>
        <w:t>Evidence.</w:t>
      </w:r>
    </w:p>
    <w:p>
      <w:pPr>
        <w:pStyle w:val="ListBullet"/>
        <w:numPr>
          <w:ilvl w:val="0"/>
          <w:numId w:val="1"/>
        </w:numPr>
        <w:rPr/>
      </w:pPr>
      <w:r>
        <w:rPr>
          <w:color w:val="172236"/>
          <w:sz w:val="18"/>
        </w:rPr>
        <w:t>Source timestamps.</w:t>
      </w:r>
    </w:p>
    <w:p>
      <w:pPr>
        <w:pStyle w:val="ListBullet"/>
        <w:numPr>
          <w:ilvl w:val="0"/>
          <w:numId w:val="1"/>
        </w:numPr>
        <w:rPr/>
      </w:pPr>
      <w:r>
        <w:rPr>
          <w:color w:val="172236"/>
          <w:sz w:val="18"/>
        </w:rPr>
        <w:t>Uncertainty.</w:t>
      </w:r>
    </w:p>
    <w:p>
      <w:pPr>
        <w:pStyle w:val="ListBullet"/>
        <w:numPr>
          <w:ilvl w:val="0"/>
          <w:numId w:val="1"/>
        </w:numPr>
        <w:rPr/>
      </w:pPr>
      <w:r>
        <w:rPr>
          <w:color w:val="172236"/>
          <w:sz w:val="18"/>
        </w:rPr>
        <w:t>Contradicting evidence.</w:t>
      </w:r>
    </w:p>
    <w:p>
      <w:pPr>
        <w:pStyle w:val="ListBullet"/>
        <w:numPr>
          <w:ilvl w:val="0"/>
          <w:numId w:val="1"/>
        </w:numPr>
        <w:rPr/>
      </w:pPr>
      <w:r>
        <w:rPr>
          <w:color w:val="172236"/>
          <w:sz w:val="18"/>
        </w:rPr>
        <w:t>Suggested next verification.</w:t>
      </w:r>
    </w:p>
    <w:p>
      <w:pPr>
        <w:pStyle w:val="ListBullet"/>
        <w:numPr>
          <w:ilvl w:val="0"/>
          <w:numId w:val="1"/>
        </w:numPr>
        <w:rPr/>
      </w:pPr>
      <w:r>
        <w:rPr>
          <w:color w:val="172236"/>
          <w:sz w:val="18"/>
        </w:rPr>
        <w:t>Risk note.</w:t>
      </w:r>
    </w:p>
    <w:p>
      <w:pPr>
        <w:pStyle w:val="ListBullet"/>
        <w:numPr>
          <w:ilvl w:val="0"/>
          <w:numId w:val="1"/>
        </w:numPr>
        <w:rPr/>
      </w:pPr>
      <w:r>
        <w:rPr>
          <w:color w:val="172236"/>
          <w:sz w:val="18"/>
        </w:rPr>
        <w:t>Tool calls used.</w:t>
      </w:r>
    </w:p>
    <w:p>
      <w:pPr>
        <w:pStyle w:val="ListBullet"/>
        <w:numPr>
          <w:ilvl w:val="0"/>
          <w:numId w:val="1"/>
        </w:numPr>
        <w:rPr/>
      </w:pPr>
      <w:r>
        <w:rPr>
          <w:color w:val="172236"/>
          <w:sz w:val="18"/>
        </w:rPr>
        <w:t>Model/version metadata when appropriate.</w:t>
      </w:r>
    </w:p>
    <w:p>
      <w:pPr>
        <w:pStyle w:val="Heading1"/>
        <w:pBdr>
          <w:bottom w:val="single" w:sz="12" w:space="5" w:color="33C7F2"/>
        </w:pBdr>
        <w:rPr/>
      </w:pPr>
      <w:bookmarkStart w:id="130" w:name="__RefHeading___Toc6980_2150751134"/>
      <w:bookmarkEnd w:id="130"/>
      <w:r>
        <w:rPr>
          <w:rFonts w:ascii="Lato" w:hAnsi="Lato"/>
          <w:color w:val="172236"/>
          <w:sz w:val="42"/>
        </w:rPr>
        <w:t>17. Portfolio, Risk, Journal, and Execution</w:t>
      </w:r>
    </w:p>
    <w:p>
      <w:pPr>
        <w:pStyle w:val="Heading2"/>
        <w:pBdr>
          <w:left w:val="single" w:sz="14" w:space="4" w:color="8B5CF6"/>
        </w:pBdr>
        <w:rPr/>
      </w:pPr>
      <w:bookmarkStart w:id="131" w:name="__RefHeading___Toc6982_2150751134"/>
      <w:bookmarkEnd w:id="131"/>
      <w:r>
        <w:rPr>
          <w:rFonts w:ascii="Lato" w:hAnsi="Lato"/>
          <w:color w:val="172236"/>
          <w:sz w:val="29"/>
        </w:rPr>
        <w:t>17.1 Portfolio Model</w:t>
      </w:r>
    </w:p>
    <w:p>
      <w:pPr>
        <w:pStyle w:val="Normal"/>
        <w:rPr/>
      </w:pPr>
      <w:r>
        <w:rPr>
          <w:color w:val="172236"/>
          <w:sz w:val="19"/>
        </w:rPr>
        <w:t>Support:</w:t>
      </w:r>
    </w:p>
    <w:p>
      <w:pPr>
        <w:pStyle w:val="ListBullet"/>
        <w:numPr>
          <w:ilvl w:val="0"/>
          <w:numId w:val="1"/>
        </w:numPr>
        <w:rPr/>
      </w:pPr>
      <w:r>
        <w:rPr>
          <w:color w:val="172236"/>
          <w:sz w:val="18"/>
        </w:rPr>
        <w:t>Multiple accounts.</w:t>
      </w:r>
    </w:p>
    <w:p>
      <w:pPr>
        <w:pStyle w:val="ListBullet"/>
        <w:numPr>
          <w:ilvl w:val="0"/>
          <w:numId w:val="1"/>
        </w:numPr>
        <w:rPr/>
      </w:pPr>
      <w:r>
        <w:rPr>
          <w:color w:val="172236"/>
          <w:sz w:val="18"/>
        </w:rPr>
        <w:t>Manual portfolios.</w:t>
      </w:r>
    </w:p>
    <w:p>
      <w:pPr>
        <w:pStyle w:val="ListBullet"/>
        <w:numPr>
          <w:ilvl w:val="0"/>
          <w:numId w:val="1"/>
        </w:numPr>
        <w:rPr/>
      </w:pPr>
      <w:r>
        <w:rPr>
          <w:color w:val="172236"/>
          <w:sz w:val="18"/>
        </w:rPr>
        <w:t>Paper portfolios.</w:t>
      </w:r>
    </w:p>
    <w:p>
      <w:pPr>
        <w:pStyle w:val="ListBullet"/>
        <w:numPr>
          <w:ilvl w:val="0"/>
          <w:numId w:val="1"/>
        </w:numPr>
        <w:rPr/>
      </w:pPr>
      <w:r>
        <w:rPr>
          <w:color w:val="172236"/>
          <w:sz w:val="18"/>
        </w:rPr>
        <w:t>Broker-linked portfolios.</w:t>
      </w:r>
    </w:p>
    <w:p>
      <w:pPr>
        <w:pStyle w:val="ListBullet"/>
        <w:numPr>
          <w:ilvl w:val="0"/>
          <w:numId w:val="1"/>
        </w:numPr>
        <w:rPr/>
      </w:pPr>
      <w:r>
        <w:rPr>
          <w:color w:val="172236"/>
          <w:sz w:val="18"/>
        </w:rPr>
        <w:t>Tax lots where data permits.</w:t>
      </w:r>
    </w:p>
    <w:p>
      <w:pPr>
        <w:pStyle w:val="ListBullet"/>
        <w:numPr>
          <w:ilvl w:val="0"/>
          <w:numId w:val="1"/>
        </w:numPr>
        <w:rPr/>
      </w:pPr>
      <w:r>
        <w:rPr>
          <w:color w:val="172236"/>
          <w:sz w:val="18"/>
        </w:rPr>
        <w:t>Cash.</w:t>
      </w:r>
    </w:p>
    <w:p>
      <w:pPr>
        <w:pStyle w:val="ListBullet"/>
        <w:numPr>
          <w:ilvl w:val="0"/>
          <w:numId w:val="1"/>
        </w:numPr>
        <w:rPr/>
      </w:pPr>
      <w:r>
        <w:rPr>
          <w:color w:val="172236"/>
          <w:sz w:val="18"/>
        </w:rPr>
        <w:t>Equities.</w:t>
      </w:r>
    </w:p>
    <w:p>
      <w:pPr>
        <w:pStyle w:val="ListBullet"/>
        <w:numPr>
          <w:ilvl w:val="0"/>
          <w:numId w:val="1"/>
        </w:numPr>
        <w:rPr/>
      </w:pPr>
      <w:r>
        <w:rPr>
          <w:color w:val="172236"/>
          <w:sz w:val="18"/>
        </w:rPr>
        <w:t>Options.</w:t>
      </w:r>
    </w:p>
    <w:p>
      <w:pPr>
        <w:pStyle w:val="ListBullet"/>
        <w:numPr>
          <w:ilvl w:val="0"/>
          <w:numId w:val="1"/>
        </w:numPr>
        <w:rPr/>
      </w:pPr>
      <w:r>
        <w:rPr>
          <w:color w:val="172236"/>
          <w:sz w:val="18"/>
        </w:rPr>
        <w:t>Crypto.</w:t>
      </w:r>
    </w:p>
    <w:p>
      <w:pPr>
        <w:pStyle w:val="ListBullet"/>
        <w:numPr>
          <w:ilvl w:val="0"/>
          <w:numId w:val="1"/>
        </w:numPr>
        <w:rPr/>
      </w:pPr>
      <w:r>
        <w:rPr>
          <w:color w:val="172236"/>
          <w:sz w:val="18"/>
        </w:rPr>
        <w:t>Strategies and sleeves.</w:t>
      </w:r>
    </w:p>
    <w:p>
      <w:pPr>
        <w:pStyle w:val="Heading2"/>
        <w:pBdr>
          <w:left w:val="single" w:sz="14" w:space="4" w:color="8B5CF6"/>
        </w:pBdr>
        <w:rPr/>
      </w:pPr>
      <w:bookmarkStart w:id="132" w:name="__RefHeading___Toc6984_2150751134"/>
      <w:bookmarkEnd w:id="132"/>
      <w:r>
        <w:rPr>
          <w:rFonts w:ascii="Lato" w:hAnsi="Lato"/>
          <w:color w:val="172236"/>
          <w:sz w:val="29"/>
        </w:rPr>
        <w:t>17.2 Risk Measures</w:t>
      </w:r>
    </w:p>
    <w:p>
      <w:pPr>
        <w:pStyle w:val="ListBullet"/>
        <w:numPr>
          <w:ilvl w:val="0"/>
          <w:numId w:val="1"/>
        </w:numPr>
        <w:rPr/>
      </w:pPr>
      <w:r>
        <w:rPr>
          <w:color w:val="172236"/>
          <w:sz w:val="18"/>
        </w:rPr>
        <w:t>Gross and net exposure.</w:t>
      </w:r>
    </w:p>
    <w:p>
      <w:pPr>
        <w:pStyle w:val="ListBullet"/>
        <w:numPr>
          <w:ilvl w:val="0"/>
          <w:numId w:val="1"/>
        </w:numPr>
        <w:rPr/>
      </w:pPr>
      <w:r>
        <w:rPr>
          <w:color w:val="172236"/>
          <w:sz w:val="18"/>
        </w:rPr>
        <w:t>Delta-adjusted exposure.</w:t>
      </w:r>
    </w:p>
    <w:p>
      <w:pPr>
        <w:pStyle w:val="ListBullet"/>
        <w:numPr>
          <w:ilvl w:val="0"/>
          <w:numId w:val="1"/>
        </w:numPr>
        <w:rPr/>
      </w:pPr>
      <w:r>
        <w:rPr>
          <w:color w:val="172236"/>
          <w:sz w:val="18"/>
        </w:rPr>
        <w:t>Greeks.</w:t>
      </w:r>
    </w:p>
    <w:p>
      <w:pPr>
        <w:pStyle w:val="ListBullet"/>
        <w:numPr>
          <w:ilvl w:val="0"/>
          <w:numId w:val="1"/>
        </w:numPr>
        <w:rPr/>
      </w:pPr>
      <w:r>
        <w:rPr>
          <w:color w:val="172236"/>
          <w:sz w:val="18"/>
        </w:rPr>
        <w:t>Sector/industry concentration.</w:t>
      </w:r>
    </w:p>
    <w:p>
      <w:pPr>
        <w:pStyle w:val="ListBullet"/>
        <w:numPr>
          <w:ilvl w:val="0"/>
          <w:numId w:val="1"/>
        </w:numPr>
        <w:rPr/>
      </w:pPr>
      <w:r>
        <w:rPr>
          <w:color w:val="172236"/>
          <w:sz w:val="18"/>
        </w:rPr>
        <w:t>Asset and venue concentration.</w:t>
      </w:r>
    </w:p>
    <w:p>
      <w:pPr>
        <w:pStyle w:val="ListBullet"/>
        <w:numPr>
          <w:ilvl w:val="0"/>
          <w:numId w:val="1"/>
        </w:numPr>
        <w:rPr/>
      </w:pPr>
      <w:r>
        <w:rPr>
          <w:color w:val="172236"/>
          <w:sz w:val="18"/>
        </w:rPr>
        <w:t>Correlation clusters.</w:t>
      </w:r>
    </w:p>
    <w:p>
      <w:pPr>
        <w:pStyle w:val="ListBullet"/>
        <w:numPr>
          <w:ilvl w:val="0"/>
          <w:numId w:val="1"/>
        </w:numPr>
        <w:rPr/>
      </w:pPr>
      <w:r>
        <w:rPr>
          <w:color w:val="172236"/>
          <w:sz w:val="18"/>
        </w:rPr>
        <w:t>Beta.</w:t>
      </w:r>
    </w:p>
    <w:p>
      <w:pPr>
        <w:pStyle w:val="ListBullet"/>
        <w:numPr>
          <w:ilvl w:val="0"/>
          <w:numId w:val="1"/>
        </w:numPr>
        <w:rPr/>
      </w:pPr>
      <w:r>
        <w:rPr>
          <w:color w:val="172236"/>
          <w:sz w:val="18"/>
        </w:rPr>
        <w:t>Volatility.</w:t>
      </w:r>
    </w:p>
    <w:p>
      <w:pPr>
        <w:pStyle w:val="ListBullet"/>
        <w:numPr>
          <w:ilvl w:val="0"/>
          <w:numId w:val="1"/>
        </w:numPr>
        <w:rPr/>
      </w:pPr>
      <w:r>
        <w:rPr>
          <w:color w:val="172236"/>
          <w:sz w:val="18"/>
        </w:rPr>
        <w:t>Drawdown.</w:t>
      </w:r>
    </w:p>
    <w:p>
      <w:pPr>
        <w:pStyle w:val="ListBullet"/>
        <w:numPr>
          <w:ilvl w:val="0"/>
          <w:numId w:val="1"/>
        </w:numPr>
        <w:rPr/>
      </w:pPr>
      <w:r>
        <w:rPr>
          <w:color w:val="172236"/>
          <w:sz w:val="18"/>
        </w:rPr>
        <w:t>Scenario P/L.</w:t>
      </w:r>
    </w:p>
    <w:p>
      <w:pPr>
        <w:pStyle w:val="ListBullet"/>
        <w:numPr>
          <w:ilvl w:val="0"/>
          <w:numId w:val="1"/>
        </w:numPr>
        <w:rPr/>
      </w:pPr>
      <w:r>
        <w:rPr>
          <w:color w:val="172236"/>
          <w:sz w:val="18"/>
        </w:rPr>
        <w:t>Event exposure.</w:t>
      </w:r>
    </w:p>
    <w:p>
      <w:pPr>
        <w:pStyle w:val="ListBullet"/>
        <w:numPr>
          <w:ilvl w:val="0"/>
          <w:numId w:val="1"/>
        </w:numPr>
        <w:rPr/>
      </w:pPr>
      <w:r>
        <w:rPr>
          <w:color w:val="172236"/>
          <w:sz w:val="18"/>
        </w:rPr>
        <w:t>Liquidity.</w:t>
      </w:r>
    </w:p>
    <w:p>
      <w:pPr>
        <w:pStyle w:val="ListBullet"/>
        <w:numPr>
          <w:ilvl w:val="0"/>
          <w:numId w:val="1"/>
        </w:numPr>
        <w:rPr/>
      </w:pPr>
      <w:r>
        <w:rPr>
          <w:color w:val="172236"/>
          <w:sz w:val="18"/>
        </w:rPr>
        <w:t>Margin approximation where appropriate.</w:t>
      </w:r>
    </w:p>
    <w:p>
      <w:pPr>
        <w:pStyle w:val="ListBullet"/>
        <w:numPr>
          <w:ilvl w:val="0"/>
          <w:numId w:val="1"/>
        </w:numPr>
        <w:rPr/>
      </w:pPr>
      <w:r>
        <w:rPr>
          <w:color w:val="172236"/>
          <w:sz w:val="18"/>
        </w:rPr>
        <w:t>Tail-risk indicators.</w:t>
      </w:r>
    </w:p>
    <w:p>
      <w:pPr>
        <w:pStyle w:val="Normal"/>
        <w:rPr/>
      </w:pPr>
      <w:r>
        <w:rPr>
          <w:color w:val="172236"/>
          <w:sz w:val="19"/>
        </w:rPr>
        <w:t>VaR MUST not be the sole risk representation.</w:t>
      </w:r>
    </w:p>
    <w:p>
      <w:pPr>
        <w:pStyle w:val="Heading2"/>
        <w:pBdr>
          <w:left w:val="single" w:sz="14" w:space="4" w:color="8B5CF6"/>
        </w:pBdr>
        <w:rPr/>
      </w:pPr>
      <w:bookmarkStart w:id="133" w:name="__RefHeading___Toc6986_2150751134"/>
      <w:bookmarkEnd w:id="133"/>
      <w:r>
        <w:rPr>
          <w:rFonts w:ascii="Lato" w:hAnsi="Lato"/>
          <w:color w:val="172236"/>
          <w:sz w:val="29"/>
        </w:rPr>
        <w:t>17.3 Pre-Trade Checks</w:t>
      </w:r>
    </w:p>
    <w:p>
      <w:pPr>
        <w:pStyle w:val="ListBullet"/>
        <w:numPr>
          <w:ilvl w:val="0"/>
          <w:numId w:val="1"/>
        </w:numPr>
        <w:rPr/>
      </w:pPr>
      <w:r>
        <w:rPr>
          <w:color w:val="172236"/>
          <w:sz w:val="18"/>
        </w:rPr>
        <w:t>Max position.</w:t>
      </w:r>
    </w:p>
    <w:p>
      <w:pPr>
        <w:pStyle w:val="ListBullet"/>
        <w:numPr>
          <w:ilvl w:val="0"/>
          <w:numId w:val="1"/>
        </w:numPr>
        <w:rPr/>
      </w:pPr>
      <w:r>
        <w:rPr>
          <w:color w:val="172236"/>
          <w:sz w:val="18"/>
        </w:rPr>
        <w:t>Max premium at risk.</w:t>
      </w:r>
    </w:p>
    <w:p>
      <w:pPr>
        <w:pStyle w:val="ListBullet"/>
        <w:numPr>
          <w:ilvl w:val="0"/>
          <w:numId w:val="1"/>
        </w:numPr>
        <w:rPr/>
      </w:pPr>
      <w:r>
        <w:rPr>
          <w:color w:val="172236"/>
          <w:sz w:val="18"/>
        </w:rPr>
        <w:t>Max account loss.</w:t>
      </w:r>
    </w:p>
    <w:p>
      <w:pPr>
        <w:pStyle w:val="ListBullet"/>
        <w:numPr>
          <w:ilvl w:val="0"/>
          <w:numId w:val="1"/>
        </w:numPr>
        <w:rPr/>
      </w:pPr>
      <w:r>
        <w:rPr>
          <w:color w:val="172236"/>
          <w:sz w:val="18"/>
        </w:rPr>
        <w:t>Sector concentration.</w:t>
      </w:r>
    </w:p>
    <w:p>
      <w:pPr>
        <w:pStyle w:val="ListBullet"/>
        <w:numPr>
          <w:ilvl w:val="0"/>
          <w:numId w:val="1"/>
        </w:numPr>
        <w:rPr/>
      </w:pPr>
      <w:r>
        <w:rPr>
          <w:color w:val="172236"/>
          <w:sz w:val="18"/>
        </w:rPr>
        <w:t>Correlation.</w:t>
      </w:r>
    </w:p>
    <w:p>
      <w:pPr>
        <w:pStyle w:val="ListBullet"/>
        <w:numPr>
          <w:ilvl w:val="0"/>
          <w:numId w:val="1"/>
        </w:numPr>
        <w:rPr/>
      </w:pPr>
      <w:r>
        <w:rPr>
          <w:color w:val="172236"/>
          <w:sz w:val="18"/>
        </w:rPr>
        <w:t>Event proximity.</w:t>
      </w:r>
    </w:p>
    <w:p>
      <w:pPr>
        <w:pStyle w:val="ListBullet"/>
        <w:numPr>
          <w:ilvl w:val="0"/>
          <w:numId w:val="1"/>
        </w:numPr>
        <w:rPr/>
      </w:pPr>
      <w:r>
        <w:rPr>
          <w:color w:val="172236"/>
          <w:sz w:val="18"/>
        </w:rPr>
        <w:t>Spread width.</w:t>
      </w:r>
    </w:p>
    <w:p>
      <w:pPr>
        <w:pStyle w:val="ListBullet"/>
        <w:numPr>
          <w:ilvl w:val="0"/>
          <w:numId w:val="1"/>
        </w:numPr>
        <w:rPr/>
      </w:pPr>
      <w:r>
        <w:rPr>
          <w:color w:val="172236"/>
          <w:sz w:val="18"/>
        </w:rPr>
        <w:t>Volume/open interest.</w:t>
      </w:r>
    </w:p>
    <w:p>
      <w:pPr>
        <w:pStyle w:val="ListBullet"/>
        <w:numPr>
          <w:ilvl w:val="0"/>
          <w:numId w:val="1"/>
        </w:numPr>
        <w:rPr/>
      </w:pPr>
      <w:r>
        <w:rPr>
          <w:color w:val="172236"/>
          <w:sz w:val="18"/>
        </w:rPr>
        <w:t>Account permissions.</w:t>
      </w:r>
    </w:p>
    <w:p>
      <w:pPr>
        <w:pStyle w:val="ListBullet"/>
        <w:numPr>
          <w:ilvl w:val="0"/>
          <w:numId w:val="1"/>
        </w:numPr>
        <w:rPr/>
      </w:pPr>
      <w:r>
        <w:rPr>
          <w:color w:val="172236"/>
          <w:sz w:val="18"/>
        </w:rPr>
        <w:t>Market status.</w:t>
      </w:r>
    </w:p>
    <w:p>
      <w:pPr>
        <w:pStyle w:val="ListBullet"/>
        <w:numPr>
          <w:ilvl w:val="0"/>
          <w:numId w:val="1"/>
        </w:numPr>
        <w:rPr/>
      </w:pPr>
      <w:r>
        <w:rPr>
          <w:color w:val="172236"/>
          <w:sz w:val="18"/>
        </w:rPr>
        <w:t>Stale data.</w:t>
      </w:r>
    </w:p>
    <w:p>
      <w:pPr>
        <w:pStyle w:val="ListBullet"/>
        <w:numPr>
          <w:ilvl w:val="0"/>
          <w:numId w:val="1"/>
        </w:numPr>
        <w:rPr/>
      </w:pPr>
      <w:r>
        <w:rPr>
          <w:color w:val="172236"/>
          <w:sz w:val="18"/>
        </w:rPr>
        <w:t>Duplicate order.</w:t>
      </w:r>
    </w:p>
    <w:p>
      <w:pPr>
        <w:pStyle w:val="ListBullet"/>
        <w:numPr>
          <w:ilvl w:val="0"/>
          <w:numId w:val="1"/>
        </w:numPr>
        <w:rPr/>
      </w:pPr>
      <w:r>
        <w:rPr>
          <w:color w:val="172236"/>
          <w:sz w:val="18"/>
        </w:rPr>
        <w:t>Strategy conflict.</w:t>
      </w:r>
    </w:p>
    <w:p>
      <w:pPr>
        <w:pStyle w:val="ListBullet"/>
        <w:numPr>
          <w:ilvl w:val="0"/>
          <w:numId w:val="1"/>
        </w:numPr>
        <w:rPr/>
      </w:pPr>
      <w:r>
        <w:rPr>
          <w:color w:val="172236"/>
          <w:sz w:val="18"/>
        </w:rPr>
        <w:t>Daily loss limit.</w:t>
      </w:r>
    </w:p>
    <w:p>
      <w:pPr>
        <w:pStyle w:val="Heading2"/>
        <w:pBdr>
          <w:left w:val="single" w:sz="14" w:space="4" w:color="8B5CF6"/>
        </w:pBdr>
        <w:rPr/>
      </w:pPr>
      <w:bookmarkStart w:id="134" w:name="__RefHeading___Toc6988_2150751134"/>
      <w:bookmarkEnd w:id="134"/>
      <w:r>
        <w:rPr>
          <w:rFonts w:ascii="Lato" w:hAnsi="Lato"/>
          <w:color w:val="172236"/>
          <w:sz w:val="29"/>
        </w:rPr>
        <w:t>17.4 Journal</w:t>
      </w:r>
    </w:p>
    <w:p>
      <w:pPr>
        <w:pStyle w:val="Normal"/>
        <w:rPr/>
      </w:pPr>
      <w:r>
        <w:rPr>
          <w:color w:val="172236"/>
          <w:sz w:val="19"/>
        </w:rPr>
        <w:t>Automatic fields:</w:t>
      </w:r>
    </w:p>
    <w:p>
      <w:pPr>
        <w:pStyle w:val="ListBullet"/>
        <w:numPr>
          <w:ilvl w:val="0"/>
          <w:numId w:val="1"/>
        </w:numPr>
        <w:rPr/>
      </w:pPr>
      <w:r>
        <w:rPr>
          <w:color w:val="172236"/>
          <w:sz w:val="18"/>
        </w:rPr>
        <w:t>Order and fill.</w:t>
      </w:r>
    </w:p>
    <w:p>
      <w:pPr>
        <w:pStyle w:val="ListBullet"/>
        <w:numPr>
          <w:ilvl w:val="0"/>
          <w:numId w:val="1"/>
        </w:numPr>
        <w:rPr/>
      </w:pPr>
      <w:r>
        <w:rPr>
          <w:color w:val="172236"/>
          <w:sz w:val="18"/>
        </w:rPr>
        <w:t>Chart snapshot.</w:t>
      </w:r>
    </w:p>
    <w:p>
      <w:pPr>
        <w:pStyle w:val="ListBullet"/>
        <w:numPr>
          <w:ilvl w:val="0"/>
          <w:numId w:val="1"/>
        </w:numPr>
        <w:rPr/>
      </w:pPr>
      <w:r>
        <w:rPr>
          <w:color w:val="172236"/>
          <w:sz w:val="18"/>
        </w:rPr>
        <w:t>Market regime.</w:t>
      </w:r>
    </w:p>
    <w:p>
      <w:pPr>
        <w:pStyle w:val="ListBullet"/>
        <w:numPr>
          <w:ilvl w:val="0"/>
          <w:numId w:val="1"/>
        </w:numPr>
        <w:rPr/>
      </w:pPr>
      <w:r>
        <w:rPr>
          <w:color w:val="172236"/>
          <w:sz w:val="18"/>
        </w:rPr>
        <w:t>Options state.</w:t>
      </w:r>
    </w:p>
    <w:p>
      <w:pPr>
        <w:pStyle w:val="ListBullet"/>
        <w:numPr>
          <w:ilvl w:val="0"/>
          <w:numId w:val="1"/>
        </w:numPr>
        <w:rPr/>
      </w:pPr>
      <w:r>
        <w:rPr>
          <w:color w:val="172236"/>
          <w:sz w:val="18"/>
        </w:rPr>
        <w:t>Event state.</w:t>
      </w:r>
    </w:p>
    <w:p>
      <w:pPr>
        <w:pStyle w:val="ListBullet"/>
        <w:numPr>
          <w:ilvl w:val="0"/>
          <w:numId w:val="1"/>
        </w:numPr>
        <w:rPr/>
      </w:pPr>
      <w:r>
        <w:rPr>
          <w:color w:val="172236"/>
          <w:sz w:val="18"/>
        </w:rPr>
        <w:t>Strategy version.</w:t>
      </w:r>
    </w:p>
    <w:p>
      <w:pPr>
        <w:pStyle w:val="ListBullet"/>
        <w:numPr>
          <w:ilvl w:val="0"/>
          <w:numId w:val="1"/>
        </w:numPr>
        <w:rPr/>
      </w:pPr>
      <w:r>
        <w:rPr>
          <w:color w:val="172236"/>
          <w:sz w:val="18"/>
        </w:rPr>
        <w:t>Risk plan.</w:t>
      </w:r>
    </w:p>
    <w:p>
      <w:pPr>
        <w:pStyle w:val="ListBullet"/>
        <w:numPr>
          <w:ilvl w:val="0"/>
          <w:numId w:val="1"/>
        </w:numPr>
        <w:rPr/>
      </w:pPr>
      <w:r>
        <w:rPr>
          <w:color w:val="172236"/>
          <w:sz w:val="18"/>
        </w:rPr>
        <w:t>Outcome.</w:t>
      </w:r>
    </w:p>
    <w:p>
      <w:pPr>
        <w:pStyle w:val="Normal"/>
        <w:rPr/>
      </w:pPr>
      <w:r>
        <w:rPr>
          <w:color w:val="172236"/>
          <w:sz w:val="19"/>
        </w:rPr>
        <w:t>Manual fields:</w:t>
      </w:r>
    </w:p>
    <w:p>
      <w:pPr>
        <w:pStyle w:val="ListBullet"/>
        <w:numPr>
          <w:ilvl w:val="0"/>
          <w:numId w:val="1"/>
        </w:numPr>
        <w:rPr/>
      </w:pPr>
      <w:r>
        <w:rPr>
          <w:color w:val="172236"/>
          <w:sz w:val="18"/>
        </w:rPr>
        <w:t>Thesis.</w:t>
      </w:r>
    </w:p>
    <w:p>
      <w:pPr>
        <w:pStyle w:val="ListBullet"/>
        <w:numPr>
          <w:ilvl w:val="0"/>
          <w:numId w:val="1"/>
        </w:numPr>
        <w:rPr/>
      </w:pPr>
      <w:r>
        <w:rPr>
          <w:color w:val="172236"/>
          <w:sz w:val="18"/>
        </w:rPr>
        <w:t>Confidence.</w:t>
      </w:r>
    </w:p>
    <w:p>
      <w:pPr>
        <w:pStyle w:val="ListBullet"/>
        <w:numPr>
          <w:ilvl w:val="0"/>
          <w:numId w:val="1"/>
        </w:numPr>
        <w:rPr/>
      </w:pPr>
      <w:r>
        <w:rPr>
          <w:color w:val="172236"/>
          <w:sz w:val="18"/>
        </w:rPr>
        <w:t>Emotional state.</w:t>
      </w:r>
    </w:p>
    <w:p>
      <w:pPr>
        <w:pStyle w:val="ListBullet"/>
        <w:numPr>
          <w:ilvl w:val="0"/>
          <w:numId w:val="1"/>
        </w:numPr>
        <w:rPr/>
      </w:pPr>
      <w:r>
        <w:rPr>
          <w:color w:val="172236"/>
          <w:sz w:val="18"/>
        </w:rPr>
        <w:t>Mistake tags.</w:t>
      </w:r>
    </w:p>
    <w:p>
      <w:pPr>
        <w:pStyle w:val="ListBullet"/>
        <w:numPr>
          <w:ilvl w:val="0"/>
          <w:numId w:val="1"/>
        </w:numPr>
        <w:rPr/>
      </w:pPr>
      <w:r>
        <w:rPr>
          <w:color w:val="172236"/>
          <w:sz w:val="18"/>
        </w:rPr>
        <w:t>What would invalidate.</w:t>
      </w:r>
    </w:p>
    <w:p>
      <w:pPr>
        <w:pStyle w:val="ListBullet"/>
        <w:numPr>
          <w:ilvl w:val="0"/>
          <w:numId w:val="1"/>
        </w:numPr>
        <w:rPr/>
      </w:pPr>
      <w:r>
        <w:rPr>
          <w:color w:val="172236"/>
          <w:sz w:val="18"/>
        </w:rPr>
        <w:t>Review notes.</w:t>
      </w:r>
    </w:p>
    <w:p>
      <w:pPr>
        <w:pStyle w:val="Normal"/>
        <w:rPr/>
      </w:pPr>
      <w:r>
        <w:rPr>
          <w:color w:val="172236"/>
          <w:sz w:val="19"/>
        </w:rPr>
        <w:t>AI analysis SHOULD identify patterns but MUST not make unsupported psychological diagnoses.</w:t>
      </w:r>
    </w:p>
    <w:p>
      <w:pPr>
        <w:pStyle w:val="Heading2"/>
        <w:pBdr>
          <w:left w:val="single" w:sz="14" w:space="4" w:color="8B5CF6"/>
        </w:pBdr>
        <w:rPr/>
      </w:pPr>
      <w:bookmarkStart w:id="135" w:name="__RefHeading___Toc6990_2150751134"/>
      <w:bookmarkEnd w:id="135"/>
      <w:r>
        <w:rPr>
          <w:rFonts w:ascii="Lato" w:hAnsi="Lato"/>
          <w:color w:val="172236"/>
          <w:sz w:val="29"/>
        </w:rPr>
        <w:t>17.5 Execution Roadmap</w:t>
      </w:r>
    </w:p>
    <w:p>
      <w:pPr>
        <w:pStyle w:val="Normal"/>
        <w:rPr/>
      </w:pPr>
      <w:r>
        <w:rPr>
          <w:color w:val="172236"/>
          <w:sz w:val="19"/>
        </w:rPr>
        <w:t>Execution SHOULD be deferred until research and paper trading are reliable.</w:t>
      </w:r>
    </w:p>
    <w:p>
      <w:pPr>
        <w:pStyle w:val="Normal"/>
        <w:rPr/>
      </w:pPr>
      <w:r>
        <w:rPr>
          <w:color w:val="172236"/>
          <w:sz w:val="19"/>
        </w:rPr>
        <w:t>Stages:</w:t>
      </w:r>
    </w:p>
    <w:p>
      <w:pPr>
        <w:pStyle w:val="ListNumber"/>
        <w:numPr>
          <w:ilvl w:val="0"/>
          <w:numId w:val="4"/>
        </w:numPr>
        <w:rPr/>
      </w:pPr>
      <w:r>
        <w:rPr>
          <w:color w:val="172236"/>
          <w:sz w:val="18"/>
        </w:rPr>
        <w:t>Draft orders.</w:t>
      </w:r>
    </w:p>
    <w:p>
      <w:pPr>
        <w:pStyle w:val="ListNumber"/>
        <w:numPr>
          <w:ilvl w:val="0"/>
          <w:numId w:val="4"/>
        </w:numPr>
        <w:rPr/>
      </w:pPr>
      <w:r>
        <w:rPr>
          <w:color w:val="172236"/>
          <w:sz w:val="18"/>
        </w:rPr>
        <w:t>Paper execution.</w:t>
      </w:r>
    </w:p>
    <w:p>
      <w:pPr>
        <w:pStyle w:val="ListNumber"/>
        <w:numPr>
          <w:ilvl w:val="0"/>
          <w:numId w:val="4"/>
        </w:numPr>
        <w:rPr/>
      </w:pPr>
      <w:r>
        <w:rPr>
          <w:color w:val="172236"/>
          <w:sz w:val="18"/>
        </w:rPr>
        <w:t>Read-only broker account sync.</w:t>
      </w:r>
    </w:p>
    <w:p>
      <w:pPr>
        <w:pStyle w:val="ListNumber"/>
        <w:numPr>
          <w:ilvl w:val="0"/>
          <w:numId w:val="4"/>
        </w:numPr>
        <w:rPr/>
      </w:pPr>
      <w:r>
        <w:rPr>
          <w:color w:val="172236"/>
          <w:sz w:val="18"/>
        </w:rPr>
        <w:t>User-approved live orders.</w:t>
      </w:r>
    </w:p>
    <w:p>
      <w:pPr>
        <w:pStyle w:val="ListNumber"/>
        <w:numPr>
          <w:ilvl w:val="0"/>
          <w:numId w:val="4"/>
        </w:numPr>
        <w:rPr/>
      </w:pPr>
      <w:r>
        <w:rPr>
          <w:color w:val="172236"/>
          <w:sz w:val="18"/>
        </w:rPr>
        <w:t>Rule-based automation with approval.</w:t>
      </w:r>
    </w:p>
    <w:p>
      <w:pPr>
        <w:pStyle w:val="ListNumber"/>
        <w:numPr>
          <w:ilvl w:val="0"/>
          <w:numId w:val="4"/>
        </w:numPr>
        <w:rPr/>
      </w:pPr>
      <w:r>
        <w:rPr>
          <w:color w:val="172236"/>
          <w:sz w:val="18"/>
        </w:rPr>
        <w:t>Limited unattended automation with strict controls.</w:t>
      </w:r>
    </w:p>
    <w:p>
      <w:pPr>
        <w:pStyle w:val="Normal"/>
        <w:rPr/>
      </w:pPr>
      <w:r>
        <w:rPr>
          <w:color w:val="172236"/>
          <w:sz w:val="19"/>
        </w:rPr>
        <w:t>Every order workflow MUST use idempotency keys and reconcile broker state after uncertain outcomes.</w:t>
      </w:r>
    </w:p>
    <w:p>
      <w:pPr>
        <w:pStyle w:val="Normal"/>
        <w:spacing w:before="0" w:after="0"/>
        <w:jc w:val="center"/>
        <w:rPr/>
      </w:pPr>
      <w:r>
        <w:rPr/>
        <w:drawing>
          <wp:inline distT="0" distB="0" distL="0" distR="0">
            <wp:extent cx="6546850" cy="8174990"/>
            <wp:effectExtent l="0" t="0" r="0" b="0"/>
            <wp:docPr id="11" name="Picture 11" descr="Image: image11.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title=""/>
                    <pic:cNvPicPr>
                      <a:picLocks noChangeAspect="1" noChangeArrowheads="1"/>
                    </pic:cNvPicPr>
                  </pic:nvPicPr>
                  <pic:blipFill>
                    <a:blip r:embed="rId36"/>
                    <a:stretch>
                      <a:fillRect/>
                    </a:stretch>
                  </pic:blipFill>
                  <pic:spPr bwMode="auto">
                    <a:xfrm>
                      <a:off x="0" y="0"/>
                      <a:ext cx="6546850" cy="8174990"/>
                    </a:xfrm>
                    <a:prstGeom prst="rect">
                      <a:avLst/>
                    </a:prstGeom>
                    <a:noFill/>
                  </pic:spPr>
                </pic:pic>
              </a:graphicData>
            </a:graphic>
          </wp:inline>
        </w:drawing>
      </w:r>
    </w:p>
    <w:p>
      <w:pPr>
        <w:pStyle w:val="Normal"/>
        <w:rPr/>
      </w:pPr>
      <w:r>
        <w:rPr/>
      </w:r>
    </w:p>
    <w:p>
      <w:pPr>
        <w:sectPr>
          <w:headerReference w:type="even" r:id="rId37"/>
          <w:headerReference w:type="default" r:id="rId38"/>
          <w:headerReference w:type="first" r:id="rId39"/>
          <w:footerReference w:type="even" r:id="rId40"/>
          <w:footerReference w:type="default" r:id="rId41"/>
          <w:footerReference w:type="first" r:id="rId42"/>
          <w:type w:val="nextPage"/>
          <w:pgSz w:w="12240" w:h="15840"/>
          <w:pgMar w:left="965" w:right="965" w:gutter="0" w:header="360" w:top="893" w:footer="360" w:bottom="835"/>
          <w:pgNumType w:fmt="decimal"/>
          <w:formProt w:val="false"/>
          <w:textDirection w:val="lrTb"/>
          <w:docGrid w:type="default" w:linePitch="312" w:charSpace="4096"/>
        </w:sectPr>
      </w:pPr>
      <w:r>
        <w:br w:type="page"/>
      </w:r>
    </w:p>
    <w:p>
      <w:pPr>
        <w:pStyle w:val="Heading1"/>
        <w:pBdr>
          <w:bottom w:val="single" w:sz="12" w:space="5" w:color="33C7F2"/>
        </w:pBdr>
        <w:rPr/>
      </w:pPr>
      <w:bookmarkStart w:id="136" w:name="__RefHeading___Toc6992_2150751134"/>
      <w:bookmarkEnd w:id="136"/>
      <w:r>
        <w:rPr>
          <w:rFonts w:ascii="Lato" w:hAnsi="Lato"/>
          <w:color w:val="172236"/>
          <w:sz w:val="42"/>
        </w:rPr>
        <w:t>18. System Architecture</w:t>
      </w:r>
    </w:p>
    <w:p>
      <w:pPr>
        <w:pStyle w:val="Normal"/>
        <w:spacing w:before="140" w:after="20"/>
        <w:jc w:val="center"/>
        <w:rPr/>
      </w:pPr>
      <w:r>
        <w:rPr/>
        <w:drawing>
          <wp:inline distT="0" distB="0" distL="0" distR="0">
            <wp:extent cx="6172200" cy="3968750"/>
            <wp:effectExtent l="0" t="0" r="0" b="0"/>
            <wp:docPr id="12" name="Picture 12" descr="Image: image12.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title=""/>
                    <pic:cNvPicPr>
                      <a:picLocks noChangeAspect="1" noChangeArrowheads="1"/>
                    </pic:cNvPicPr>
                  </pic:nvPicPr>
                  <pic:blipFill>
                    <a:blip r:embed="rId43"/>
                    <a:stretch>
                      <a:fillRect/>
                    </a:stretch>
                  </pic:blipFill>
                  <pic:spPr bwMode="auto">
                    <a:xfrm>
                      <a:off x="0" y="0"/>
                      <a:ext cx="6172200" cy="3968750"/>
                    </a:xfrm>
                    <a:prstGeom prst="rect">
                      <a:avLst/>
                    </a:prstGeom>
                    <a:noFill/>
                  </pic:spPr>
                </pic:pic>
              </a:graphicData>
            </a:graphic>
          </wp:inline>
        </w:drawing>
      </w:r>
    </w:p>
    <w:p>
      <w:pPr>
        <w:pStyle w:val="CaptionCustom"/>
        <w:rPr/>
      </w:pPr>
      <w:r>
        <w:rPr/>
        <w:t>Figure 6 - Reference platform architecture for the desktop, cloud, and on-premises product.</w:t>
      </w:r>
    </w:p>
    <w:p>
      <w:pPr>
        <w:pStyle w:val="Heading2"/>
        <w:pBdr>
          <w:left w:val="single" w:sz="14" w:space="4" w:color="8B5CF6"/>
        </w:pBdr>
        <w:rPr/>
      </w:pPr>
      <w:bookmarkStart w:id="137" w:name="__RefHeading___Toc6994_2150751134"/>
      <w:bookmarkEnd w:id="137"/>
      <w:r>
        <w:rPr>
          <w:rFonts w:ascii="Lato" w:hAnsi="Lato"/>
          <w:color w:val="172236"/>
          <w:sz w:val="29"/>
        </w:rPr>
        <w:t>18.1 Recommended Architecture Style</w:t>
      </w:r>
    </w:p>
    <w:p>
      <w:pPr>
        <w:pStyle w:val="Normal"/>
        <w:rPr/>
      </w:pPr>
      <w:r>
        <w:rPr>
          <w:color w:val="172236"/>
          <w:sz w:val="19"/>
        </w:rPr>
        <w:t>Begin as a modular monolith with isolated crates and process boundaries where risk or scale justifies them.</w:t>
      </w:r>
    </w:p>
    <w:p>
      <w:pPr>
        <w:pStyle w:val="Normal"/>
        <w:rPr/>
      </w:pPr>
      <w:r>
        <w:rPr>
          <w:color w:val="172236"/>
          <w:sz w:val="19"/>
        </w:rPr>
        <w:t>Primary processes:</w:t>
      </w:r>
    </w:p>
    <w:p>
      <w:pPr>
        <w:pStyle w:val="ListNumber"/>
        <w:numPr>
          <w:ilvl w:val="0"/>
          <w:numId w:val="4"/>
        </w:numPr>
        <w:rPr/>
      </w:pPr>
      <w:r>
        <w:rPr>
          <w:b/>
          <w:color w:val="172236"/>
          <w:sz w:val="18"/>
        </w:rPr>
        <w:t>Desktop UI process</w:t>
      </w:r>
      <w:r>
        <w:rPr>
          <w:color w:val="172236"/>
          <w:sz w:val="18"/>
        </w:rPr>
        <w:t xml:space="preserve"> — Tauri WebView running Svelte.</w:t>
      </w:r>
    </w:p>
    <w:p>
      <w:pPr>
        <w:pStyle w:val="ListNumber"/>
        <w:numPr>
          <w:ilvl w:val="0"/>
          <w:numId w:val="4"/>
        </w:numPr>
        <w:rPr/>
      </w:pPr>
      <w:r>
        <w:rPr>
          <w:b/>
          <w:color w:val="172236"/>
          <w:sz w:val="18"/>
        </w:rPr>
        <w:t>Trusted Rust core</w:t>
      </w:r>
      <w:r>
        <w:rPr>
          <w:color w:val="172236"/>
          <w:sz w:val="18"/>
        </w:rPr>
        <w:t xml:space="preserve"> — Tauri commands, local orchestration, security, domain services.</w:t>
      </w:r>
    </w:p>
    <w:p>
      <w:pPr>
        <w:pStyle w:val="ListNumber"/>
        <w:numPr>
          <w:ilvl w:val="0"/>
          <w:numId w:val="4"/>
        </w:numPr>
        <w:rPr/>
      </w:pPr>
      <w:r>
        <w:rPr>
          <w:b/>
          <w:color w:val="172236"/>
          <w:sz w:val="18"/>
        </w:rPr>
        <w:t>Ingestion workers</w:t>
      </w:r>
      <w:r>
        <w:rPr>
          <w:color w:val="172236"/>
          <w:sz w:val="18"/>
        </w:rPr>
        <w:t xml:space="preserve"> — provider adapters and schedulers.</w:t>
      </w:r>
    </w:p>
    <w:p>
      <w:pPr>
        <w:pStyle w:val="ListNumber"/>
        <w:numPr>
          <w:ilvl w:val="0"/>
          <w:numId w:val="4"/>
        </w:numPr>
        <w:rPr/>
      </w:pPr>
      <w:r>
        <w:rPr>
          <w:b/>
          <w:color w:val="172236"/>
          <w:sz w:val="18"/>
        </w:rPr>
        <w:t>Quant worker</w:t>
      </w:r>
      <w:r>
        <w:rPr>
          <w:color w:val="172236"/>
          <w:sz w:val="18"/>
        </w:rPr>
        <w:t xml:space="preserve"> — backtests and simulation jobs.</w:t>
      </w:r>
    </w:p>
    <w:p>
      <w:pPr>
        <w:pStyle w:val="ListNumber"/>
        <w:numPr>
          <w:ilvl w:val="0"/>
          <w:numId w:val="4"/>
        </w:numPr>
        <w:rPr/>
      </w:pPr>
      <w:r>
        <w:rPr>
          <w:b/>
          <w:color w:val="172236"/>
          <w:sz w:val="18"/>
        </w:rPr>
        <w:t>GPU renderer/compute module</w:t>
      </w:r>
      <w:r>
        <w:rPr>
          <w:color w:val="172236"/>
          <w:sz w:val="18"/>
        </w:rPr>
        <w:t xml:space="preserve"> — wgpu.</w:t>
      </w:r>
    </w:p>
    <w:p>
      <w:pPr>
        <w:pStyle w:val="ListNumber"/>
        <w:numPr>
          <w:ilvl w:val="0"/>
          <w:numId w:val="4"/>
        </w:numPr>
        <w:rPr/>
      </w:pPr>
      <w:r>
        <w:rPr>
          <w:b/>
          <w:color w:val="172236"/>
          <w:sz w:val="18"/>
        </w:rPr>
        <w:t>Optional local AI runtime connector.</w:t>
      </w:r>
    </w:p>
    <w:p>
      <w:pPr>
        <w:pStyle w:val="ListNumber"/>
        <w:numPr>
          <w:ilvl w:val="0"/>
          <w:numId w:val="4"/>
        </w:numPr>
        <w:rPr/>
      </w:pPr>
      <w:r>
        <w:rPr>
          <w:b/>
          <w:color w:val="172236"/>
          <w:sz w:val="18"/>
        </w:rPr>
        <w:t>Optional cloud control plane.</w:t>
      </w:r>
    </w:p>
    <w:p>
      <w:pPr>
        <w:pStyle w:val="Heading2"/>
        <w:pBdr>
          <w:left w:val="single" w:sz="14" w:space="4" w:color="8B5CF6"/>
        </w:pBdr>
        <w:rPr/>
      </w:pPr>
      <w:bookmarkStart w:id="138" w:name="__RefHeading___Toc6996_2150751134"/>
      <w:bookmarkEnd w:id="138"/>
      <w:r>
        <w:rPr>
          <w:rFonts w:ascii="Lato" w:hAnsi="Lato"/>
          <w:color w:val="172236"/>
          <w:sz w:val="29"/>
        </w:rPr>
        <w:t>18.2 High-Level Components</w:t>
      </w:r>
    </w:p>
    <w:p>
      <w:pPr>
        <w:pStyle w:val="Normal"/>
        <w:keepNext w:val="true"/>
        <w:pBdr>
          <w:left w:val="single" w:sz="18" w:space="4" w:color="8B5CF6"/>
        </w:pBdr>
        <w:shd w:fill="0D1C32"/>
        <w:spacing w:before="120" w:after="0"/>
        <w:rPr/>
      </w:pPr>
      <w:r>
        <w:rPr>
          <w:rFonts w:ascii="Inter Display" w:hAnsi="Inter Display"/>
          <w:b/>
          <w:color w:val="33C7F2"/>
          <w:sz w:val="14"/>
        </w:rPr>
        <w:t>TEXT</w:t>
      </w:r>
    </w:p>
    <w:p>
      <w:pPr>
        <w:pStyle w:val="CodeBlock"/>
        <w:keepLines/>
        <w:pBdr>
          <w:left w:val="single" w:sz="18" w:space="4" w:color="8B5CF6"/>
        </w:pBdr>
        <w:shd w:fill="0D1C32"/>
        <w:spacing w:lineRule="auto" w:line="240" w:before="0" w:after="140"/>
        <w:rPr/>
      </w:pPr>
      <w:r>
        <w:rPr>
          <w:color w:val="D9E5F5"/>
          <w:sz w:val="14"/>
        </w:rPr>
        <w:t>┌──────────────────────────────────────────────────────────────────────┐</w:t>
      </w:r>
      <w:r>
        <w:rPr>
          <w:color w:val="D9E5F5"/>
          <w:sz w:val="14"/>
        </w:rPr>
        <w:br/>
        <w:t>│ PRISMATIK Desktop / Web                                             │</w:t>
        <w:br/>
        <w:t>│ Svelte 5 + TypeScript + SvelteKit + Design System                   │</w:t>
        <w:br/>
        <w:t>└──────────────────────────────┬───────────────────────────────────────┘</w:t>
        <w:br/>
        <w:t xml:space="preserve">                               │ Typed IPC / HTTPS / WebSocket</w:t>
        <w:br/>
        <w:t>┌──────────────────────────────▼───────────────────────────────────────┐</w:t>
        <w:br/>
        <w:t>│ Rust Application Core                                               │</w:t>
        <w:br/>
        <w:t>│ Identity | Workspaces | Market | Options | Crypto | Events | Risk   │</w:t>
        <w:br/>
        <w:t>│ Strategies | Simulation | Portfolio | Journal | AI Tool Gateway     │</w:t>
        <w:br/>
        <w:t>└─────────────┬────────────────┬──────────────────┬────────────────────┘</w:t>
        <w:br/>
        <w:t xml:space="preserve">              │                │                  │</w:t>
        <w:br/>
        <w:t xml:space="preserve">       ┌──────▼───────┐ ┌─────▼────────┐ ┌──────▼────────┐</w:t>
        <w:br/>
        <w:t xml:space="preserve">       │ Data Gateway │ │ Quant Engine │ │ Security Core │</w:t>
        <w:br/>
        <w:t xml:space="preserve">       │ Adapters     │ │ Backtest/MC  │ │ Keys/Policy  │</w:t>
        <w:br/>
        <w:t xml:space="preserve">       └──────┬───────┘ └─────┬────────┘ └──────┬────────┘</w:t>
        <w:br/>
        <w:t xml:space="preserve">              │               │                 │</w:t>
        <w:br/>
        <w:t>┌─────────────▼────────────────▼─────────────────▼─────────────────────┐</w:t>
        <w:br/>
        <w:t>│ PostgreSQL | ClickHouse | DuckDB | SQLite | Arrow/Parquet | Cache   │</w:t>
        <w:br/>
        <w:t>└──────────────────────────────────────────────────────────────────────┘</w:t>
      </w:r>
    </w:p>
    <w:p>
      <w:pPr>
        <w:pStyle w:val="Heading2"/>
        <w:pBdr>
          <w:left w:val="single" w:sz="14" w:space="4" w:color="8B5CF6"/>
        </w:pBdr>
        <w:rPr/>
      </w:pPr>
      <w:bookmarkStart w:id="139" w:name="__RefHeading___Toc6998_2150751134"/>
      <w:bookmarkEnd w:id="139"/>
      <w:r>
        <w:rPr>
          <w:rFonts w:ascii="Lato" w:hAnsi="Lato"/>
          <w:color w:val="172236"/>
          <w:sz w:val="29"/>
        </w:rPr>
        <w:t>18.3 Rust Responsibilities</w:t>
      </w:r>
    </w:p>
    <w:p>
      <w:pPr>
        <w:pStyle w:val="ListBullet"/>
        <w:numPr>
          <w:ilvl w:val="0"/>
          <w:numId w:val="1"/>
        </w:numPr>
        <w:rPr/>
      </w:pPr>
      <w:r>
        <w:rPr>
          <w:color w:val="172236"/>
          <w:sz w:val="18"/>
        </w:rPr>
        <w:t>Domain models.</w:t>
      </w:r>
    </w:p>
    <w:p>
      <w:pPr>
        <w:pStyle w:val="ListBullet"/>
        <w:numPr>
          <w:ilvl w:val="0"/>
          <w:numId w:val="1"/>
        </w:numPr>
        <w:rPr/>
      </w:pPr>
      <w:r>
        <w:rPr>
          <w:color w:val="172236"/>
          <w:sz w:val="18"/>
        </w:rPr>
        <w:t>Provider clients.</w:t>
      </w:r>
    </w:p>
    <w:p>
      <w:pPr>
        <w:pStyle w:val="ListBullet"/>
        <w:numPr>
          <w:ilvl w:val="0"/>
          <w:numId w:val="1"/>
        </w:numPr>
        <w:rPr/>
      </w:pPr>
      <w:r>
        <w:rPr>
          <w:color w:val="172236"/>
          <w:sz w:val="18"/>
        </w:rPr>
        <w:t>Authentication and authorization.</w:t>
      </w:r>
    </w:p>
    <w:p>
      <w:pPr>
        <w:pStyle w:val="ListBullet"/>
        <w:numPr>
          <w:ilvl w:val="0"/>
          <w:numId w:val="1"/>
        </w:numPr>
        <w:rPr/>
      </w:pPr>
      <w:r>
        <w:rPr>
          <w:color w:val="172236"/>
          <w:sz w:val="18"/>
        </w:rPr>
        <w:t>Secret management.</w:t>
      </w:r>
    </w:p>
    <w:p>
      <w:pPr>
        <w:pStyle w:val="ListBullet"/>
        <w:numPr>
          <w:ilvl w:val="0"/>
          <w:numId w:val="1"/>
        </w:numPr>
        <w:rPr/>
      </w:pPr>
      <w:r>
        <w:rPr>
          <w:color w:val="172236"/>
          <w:sz w:val="18"/>
        </w:rPr>
        <w:t>Persistence.</w:t>
      </w:r>
    </w:p>
    <w:p>
      <w:pPr>
        <w:pStyle w:val="ListBullet"/>
        <w:numPr>
          <w:ilvl w:val="0"/>
          <w:numId w:val="1"/>
        </w:numPr>
        <w:rPr/>
      </w:pPr>
      <w:r>
        <w:rPr>
          <w:color w:val="172236"/>
          <w:sz w:val="18"/>
        </w:rPr>
        <w:t>Scheduling.</w:t>
      </w:r>
    </w:p>
    <w:p>
      <w:pPr>
        <w:pStyle w:val="ListBullet"/>
        <w:numPr>
          <w:ilvl w:val="0"/>
          <w:numId w:val="1"/>
        </w:numPr>
        <w:rPr/>
      </w:pPr>
      <w:r>
        <w:rPr>
          <w:color w:val="172236"/>
          <w:sz w:val="18"/>
        </w:rPr>
        <w:t>Event processing.</w:t>
      </w:r>
    </w:p>
    <w:p>
      <w:pPr>
        <w:pStyle w:val="ListBullet"/>
        <w:numPr>
          <w:ilvl w:val="0"/>
          <w:numId w:val="1"/>
        </w:numPr>
        <w:rPr/>
      </w:pPr>
      <w:r>
        <w:rPr>
          <w:color w:val="172236"/>
          <w:sz w:val="18"/>
        </w:rPr>
        <w:t>Quantitative engine.</w:t>
      </w:r>
    </w:p>
    <w:p>
      <w:pPr>
        <w:pStyle w:val="ListBullet"/>
        <w:numPr>
          <w:ilvl w:val="0"/>
          <w:numId w:val="1"/>
        </w:numPr>
        <w:rPr/>
      </w:pPr>
      <w:r>
        <w:rPr>
          <w:color w:val="172236"/>
          <w:sz w:val="18"/>
        </w:rPr>
        <w:t>Risk engine.</w:t>
      </w:r>
    </w:p>
    <w:p>
      <w:pPr>
        <w:pStyle w:val="ListBullet"/>
        <w:numPr>
          <w:ilvl w:val="0"/>
          <w:numId w:val="1"/>
        </w:numPr>
        <w:rPr/>
      </w:pPr>
      <w:r>
        <w:rPr>
          <w:color w:val="172236"/>
          <w:sz w:val="18"/>
        </w:rPr>
        <w:t>Order orchestration.</w:t>
      </w:r>
    </w:p>
    <w:p>
      <w:pPr>
        <w:pStyle w:val="ListBullet"/>
        <w:numPr>
          <w:ilvl w:val="0"/>
          <w:numId w:val="1"/>
        </w:numPr>
        <w:rPr/>
      </w:pPr>
      <w:r>
        <w:rPr>
          <w:color w:val="172236"/>
          <w:sz w:val="18"/>
        </w:rPr>
        <w:t>File import/export.</w:t>
      </w:r>
    </w:p>
    <w:p>
      <w:pPr>
        <w:pStyle w:val="ListBullet"/>
        <w:numPr>
          <w:ilvl w:val="0"/>
          <w:numId w:val="1"/>
        </w:numPr>
        <w:rPr/>
      </w:pPr>
      <w:r>
        <w:rPr>
          <w:color w:val="172236"/>
          <w:sz w:val="18"/>
        </w:rPr>
        <w:t>Cryptography.</w:t>
      </w:r>
    </w:p>
    <w:p>
      <w:pPr>
        <w:pStyle w:val="ListBullet"/>
        <w:numPr>
          <w:ilvl w:val="0"/>
          <w:numId w:val="1"/>
        </w:numPr>
        <w:rPr/>
      </w:pPr>
      <w:r>
        <w:rPr>
          <w:color w:val="172236"/>
          <w:sz w:val="18"/>
        </w:rPr>
        <w:t>Audit.</w:t>
      </w:r>
    </w:p>
    <w:p>
      <w:pPr>
        <w:pStyle w:val="ListBullet"/>
        <w:numPr>
          <w:ilvl w:val="0"/>
          <w:numId w:val="1"/>
        </w:numPr>
        <w:rPr/>
      </w:pPr>
      <w:r>
        <w:rPr>
          <w:color w:val="172236"/>
          <w:sz w:val="18"/>
        </w:rPr>
        <w:t>Native notifications.</w:t>
      </w:r>
    </w:p>
    <w:p>
      <w:pPr>
        <w:pStyle w:val="ListBullet"/>
        <w:numPr>
          <w:ilvl w:val="0"/>
          <w:numId w:val="1"/>
        </w:numPr>
        <w:rPr/>
      </w:pPr>
      <w:r>
        <w:rPr>
          <w:color w:val="172236"/>
          <w:sz w:val="18"/>
        </w:rPr>
        <w:t>Auto-update verification.</w:t>
      </w:r>
    </w:p>
    <w:p>
      <w:pPr>
        <w:pStyle w:val="ListBullet"/>
        <w:numPr>
          <w:ilvl w:val="0"/>
          <w:numId w:val="1"/>
        </w:numPr>
        <w:rPr/>
      </w:pPr>
      <w:r>
        <w:rPr>
          <w:color w:val="172236"/>
          <w:sz w:val="18"/>
        </w:rPr>
        <w:t>Plugin validation.</w:t>
      </w:r>
    </w:p>
    <w:p>
      <w:pPr>
        <w:pStyle w:val="ListBullet"/>
        <w:numPr>
          <w:ilvl w:val="0"/>
          <w:numId w:val="1"/>
        </w:numPr>
        <w:rPr/>
      </w:pPr>
      <w:r>
        <w:rPr>
          <w:color w:val="172236"/>
          <w:sz w:val="18"/>
        </w:rPr>
        <w:t>System health.</w:t>
      </w:r>
    </w:p>
    <w:p>
      <w:pPr>
        <w:pStyle w:val="Heading2"/>
        <w:pBdr>
          <w:left w:val="single" w:sz="14" w:space="4" w:color="8B5CF6"/>
        </w:pBdr>
        <w:rPr/>
      </w:pPr>
      <w:bookmarkStart w:id="140" w:name="__RefHeading___Toc7000_2150751134"/>
      <w:bookmarkEnd w:id="140"/>
      <w:r>
        <w:rPr>
          <w:rFonts w:ascii="Lato" w:hAnsi="Lato"/>
          <w:color w:val="172236"/>
          <w:sz w:val="29"/>
        </w:rPr>
        <w:t>18.4 TypeScript/Svelte Responsibilities</w:t>
      </w:r>
    </w:p>
    <w:p>
      <w:pPr>
        <w:pStyle w:val="ListBullet"/>
        <w:numPr>
          <w:ilvl w:val="0"/>
          <w:numId w:val="1"/>
        </w:numPr>
        <w:rPr/>
      </w:pPr>
      <w:r>
        <w:rPr>
          <w:color w:val="172236"/>
          <w:sz w:val="18"/>
        </w:rPr>
        <w:t>Presentation.</w:t>
      </w:r>
    </w:p>
    <w:p>
      <w:pPr>
        <w:pStyle w:val="ListBullet"/>
        <w:numPr>
          <w:ilvl w:val="0"/>
          <w:numId w:val="1"/>
        </w:numPr>
        <w:rPr/>
      </w:pPr>
      <w:r>
        <w:rPr>
          <w:color w:val="172236"/>
          <w:sz w:val="18"/>
        </w:rPr>
        <w:t>Interaction.</w:t>
      </w:r>
    </w:p>
    <w:p>
      <w:pPr>
        <w:pStyle w:val="ListBullet"/>
        <w:numPr>
          <w:ilvl w:val="0"/>
          <w:numId w:val="1"/>
        </w:numPr>
        <w:rPr/>
      </w:pPr>
      <w:r>
        <w:rPr>
          <w:color w:val="172236"/>
          <w:sz w:val="18"/>
        </w:rPr>
        <w:t>Layout.</w:t>
      </w:r>
    </w:p>
    <w:p>
      <w:pPr>
        <w:pStyle w:val="ListBullet"/>
        <w:numPr>
          <w:ilvl w:val="0"/>
          <w:numId w:val="1"/>
        </w:numPr>
        <w:rPr/>
      </w:pPr>
      <w:r>
        <w:rPr>
          <w:color w:val="172236"/>
          <w:sz w:val="18"/>
        </w:rPr>
        <w:t>Accessibility.</w:t>
      </w:r>
    </w:p>
    <w:p>
      <w:pPr>
        <w:pStyle w:val="ListBullet"/>
        <w:numPr>
          <w:ilvl w:val="0"/>
          <w:numId w:val="1"/>
        </w:numPr>
        <w:rPr/>
      </w:pPr>
      <w:r>
        <w:rPr>
          <w:color w:val="172236"/>
          <w:sz w:val="18"/>
        </w:rPr>
        <w:t>Local ephemeral UI state.</w:t>
      </w:r>
    </w:p>
    <w:p>
      <w:pPr>
        <w:pStyle w:val="ListBullet"/>
        <w:numPr>
          <w:ilvl w:val="0"/>
          <w:numId w:val="1"/>
        </w:numPr>
        <w:rPr/>
      </w:pPr>
      <w:r>
        <w:rPr>
          <w:color w:val="172236"/>
          <w:sz w:val="18"/>
        </w:rPr>
        <w:t>Typed API consumption.</w:t>
      </w:r>
    </w:p>
    <w:p>
      <w:pPr>
        <w:pStyle w:val="ListBullet"/>
        <w:numPr>
          <w:ilvl w:val="0"/>
          <w:numId w:val="1"/>
        </w:numPr>
        <w:rPr/>
      </w:pPr>
      <w:r>
        <w:rPr>
          <w:color w:val="172236"/>
          <w:sz w:val="18"/>
        </w:rPr>
        <w:t>Visualization orchestration.</w:t>
      </w:r>
    </w:p>
    <w:p>
      <w:pPr>
        <w:pStyle w:val="ListBullet"/>
        <w:numPr>
          <w:ilvl w:val="0"/>
          <w:numId w:val="1"/>
        </w:numPr>
        <w:rPr/>
      </w:pPr>
      <w:r>
        <w:rPr>
          <w:color w:val="172236"/>
          <w:sz w:val="18"/>
        </w:rPr>
        <w:t>Form validation in addition to backend validation.</w:t>
      </w:r>
    </w:p>
    <w:p>
      <w:pPr>
        <w:pStyle w:val="ListBullet"/>
        <w:numPr>
          <w:ilvl w:val="0"/>
          <w:numId w:val="1"/>
        </w:numPr>
        <w:rPr/>
      </w:pPr>
      <w:r>
        <w:rPr>
          <w:color w:val="172236"/>
          <w:sz w:val="18"/>
        </w:rPr>
        <w:t>Offline UI.</w:t>
      </w:r>
    </w:p>
    <w:p>
      <w:pPr>
        <w:pStyle w:val="ListBullet"/>
        <w:numPr>
          <w:ilvl w:val="0"/>
          <w:numId w:val="1"/>
        </w:numPr>
        <w:rPr/>
      </w:pPr>
      <w:r>
        <w:rPr>
          <w:color w:val="172236"/>
          <w:sz w:val="18"/>
        </w:rPr>
        <w:t>Command palette.</w:t>
      </w:r>
    </w:p>
    <w:p>
      <w:pPr>
        <w:pStyle w:val="ListBullet"/>
        <w:numPr>
          <w:ilvl w:val="0"/>
          <w:numId w:val="1"/>
        </w:numPr>
        <w:rPr/>
      </w:pPr>
      <w:r>
        <w:rPr>
          <w:color w:val="172236"/>
          <w:sz w:val="18"/>
        </w:rPr>
        <w:t>Workspace composition.</w:t>
      </w:r>
    </w:p>
    <w:p>
      <w:pPr>
        <w:pStyle w:val="Normal"/>
        <w:rPr/>
      </w:pPr>
      <w:r>
        <w:rPr>
          <w:color w:val="172236"/>
          <w:sz w:val="19"/>
        </w:rPr>
        <w:t>TypeScript MUST not own authoritative trading, authorization, risk, or cryptographic decisions.</w:t>
      </w:r>
    </w:p>
    <w:p>
      <w:pPr>
        <w:pStyle w:val="Heading2"/>
        <w:pBdr>
          <w:left w:val="single" w:sz="14" w:space="4" w:color="8B5CF6"/>
        </w:pBdr>
        <w:rPr/>
      </w:pPr>
      <w:bookmarkStart w:id="141" w:name="__RefHeading___Toc7002_2150751134"/>
      <w:bookmarkEnd w:id="141"/>
      <w:r>
        <w:rPr>
          <w:rFonts w:ascii="Lato" w:hAnsi="Lato"/>
          <w:color w:val="172236"/>
          <w:sz w:val="29"/>
        </w:rPr>
        <w:t>18.5 wgpu Responsibilities</w:t>
      </w:r>
    </w:p>
    <w:p>
      <w:pPr>
        <w:pStyle w:val="Normal"/>
        <w:rPr/>
      </w:pPr>
      <w:r>
        <w:rPr>
          <w:color w:val="172236"/>
          <w:sz w:val="19"/>
        </w:rPr>
        <w:t>Use wgpu selectively for:</w:t>
      </w:r>
    </w:p>
    <w:p>
      <w:pPr>
        <w:pStyle w:val="ListBullet"/>
        <w:numPr>
          <w:ilvl w:val="0"/>
          <w:numId w:val="1"/>
        </w:numPr>
        <w:rPr/>
      </w:pPr>
      <w:r>
        <w:rPr>
          <w:color w:val="172236"/>
          <w:sz w:val="18"/>
        </w:rPr>
        <w:t>Large candlestick datasets.</w:t>
      </w:r>
    </w:p>
    <w:p>
      <w:pPr>
        <w:pStyle w:val="ListBullet"/>
        <w:numPr>
          <w:ilvl w:val="0"/>
          <w:numId w:val="1"/>
        </w:numPr>
        <w:rPr/>
      </w:pPr>
      <w:r>
        <w:rPr>
          <w:color w:val="172236"/>
          <w:sz w:val="18"/>
        </w:rPr>
        <w:t>Order-flow heatmaps.</w:t>
      </w:r>
    </w:p>
    <w:p>
      <w:pPr>
        <w:pStyle w:val="ListBullet"/>
        <w:numPr>
          <w:ilvl w:val="0"/>
          <w:numId w:val="1"/>
        </w:numPr>
        <w:rPr/>
      </w:pPr>
      <w:r>
        <w:rPr>
          <w:color w:val="172236"/>
          <w:sz w:val="18"/>
        </w:rPr>
        <w:t>Volatility surfaces.</w:t>
      </w:r>
    </w:p>
    <w:p>
      <w:pPr>
        <w:pStyle w:val="ListBullet"/>
        <w:numPr>
          <w:ilvl w:val="0"/>
          <w:numId w:val="1"/>
        </w:numPr>
        <w:rPr/>
      </w:pPr>
      <w:r>
        <w:rPr>
          <w:color w:val="172236"/>
          <w:sz w:val="18"/>
        </w:rPr>
        <w:t>Monte Carlo path visualization.</w:t>
      </w:r>
    </w:p>
    <w:p>
      <w:pPr>
        <w:pStyle w:val="ListBullet"/>
        <w:numPr>
          <w:ilvl w:val="0"/>
          <w:numId w:val="1"/>
        </w:numPr>
        <w:rPr/>
      </w:pPr>
      <w:r>
        <w:rPr>
          <w:color w:val="172236"/>
          <w:sz w:val="18"/>
        </w:rPr>
        <w:t>Correlation matrices.</w:t>
      </w:r>
    </w:p>
    <w:p>
      <w:pPr>
        <w:pStyle w:val="ListBullet"/>
        <w:numPr>
          <w:ilvl w:val="0"/>
          <w:numId w:val="1"/>
        </w:numPr>
        <w:rPr/>
      </w:pPr>
      <w:r>
        <w:rPr>
          <w:color w:val="172236"/>
          <w:sz w:val="18"/>
        </w:rPr>
        <w:t>Institutional graphs.</w:t>
      </w:r>
    </w:p>
    <w:p>
      <w:pPr>
        <w:pStyle w:val="ListBullet"/>
        <w:numPr>
          <w:ilvl w:val="0"/>
          <w:numId w:val="1"/>
        </w:numPr>
        <w:rPr/>
      </w:pPr>
      <w:r>
        <w:rPr>
          <w:color w:val="172236"/>
          <w:sz w:val="18"/>
        </w:rPr>
        <w:t>Dense scatter/point clouds.</w:t>
      </w:r>
    </w:p>
    <w:p>
      <w:pPr>
        <w:pStyle w:val="ListBullet"/>
        <w:numPr>
          <w:ilvl w:val="0"/>
          <w:numId w:val="1"/>
        </w:numPr>
        <w:rPr/>
      </w:pPr>
      <w:r>
        <w:rPr>
          <w:color w:val="172236"/>
          <w:sz w:val="18"/>
        </w:rPr>
        <w:t>Animated market maps.</w:t>
      </w:r>
    </w:p>
    <w:p>
      <w:pPr>
        <w:pStyle w:val="ListBullet"/>
        <w:numPr>
          <w:ilvl w:val="0"/>
          <w:numId w:val="1"/>
        </w:numPr>
        <w:rPr/>
      </w:pPr>
      <w:r>
        <w:rPr>
          <w:color w:val="172236"/>
          <w:sz w:val="18"/>
        </w:rPr>
        <w:t>Selected parallel numerical kernels after benchmarking.</w:t>
      </w:r>
    </w:p>
    <w:p>
      <w:pPr>
        <w:pStyle w:val="Normal"/>
        <w:rPr/>
      </w:pPr>
      <w:r>
        <w:rPr>
          <w:color w:val="172236"/>
          <w:sz w:val="19"/>
        </w:rPr>
        <w:t>Maintain CPU and Canvas/SVG fallbacks.</w:t>
      </w:r>
    </w:p>
    <w:p>
      <w:pPr>
        <w:pStyle w:val="Heading1"/>
        <w:pBdr>
          <w:bottom w:val="single" w:sz="12" w:space="5" w:color="33C7F2"/>
        </w:pBdr>
        <w:rPr/>
      </w:pPr>
      <w:bookmarkStart w:id="142" w:name="__RefHeading___Toc7004_2150751134"/>
      <w:bookmarkEnd w:id="142"/>
      <w:r>
        <w:rPr>
          <w:rFonts w:ascii="Lato" w:hAnsi="Lato"/>
          <w:color w:val="172236"/>
          <w:sz w:val="42"/>
        </w:rPr>
        <w:t>19. Repository and Workspace Architecture</w:t>
      </w:r>
    </w:p>
    <w:p>
      <w:pPr>
        <w:pStyle w:val="Normal"/>
        <w:keepNext w:val="true"/>
        <w:pBdr>
          <w:left w:val="single" w:sz="18" w:space="4" w:color="8B5CF6"/>
        </w:pBdr>
        <w:shd w:fill="0D1C32"/>
        <w:spacing w:before="120" w:after="0"/>
        <w:rPr/>
      </w:pPr>
      <w:r>
        <w:rPr>
          <w:rFonts w:ascii="Inter Display" w:hAnsi="Inter Display"/>
          <w:b/>
          <w:color w:val="33C7F2"/>
          <w:sz w:val="14"/>
        </w:rPr>
        <w:t>TEXT</w:t>
      </w:r>
    </w:p>
    <w:p>
      <w:pPr>
        <w:pStyle w:val="CodeBlock"/>
        <w:pBdr>
          <w:left w:val="single" w:sz="18" w:space="4" w:color="8B5CF6"/>
        </w:pBdr>
        <w:shd w:fill="0D1C32"/>
        <w:spacing w:lineRule="auto" w:line="240" w:before="0" w:after="140"/>
        <w:rPr/>
      </w:pPr>
      <w:r>
        <w:rPr>
          <w:color w:val="D9E5F5"/>
          <w:sz w:val="14"/>
        </w:rPr>
        <w:t>/</w:t>
        <w:br/>
        <w:t>├─ apps/</w:t>
        <w:br/>
        <w:t>│  ├─ desktop/                 # Tauri 2 + SvelteKit</w:t>
        <w:br/>
        <w:t>│  ├─ web/                     # Optional browser companion</w:t>
        <w:br/>
        <w:t>│  └─ admin/                   # Enterprise operations console</w:t>
        <w:br/>
        <w:t>├─ crates/</w:t>
        <w:br/>
        <w:t>│  ├─ prismatik-domain/</w:t>
        <w:br/>
        <w:t>│  ├─ prismatik-application/</w:t>
        <w:br/>
        <w:t>│  ├─ prismatik-market-data/</w:t>
        <w:br/>
        <w:t>│  ├─ prismatik-options/</w:t>
        <w:br/>
        <w:t>│  ├─ prismatik-crypto/</w:t>
        <w:br/>
        <w:t>│  ├─ prismatik-filings/</w:t>
        <w:br/>
        <w:t>│  ├─ prismatik-cot/</w:t>
        <w:br/>
        <w:t>│  ├─ prismatik-events/</w:t>
        <w:br/>
        <w:t>│  ├─ prismatik-strategy/</w:t>
        <w:br/>
        <w:t>│  ├─ prismatik-backtest/</w:t>
        <w:br/>
        <w:t>│  ├─ prismatik-simulation/</w:t>
        <w:br/>
        <w:t>│  ├─ prismatik-risk/</w:t>
        <w:br/>
        <w:t>│  ├─ prismatik-portfolio/</w:t>
        <w:br/>
        <w:t>│  ├─ prismatik-journal/</w:t>
        <w:br/>
        <w:t>│  ├─ prismatik-ai-tools/</w:t>
        <w:br/>
        <w:t>│  ├─ prismatik-security/</w:t>
        <w:br/>
        <w:t>│  ├─ prismatik-storage/</w:t>
        <w:br/>
        <w:t>│  ├─ prismatik-observability/</w:t>
        <w:br/>
        <w:t>│  ├─ prismatik-renderer/</w:t>
        <w:br/>
        <w:t>│  └─ prismatik-cli/</w:t>
        <w:br/>
        <w:t>├─ packages/</w:t>
        <w:br/>
        <w:t>│  ├─ ui/</w:t>
        <w:br/>
        <w:t>│  ├─ design-tokens/</w:t>
        <w:br/>
        <w:t>│  ├─ api-client/</w:t>
        <w:br/>
        <w:t>│  ├─ schemas/</w:t>
        <w:br/>
        <w:t>│  └─ chart-contracts/</w:t>
        <w:br/>
        <w:t>├─ services/</w:t>
        <w:br/>
        <w:t>│  ├─ ingest/</w:t>
        <w:br/>
        <w:t>│  ├─ quant-worker/</w:t>
        <w:br/>
        <w:t>│  ├─ notification/</w:t>
        <w:br/>
        <w:t>│  └─ cloud-api/</w:t>
        <w:br/>
        <w:t>├─ schemas/</w:t>
        <w:br/>
        <w:t>│  ├─ openapi/</w:t>
        <w:br/>
        <w:t>│  ├─ json-schema/</w:t>
        <w:br/>
        <w:t>│  ├─ events/</w:t>
        <w:br/>
        <w:t>│  └─ database/</w:t>
        <w:br/>
        <w:t>├─ infra/</w:t>
        <w:br/>
        <w:t>│  ├─ containers/</w:t>
        <w:br/>
        <w:t>│  ├─ kubernetes/</w:t>
        <w:br/>
        <w:t>│  ├─ terraform/</w:t>
        <w:br/>
        <w:t>│  └─ on-prem/</w:t>
        <w:br/>
        <w:t>├─ docs/</w:t>
        <w:br/>
        <w:t>│  ├─ ENGINEERING_STANDARDS.md</w:t>
        <w:br/>
        <w:t>│  ├─ architecture.md</w:t>
        <w:br/>
        <w:t>│  ├─ security.md</w:t>
        <w:br/>
        <w:t>│  ├─ api.md</w:t>
        <w:br/>
        <w:t>│  ├─ data-model.md</w:t>
        <w:br/>
        <w:t>│  ├─ observability.md</w:t>
        <w:br/>
        <w:t>│  ├─ testing.md</w:t>
        <w:br/>
        <w:t>│  ├─ threat-model/</w:t>
        <w:br/>
        <w:t>│  ├─ runbooks/</w:t>
        <w:br/>
        <w:t>│  ├─ adr/</w:t>
        <w:br/>
        <w:t>│  ├─ diagrams/</w:t>
        <w:br/>
        <w:t>│  ├─ model-cards/</w:t>
        <w:br/>
        <w:t>│  └─ workbook/</w:t>
        <w:br/>
        <w:t>├─ tests/</w:t>
        <w:br/>
        <w:t>├─ scripts/</w:t>
        <w:br/>
        <w:t>├─ .github/workflows/</w:t>
        <w:br/>
        <w:t>├─ README.md</w:t>
        <w:br/>
        <w:t>├─ CONTRIBUTING.md</w:t>
        <w:br/>
        <w:t>├─ SECURITY.md</w:t>
        <w:br/>
        <w:t>├─ CHANGELOG.md</w:t>
        <w:br/>
        <w:t>└─ Cargo.toml</w:t>
      </w:r>
    </w:p>
    <w:p>
      <w:pPr>
        <w:pStyle w:val="Heading1"/>
        <w:pBdr>
          <w:bottom w:val="single" w:sz="12" w:space="5" w:color="33C7F2"/>
        </w:pBdr>
        <w:rPr/>
      </w:pPr>
      <w:bookmarkStart w:id="143" w:name="__RefHeading___Toc7006_2150751134"/>
      <w:bookmarkEnd w:id="143"/>
      <w:r>
        <w:rPr>
          <w:rFonts w:ascii="Lato" w:hAnsi="Lato"/>
          <w:color w:val="172236"/>
          <w:sz w:val="42"/>
        </w:rPr>
        <w:t>20. Core Domain Model</w:t>
      </w:r>
    </w:p>
    <w:p>
      <w:pPr>
        <w:pStyle w:val="Heading2"/>
        <w:pBdr>
          <w:left w:val="single" w:sz="14" w:space="4" w:color="8B5CF6"/>
        </w:pBdr>
        <w:rPr/>
      </w:pPr>
      <w:bookmarkStart w:id="144" w:name="__RefHeading___Toc7008_2150751134"/>
      <w:bookmarkEnd w:id="144"/>
      <w:r>
        <w:rPr>
          <w:rFonts w:ascii="Lato" w:hAnsi="Lato"/>
          <w:color w:val="172236"/>
          <w:sz w:val="29"/>
        </w:rPr>
        <w:t>20.1 Key Aggregates</w:t>
      </w:r>
    </w:p>
    <w:p>
      <w:pPr>
        <w:pStyle w:val="ListBullet"/>
        <w:numPr>
          <w:ilvl w:val="0"/>
          <w:numId w:val="1"/>
        </w:numPr>
        <w:rPr/>
      </w:pPr>
      <w:r>
        <w:rPr>
          <w:color w:val="172236"/>
          <w:sz w:val="18"/>
        </w:rPr>
        <w:t>Asset.</w:t>
      </w:r>
    </w:p>
    <w:p>
      <w:pPr>
        <w:pStyle w:val="ListBullet"/>
        <w:numPr>
          <w:ilvl w:val="0"/>
          <w:numId w:val="1"/>
        </w:numPr>
        <w:rPr/>
      </w:pPr>
      <w:r>
        <w:rPr>
          <w:color w:val="172236"/>
          <w:sz w:val="18"/>
        </w:rPr>
        <w:t>Venue.</w:t>
      </w:r>
    </w:p>
    <w:p>
      <w:pPr>
        <w:pStyle w:val="ListBullet"/>
        <w:numPr>
          <w:ilvl w:val="0"/>
          <w:numId w:val="1"/>
        </w:numPr>
        <w:rPr/>
      </w:pPr>
      <w:r>
        <w:rPr>
          <w:color w:val="172236"/>
          <w:sz w:val="18"/>
        </w:rPr>
        <w:t>MarketSnapshot.</w:t>
      </w:r>
    </w:p>
    <w:p>
      <w:pPr>
        <w:pStyle w:val="ListBullet"/>
        <w:numPr>
          <w:ilvl w:val="0"/>
          <w:numId w:val="1"/>
        </w:numPr>
        <w:rPr/>
      </w:pPr>
      <w:r>
        <w:rPr>
          <w:color w:val="172236"/>
          <w:sz w:val="18"/>
        </w:rPr>
        <w:t>BarSeries.</w:t>
      </w:r>
    </w:p>
    <w:p>
      <w:pPr>
        <w:pStyle w:val="ListBullet"/>
        <w:numPr>
          <w:ilvl w:val="0"/>
          <w:numId w:val="1"/>
        </w:numPr>
        <w:rPr/>
      </w:pPr>
      <w:r>
        <w:rPr>
          <w:color w:val="172236"/>
          <w:sz w:val="18"/>
        </w:rPr>
        <w:t>OptionContract.</w:t>
      </w:r>
    </w:p>
    <w:p>
      <w:pPr>
        <w:pStyle w:val="ListBullet"/>
        <w:numPr>
          <w:ilvl w:val="0"/>
          <w:numId w:val="1"/>
        </w:numPr>
        <w:rPr/>
      </w:pPr>
      <w:r>
        <w:rPr>
          <w:color w:val="172236"/>
          <w:sz w:val="18"/>
        </w:rPr>
        <w:t>OptionChain.</w:t>
      </w:r>
    </w:p>
    <w:p>
      <w:pPr>
        <w:pStyle w:val="ListBullet"/>
        <w:numPr>
          <w:ilvl w:val="0"/>
          <w:numId w:val="1"/>
        </w:numPr>
        <w:rPr/>
      </w:pPr>
      <w:r>
        <w:rPr>
          <w:color w:val="172236"/>
          <w:sz w:val="18"/>
        </w:rPr>
        <w:t>FlowObservation.</w:t>
      </w:r>
    </w:p>
    <w:p>
      <w:pPr>
        <w:pStyle w:val="ListBullet"/>
        <w:numPr>
          <w:ilvl w:val="0"/>
          <w:numId w:val="1"/>
        </w:numPr>
        <w:rPr/>
      </w:pPr>
      <w:r>
        <w:rPr>
          <w:color w:val="172236"/>
          <w:sz w:val="18"/>
        </w:rPr>
        <w:t>Event.</w:t>
      </w:r>
    </w:p>
    <w:p>
      <w:pPr>
        <w:pStyle w:val="ListBullet"/>
        <w:numPr>
          <w:ilvl w:val="0"/>
          <w:numId w:val="1"/>
        </w:numPr>
        <w:rPr/>
      </w:pPr>
      <w:r>
        <w:rPr>
          <w:color w:val="172236"/>
          <w:sz w:val="18"/>
        </w:rPr>
        <w:t>Filing.</w:t>
      </w:r>
    </w:p>
    <w:p>
      <w:pPr>
        <w:pStyle w:val="ListBullet"/>
        <w:numPr>
          <w:ilvl w:val="0"/>
          <w:numId w:val="1"/>
        </w:numPr>
        <w:rPr/>
      </w:pPr>
      <w:r>
        <w:rPr>
          <w:color w:val="172236"/>
          <w:sz w:val="18"/>
        </w:rPr>
        <w:t>Institution.</w:t>
      </w:r>
    </w:p>
    <w:p>
      <w:pPr>
        <w:pStyle w:val="ListBullet"/>
        <w:numPr>
          <w:ilvl w:val="0"/>
          <w:numId w:val="1"/>
        </w:numPr>
        <w:rPr/>
      </w:pPr>
      <w:r>
        <w:rPr>
          <w:color w:val="172236"/>
          <w:sz w:val="18"/>
        </w:rPr>
        <w:t>PositionDisclosure.</w:t>
      </w:r>
    </w:p>
    <w:p>
      <w:pPr>
        <w:pStyle w:val="ListBullet"/>
        <w:numPr>
          <w:ilvl w:val="0"/>
          <w:numId w:val="1"/>
        </w:numPr>
        <w:rPr/>
      </w:pPr>
      <w:r>
        <w:rPr>
          <w:color w:val="172236"/>
          <w:sz w:val="18"/>
        </w:rPr>
        <w:t>Strategy.</w:t>
      </w:r>
    </w:p>
    <w:p>
      <w:pPr>
        <w:pStyle w:val="ListBullet"/>
        <w:numPr>
          <w:ilvl w:val="0"/>
          <w:numId w:val="1"/>
        </w:numPr>
        <w:rPr/>
      </w:pPr>
      <w:r>
        <w:rPr>
          <w:color w:val="172236"/>
          <w:sz w:val="18"/>
        </w:rPr>
        <w:t>BacktestRun.</w:t>
      </w:r>
    </w:p>
    <w:p>
      <w:pPr>
        <w:pStyle w:val="ListBullet"/>
        <w:numPr>
          <w:ilvl w:val="0"/>
          <w:numId w:val="1"/>
        </w:numPr>
        <w:rPr/>
      </w:pPr>
      <w:r>
        <w:rPr>
          <w:color w:val="172236"/>
          <w:sz w:val="18"/>
        </w:rPr>
        <w:t>SimulationRun.</w:t>
      </w:r>
    </w:p>
    <w:p>
      <w:pPr>
        <w:pStyle w:val="ListBullet"/>
        <w:numPr>
          <w:ilvl w:val="0"/>
          <w:numId w:val="1"/>
        </w:numPr>
        <w:rPr/>
      </w:pPr>
      <w:r>
        <w:rPr>
          <w:color w:val="172236"/>
          <w:sz w:val="18"/>
        </w:rPr>
        <w:t>Opportunity.</w:t>
      </w:r>
    </w:p>
    <w:p>
      <w:pPr>
        <w:pStyle w:val="ListBullet"/>
        <w:numPr>
          <w:ilvl w:val="0"/>
          <w:numId w:val="1"/>
        </w:numPr>
        <w:rPr/>
      </w:pPr>
      <w:r>
        <w:rPr>
          <w:color w:val="172236"/>
          <w:sz w:val="18"/>
        </w:rPr>
        <w:t>Portfolio.</w:t>
      </w:r>
    </w:p>
    <w:p>
      <w:pPr>
        <w:pStyle w:val="ListBullet"/>
        <w:numPr>
          <w:ilvl w:val="0"/>
          <w:numId w:val="1"/>
        </w:numPr>
        <w:rPr/>
      </w:pPr>
      <w:r>
        <w:rPr>
          <w:color w:val="172236"/>
          <w:sz w:val="18"/>
        </w:rPr>
        <w:t>Position.</w:t>
      </w:r>
    </w:p>
    <w:p>
      <w:pPr>
        <w:pStyle w:val="ListBullet"/>
        <w:numPr>
          <w:ilvl w:val="0"/>
          <w:numId w:val="1"/>
        </w:numPr>
        <w:rPr/>
      </w:pPr>
      <w:r>
        <w:rPr>
          <w:color w:val="172236"/>
          <w:sz w:val="18"/>
        </w:rPr>
        <w:t>OrderIntent.</w:t>
      </w:r>
    </w:p>
    <w:p>
      <w:pPr>
        <w:pStyle w:val="ListBullet"/>
        <w:numPr>
          <w:ilvl w:val="0"/>
          <w:numId w:val="1"/>
        </w:numPr>
        <w:rPr/>
      </w:pPr>
      <w:r>
        <w:rPr>
          <w:color w:val="172236"/>
          <w:sz w:val="18"/>
        </w:rPr>
        <w:t>Order.</w:t>
      </w:r>
    </w:p>
    <w:p>
      <w:pPr>
        <w:pStyle w:val="ListBullet"/>
        <w:numPr>
          <w:ilvl w:val="0"/>
          <w:numId w:val="1"/>
        </w:numPr>
        <w:rPr/>
      </w:pPr>
      <w:r>
        <w:rPr>
          <w:color w:val="172236"/>
          <w:sz w:val="18"/>
        </w:rPr>
        <w:t>Fill.</w:t>
      </w:r>
    </w:p>
    <w:p>
      <w:pPr>
        <w:pStyle w:val="ListBullet"/>
        <w:numPr>
          <w:ilvl w:val="0"/>
          <w:numId w:val="1"/>
        </w:numPr>
        <w:rPr/>
      </w:pPr>
      <w:r>
        <w:rPr>
          <w:color w:val="172236"/>
          <w:sz w:val="18"/>
        </w:rPr>
        <w:t>RiskPolicy.</w:t>
      </w:r>
    </w:p>
    <w:p>
      <w:pPr>
        <w:pStyle w:val="ListBullet"/>
        <w:numPr>
          <w:ilvl w:val="0"/>
          <w:numId w:val="1"/>
        </w:numPr>
        <w:rPr/>
      </w:pPr>
      <w:r>
        <w:rPr>
          <w:color w:val="172236"/>
          <w:sz w:val="18"/>
        </w:rPr>
        <w:t>JournalEntry.</w:t>
      </w:r>
    </w:p>
    <w:p>
      <w:pPr>
        <w:pStyle w:val="ListBullet"/>
        <w:numPr>
          <w:ilvl w:val="0"/>
          <w:numId w:val="1"/>
        </w:numPr>
        <w:rPr/>
      </w:pPr>
      <w:r>
        <w:rPr>
          <w:color w:val="172236"/>
          <w:sz w:val="18"/>
        </w:rPr>
        <w:t>ProviderAccount.</w:t>
      </w:r>
    </w:p>
    <w:p>
      <w:pPr>
        <w:pStyle w:val="ListBullet"/>
        <w:numPr>
          <w:ilvl w:val="0"/>
          <w:numId w:val="1"/>
        </w:numPr>
        <w:rPr/>
      </w:pPr>
      <w:r>
        <w:rPr>
          <w:color w:val="172236"/>
          <w:sz w:val="18"/>
        </w:rPr>
        <w:t>DataEntitlement.</w:t>
      </w:r>
    </w:p>
    <w:p>
      <w:pPr>
        <w:pStyle w:val="ListBullet"/>
        <w:numPr>
          <w:ilvl w:val="0"/>
          <w:numId w:val="1"/>
        </w:numPr>
        <w:rPr/>
      </w:pPr>
      <w:r>
        <w:rPr>
          <w:color w:val="172236"/>
          <w:sz w:val="18"/>
        </w:rPr>
        <w:t>Model.</w:t>
      </w:r>
    </w:p>
    <w:p>
      <w:pPr>
        <w:pStyle w:val="ListBullet"/>
        <w:numPr>
          <w:ilvl w:val="0"/>
          <w:numId w:val="1"/>
        </w:numPr>
        <w:rPr/>
      </w:pPr>
      <w:r>
        <w:rPr>
          <w:color w:val="172236"/>
          <w:sz w:val="18"/>
        </w:rPr>
        <w:t>ModelPrediction.</w:t>
      </w:r>
    </w:p>
    <w:p>
      <w:pPr>
        <w:pStyle w:val="ListBullet"/>
        <w:numPr>
          <w:ilvl w:val="0"/>
          <w:numId w:val="1"/>
        </w:numPr>
        <w:rPr/>
      </w:pPr>
      <w:r>
        <w:rPr>
          <w:color w:val="172236"/>
          <w:sz w:val="18"/>
        </w:rPr>
        <w:t>Workspace.</w:t>
      </w:r>
    </w:p>
    <w:p>
      <w:pPr>
        <w:pStyle w:val="ListBullet"/>
        <w:numPr>
          <w:ilvl w:val="0"/>
          <w:numId w:val="1"/>
        </w:numPr>
        <w:rPr/>
      </w:pPr>
      <w:r>
        <w:rPr>
          <w:color w:val="172236"/>
          <w:sz w:val="18"/>
        </w:rPr>
        <w:t>AlertRule.</w:t>
      </w:r>
    </w:p>
    <w:p>
      <w:pPr>
        <w:pStyle w:val="ListBullet"/>
        <w:numPr>
          <w:ilvl w:val="0"/>
          <w:numId w:val="1"/>
        </w:numPr>
        <w:rPr/>
      </w:pPr>
      <w:r>
        <w:rPr>
          <w:color w:val="172236"/>
          <w:sz w:val="18"/>
        </w:rPr>
        <w:t>Automation.</w:t>
      </w:r>
    </w:p>
    <w:p>
      <w:pPr>
        <w:pStyle w:val="Heading2"/>
        <w:pBdr>
          <w:left w:val="single" w:sz="14" w:space="4" w:color="8B5CF6"/>
        </w:pBdr>
        <w:rPr/>
      </w:pPr>
      <w:bookmarkStart w:id="145" w:name="__RefHeading___Toc7010_2150751134"/>
      <w:bookmarkEnd w:id="145"/>
      <w:r>
        <w:rPr>
          <w:rFonts w:ascii="Lato" w:hAnsi="Lato"/>
          <w:color w:val="172236"/>
          <w:sz w:val="29"/>
        </w:rPr>
        <w:t>20.2 Opportunity Aggregate</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pub struct Opportunity {</w:t>
        <w:br/>
        <w:t xml:space="preserve">    pub id: OpportunityId,</w:t>
        <w:br/>
        <w:t xml:space="preserve">    pub asset_id: AssetId,</w:t>
        <w:br/>
        <w:t xml:space="preserve">    pub thesis: Thesis,</w:t>
        <w:br/>
        <w:t xml:space="preserve">    pub horizon: TimeHorizon,</w:t>
        <w:br/>
        <w:t xml:space="preserve">    pub evidence: Vec&lt;EvidenceRef&gt;,</w:t>
        <w:br/>
        <w:t xml:space="preserve">    pub contradictions: Vec&lt;EvidenceRef&gt;,</w:t>
        <w:br/>
        <w:t xml:space="preserve">    pub score: OpportunityScore,</w:t>
        <w:br/>
        <w:t xml:space="preserve">    pub expected_value: Option&lt;DistributionSummary&gt;,</w:t>
        <w:br/>
        <w:t xml:space="preserve">    pub liquidity: LiquidityAssessment,</w:t>
        <w:br/>
        <w:t xml:space="preserve">    pub risk: RiskAssessment,</w:t>
        <w:br/>
        <w:t xml:space="preserve">    pub freshness: FreshnessSummary,</w:t>
        <w:br/>
        <w:t xml:space="preserve">    pub provenance: ProvenanceBundle,</w:t>
        <w:br/>
        <w:t xml:space="preserve">    pub model_versions: Vec&lt;ModelVersionId&gt;,</w:t>
        <w:br/>
        <w:t xml:space="preserve">    pub created_at: time::OffsetDateTime,</w:t>
        <w:br/>
        <w:t xml:space="preserve">    pub expires_at: Option&lt;time::OffsetDateTime&gt;,</w:t>
        <w:br/>
        <w:t>}</w:t>
      </w:r>
    </w:p>
    <w:p>
      <w:pPr>
        <w:pStyle w:val="Heading2"/>
        <w:pBdr>
          <w:left w:val="single" w:sz="14" w:space="4" w:color="8B5CF6"/>
        </w:pBdr>
        <w:rPr/>
      </w:pPr>
      <w:bookmarkStart w:id="146" w:name="__RefHeading___Toc7012_2150751134"/>
      <w:bookmarkEnd w:id="146"/>
      <w:r>
        <w:rPr>
          <w:rFonts w:ascii="Lato" w:hAnsi="Lato"/>
          <w:color w:val="172236"/>
          <w:sz w:val="29"/>
        </w:rPr>
        <w:t>20.3 Immutable Evidence</w:t>
      </w:r>
    </w:p>
    <w:p>
      <w:pPr>
        <w:pStyle w:val="Normal"/>
        <w:rPr/>
      </w:pPr>
      <w:r>
        <w:rPr>
          <w:color w:val="172236"/>
          <w:sz w:val="19"/>
        </w:rPr>
        <w:t>Evidence SHOULD be immutable and content-addressed. Corrections create superseding records rather than destructive edits.</w:t>
      </w:r>
    </w:p>
    <w:p>
      <w:pPr>
        <w:pStyle w:val="Heading1"/>
        <w:pBdr>
          <w:bottom w:val="single" w:sz="12" w:space="5" w:color="33C7F2"/>
        </w:pBdr>
        <w:rPr/>
      </w:pPr>
      <w:bookmarkStart w:id="147" w:name="__RefHeading___Toc7014_2150751134"/>
      <w:bookmarkEnd w:id="147"/>
      <w:r>
        <w:rPr>
          <w:rFonts w:ascii="Lato" w:hAnsi="Lato"/>
          <w:color w:val="172236"/>
          <w:sz w:val="42"/>
        </w:rPr>
        <w:t>21. Storage and Data Lifecycle</w:t>
      </w:r>
    </w:p>
    <w:p>
      <w:pPr>
        <w:pStyle w:val="Heading2"/>
        <w:pBdr>
          <w:left w:val="single" w:sz="14" w:space="4" w:color="8B5CF6"/>
        </w:pBdr>
        <w:rPr/>
      </w:pPr>
      <w:bookmarkStart w:id="148" w:name="__RefHeading___Toc7016_2150751134"/>
      <w:bookmarkEnd w:id="148"/>
      <w:r>
        <w:rPr>
          <w:rFonts w:ascii="Lato" w:hAnsi="Lato"/>
          <w:color w:val="172236"/>
          <w:sz w:val="29"/>
        </w:rPr>
        <w:t>21.1 Storage Roles</w:t>
      </w:r>
    </w:p>
    <w:p>
      <w:pPr>
        <w:pStyle w:val="Heading3"/>
        <w:rPr/>
      </w:pPr>
      <w:bookmarkStart w:id="149" w:name="__RefHeading___Toc7018_2150751134"/>
      <w:bookmarkEnd w:id="149"/>
      <w:r>
        <w:rPr>
          <w:rFonts w:ascii="Lato" w:hAnsi="Lato"/>
          <w:color w:val="172236"/>
          <w:sz w:val="21"/>
        </w:rPr>
        <w:t>PostgreSQL</w:t>
      </w:r>
    </w:p>
    <w:p>
      <w:pPr>
        <w:pStyle w:val="ListBullet"/>
        <w:numPr>
          <w:ilvl w:val="0"/>
          <w:numId w:val="1"/>
        </w:numPr>
        <w:rPr/>
      </w:pPr>
      <w:r>
        <w:rPr>
          <w:color w:val="172236"/>
          <w:sz w:val="18"/>
        </w:rPr>
        <w:t>Users.</w:t>
      </w:r>
    </w:p>
    <w:p>
      <w:pPr>
        <w:pStyle w:val="ListBullet"/>
        <w:numPr>
          <w:ilvl w:val="0"/>
          <w:numId w:val="1"/>
        </w:numPr>
        <w:rPr/>
      </w:pPr>
      <w:r>
        <w:rPr>
          <w:color w:val="172236"/>
          <w:sz w:val="18"/>
        </w:rPr>
        <w:t>Organizations.</w:t>
      </w:r>
    </w:p>
    <w:p>
      <w:pPr>
        <w:pStyle w:val="ListBullet"/>
        <w:numPr>
          <w:ilvl w:val="0"/>
          <w:numId w:val="1"/>
        </w:numPr>
        <w:rPr/>
      </w:pPr>
      <w:r>
        <w:rPr>
          <w:color w:val="172236"/>
          <w:sz w:val="18"/>
        </w:rPr>
        <w:t>Accounts.</w:t>
      </w:r>
    </w:p>
    <w:p>
      <w:pPr>
        <w:pStyle w:val="ListBullet"/>
        <w:numPr>
          <w:ilvl w:val="0"/>
          <w:numId w:val="1"/>
        </w:numPr>
        <w:rPr/>
      </w:pPr>
      <w:r>
        <w:rPr>
          <w:color w:val="172236"/>
          <w:sz w:val="18"/>
        </w:rPr>
        <w:t>Configuration.</w:t>
      </w:r>
    </w:p>
    <w:p>
      <w:pPr>
        <w:pStyle w:val="ListBullet"/>
        <w:numPr>
          <w:ilvl w:val="0"/>
          <w:numId w:val="1"/>
        </w:numPr>
        <w:rPr/>
      </w:pPr>
      <w:r>
        <w:rPr>
          <w:color w:val="172236"/>
          <w:sz w:val="18"/>
        </w:rPr>
        <w:t>Strategies.</w:t>
      </w:r>
    </w:p>
    <w:p>
      <w:pPr>
        <w:pStyle w:val="ListBullet"/>
        <w:numPr>
          <w:ilvl w:val="0"/>
          <w:numId w:val="1"/>
        </w:numPr>
        <w:rPr/>
      </w:pPr>
      <w:r>
        <w:rPr>
          <w:color w:val="172236"/>
          <w:sz w:val="18"/>
        </w:rPr>
        <w:t>Portfolios.</w:t>
      </w:r>
    </w:p>
    <w:p>
      <w:pPr>
        <w:pStyle w:val="ListBullet"/>
        <w:numPr>
          <w:ilvl w:val="0"/>
          <w:numId w:val="1"/>
        </w:numPr>
        <w:rPr/>
      </w:pPr>
      <w:r>
        <w:rPr>
          <w:color w:val="172236"/>
          <w:sz w:val="18"/>
        </w:rPr>
        <w:t>Orders.</w:t>
      </w:r>
    </w:p>
    <w:p>
      <w:pPr>
        <w:pStyle w:val="ListBullet"/>
        <w:numPr>
          <w:ilvl w:val="0"/>
          <w:numId w:val="1"/>
        </w:numPr>
        <w:rPr/>
      </w:pPr>
      <w:r>
        <w:rPr>
          <w:color w:val="172236"/>
          <w:sz w:val="18"/>
        </w:rPr>
        <w:t>Journals.</w:t>
      </w:r>
    </w:p>
    <w:p>
      <w:pPr>
        <w:pStyle w:val="ListBullet"/>
        <w:numPr>
          <w:ilvl w:val="0"/>
          <w:numId w:val="1"/>
        </w:numPr>
        <w:rPr/>
      </w:pPr>
      <w:r>
        <w:rPr>
          <w:color w:val="172236"/>
          <w:sz w:val="18"/>
        </w:rPr>
        <w:t>Audit metadata.</w:t>
      </w:r>
    </w:p>
    <w:p>
      <w:pPr>
        <w:pStyle w:val="ListBullet"/>
        <w:numPr>
          <w:ilvl w:val="0"/>
          <w:numId w:val="1"/>
        </w:numPr>
        <w:rPr/>
      </w:pPr>
      <w:r>
        <w:rPr>
          <w:color w:val="172236"/>
          <w:sz w:val="18"/>
        </w:rPr>
        <w:t>Entitlements.</w:t>
      </w:r>
    </w:p>
    <w:p>
      <w:pPr>
        <w:pStyle w:val="ListBullet"/>
        <w:numPr>
          <w:ilvl w:val="0"/>
          <w:numId w:val="1"/>
        </w:numPr>
        <w:rPr/>
      </w:pPr>
      <w:r>
        <w:rPr>
          <w:color w:val="172236"/>
          <w:sz w:val="18"/>
        </w:rPr>
        <w:t>Model registry.</w:t>
      </w:r>
    </w:p>
    <w:p>
      <w:pPr>
        <w:pStyle w:val="Heading3"/>
        <w:rPr/>
      </w:pPr>
      <w:bookmarkStart w:id="150" w:name="__RefHeading___Toc7020_2150751134"/>
      <w:bookmarkEnd w:id="150"/>
      <w:r>
        <w:rPr>
          <w:rFonts w:ascii="Lato" w:hAnsi="Lato"/>
          <w:color w:val="172236"/>
          <w:sz w:val="21"/>
        </w:rPr>
        <w:t>ClickHouse</w:t>
      </w:r>
    </w:p>
    <w:p>
      <w:pPr>
        <w:pStyle w:val="ListBullet"/>
        <w:numPr>
          <w:ilvl w:val="0"/>
          <w:numId w:val="1"/>
        </w:numPr>
        <w:rPr/>
      </w:pPr>
      <w:r>
        <w:rPr>
          <w:color w:val="172236"/>
          <w:sz w:val="18"/>
        </w:rPr>
        <w:t>High-volume time series.</w:t>
      </w:r>
    </w:p>
    <w:p>
      <w:pPr>
        <w:pStyle w:val="ListBullet"/>
        <w:numPr>
          <w:ilvl w:val="0"/>
          <w:numId w:val="1"/>
        </w:numPr>
        <w:rPr/>
      </w:pPr>
      <w:r>
        <w:rPr>
          <w:color w:val="172236"/>
          <w:sz w:val="18"/>
        </w:rPr>
        <w:t>Options observations.</w:t>
      </w:r>
    </w:p>
    <w:p>
      <w:pPr>
        <w:pStyle w:val="ListBullet"/>
        <w:numPr>
          <w:ilvl w:val="0"/>
          <w:numId w:val="1"/>
        </w:numPr>
        <w:rPr/>
      </w:pPr>
      <w:r>
        <w:rPr>
          <w:color w:val="172236"/>
          <w:sz w:val="18"/>
        </w:rPr>
        <w:t>Market events.</w:t>
      </w:r>
    </w:p>
    <w:p>
      <w:pPr>
        <w:pStyle w:val="ListBullet"/>
        <w:numPr>
          <w:ilvl w:val="0"/>
          <w:numId w:val="1"/>
        </w:numPr>
        <w:rPr/>
      </w:pPr>
      <w:r>
        <w:rPr>
          <w:color w:val="172236"/>
          <w:sz w:val="18"/>
        </w:rPr>
        <w:t>Flow records.</w:t>
      </w:r>
    </w:p>
    <w:p>
      <w:pPr>
        <w:pStyle w:val="ListBullet"/>
        <w:numPr>
          <w:ilvl w:val="0"/>
          <w:numId w:val="1"/>
        </w:numPr>
        <w:rPr/>
      </w:pPr>
      <w:r>
        <w:rPr>
          <w:color w:val="172236"/>
          <w:sz w:val="18"/>
        </w:rPr>
        <w:t>Analytics aggregates.</w:t>
      </w:r>
    </w:p>
    <w:p>
      <w:pPr>
        <w:pStyle w:val="ListBullet"/>
        <w:numPr>
          <w:ilvl w:val="0"/>
          <w:numId w:val="1"/>
        </w:numPr>
        <w:rPr/>
      </w:pPr>
      <w:r>
        <w:rPr>
          <w:color w:val="172236"/>
          <w:sz w:val="18"/>
        </w:rPr>
        <w:t>Telemetry.</w:t>
      </w:r>
    </w:p>
    <w:p>
      <w:pPr>
        <w:pStyle w:val="Heading3"/>
        <w:rPr/>
      </w:pPr>
      <w:bookmarkStart w:id="151" w:name="__RefHeading___Toc7022_2150751134"/>
      <w:bookmarkEnd w:id="151"/>
      <w:r>
        <w:rPr>
          <w:rFonts w:ascii="Lato" w:hAnsi="Lato"/>
          <w:color w:val="172236"/>
          <w:sz w:val="21"/>
        </w:rPr>
        <w:t>DuckDB</w:t>
      </w:r>
    </w:p>
    <w:p>
      <w:pPr>
        <w:pStyle w:val="ListBullet"/>
        <w:numPr>
          <w:ilvl w:val="0"/>
          <w:numId w:val="1"/>
        </w:numPr>
        <w:rPr/>
      </w:pPr>
      <w:r>
        <w:rPr>
          <w:color w:val="172236"/>
          <w:sz w:val="18"/>
        </w:rPr>
        <w:t>Local analytics.</w:t>
      </w:r>
    </w:p>
    <w:p>
      <w:pPr>
        <w:pStyle w:val="ListBullet"/>
        <w:numPr>
          <w:ilvl w:val="0"/>
          <w:numId w:val="1"/>
        </w:numPr>
        <w:rPr/>
      </w:pPr>
      <w:r>
        <w:rPr>
          <w:color w:val="172236"/>
          <w:sz w:val="18"/>
        </w:rPr>
        <w:t>Offline research.</w:t>
      </w:r>
    </w:p>
    <w:p>
      <w:pPr>
        <w:pStyle w:val="ListBullet"/>
        <w:numPr>
          <w:ilvl w:val="0"/>
          <w:numId w:val="1"/>
        </w:numPr>
        <w:rPr/>
      </w:pPr>
      <w:r>
        <w:rPr>
          <w:color w:val="172236"/>
          <w:sz w:val="18"/>
        </w:rPr>
        <w:t>Parquet query.</w:t>
      </w:r>
    </w:p>
    <w:p>
      <w:pPr>
        <w:pStyle w:val="ListBullet"/>
        <w:numPr>
          <w:ilvl w:val="0"/>
          <w:numId w:val="1"/>
        </w:numPr>
        <w:rPr/>
      </w:pPr>
      <w:r>
        <w:rPr>
          <w:color w:val="172236"/>
          <w:sz w:val="18"/>
        </w:rPr>
        <w:t>Portable project bundles.</w:t>
      </w:r>
    </w:p>
    <w:p>
      <w:pPr>
        <w:pStyle w:val="ListBullet"/>
        <w:numPr>
          <w:ilvl w:val="0"/>
          <w:numId w:val="1"/>
        </w:numPr>
        <w:rPr/>
      </w:pPr>
      <w:r>
        <w:rPr>
          <w:color w:val="172236"/>
          <w:sz w:val="18"/>
        </w:rPr>
        <w:t>Fast embedded aggregations.</w:t>
      </w:r>
    </w:p>
    <w:p>
      <w:pPr>
        <w:pStyle w:val="Heading3"/>
        <w:rPr/>
      </w:pPr>
      <w:bookmarkStart w:id="152" w:name="__RefHeading___Toc7024_2150751134"/>
      <w:bookmarkEnd w:id="152"/>
      <w:r>
        <w:rPr>
          <w:rFonts w:ascii="Lato" w:hAnsi="Lato"/>
          <w:color w:val="172236"/>
          <w:sz w:val="21"/>
        </w:rPr>
        <w:t>SQLite</w:t>
      </w:r>
    </w:p>
    <w:p>
      <w:pPr>
        <w:pStyle w:val="ListBullet"/>
        <w:numPr>
          <w:ilvl w:val="0"/>
          <w:numId w:val="1"/>
        </w:numPr>
        <w:rPr/>
      </w:pPr>
      <w:r>
        <w:rPr>
          <w:color w:val="172236"/>
          <w:sz w:val="18"/>
        </w:rPr>
        <w:t>Desktop configuration.</w:t>
      </w:r>
    </w:p>
    <w:p>
      <w:pPr>
        <w:pStyle w:val="ListBullet"/>
        <w:numPr>
          <w:ilvl w:val="0"/>
          <w:numId w:val="1"/>
        </w:numPr>
        <w:rPr/>
      </w:pPr>
      <w:r>
        <w:rPr>
          <w:color w:val="172236"/>
          <w:sz w:val="18"/>
        </w:rPr>
        <w:t>Cached metadata.</w:t>
      </w:r>
    </w:p>
    <w:p>
      <w:pPr>
        <w:pStyle w:val="ListBullet"/>
        <w:numPr>
          <w:ilvl w:val="0"/>
          <w:numId w:val="1"/>
        </w:numPr>
        <w:rPr/>
      </w:pPr>
      <w:r>
        <w:rPr>
          <w:color w:val="172236"/>
          <w:sz w:val="18"/>
        </w:rPr>
        <w:t>Offline queue.</w:t>
      </w:r>
    </w:p>
    <w:p>
      <w:pPr>
        <w:pStyle w:val="ListBullet"/>
        <w:numPr>
          <w:ilvl w:val="0"/>
          <w:numId w:val="1"/>
        </w:numPr>
        <w:rPr/>
      </w:pPr>
      <w:r>
        <w:rPr>
          <w:color w:val="172236"/>
          <w:sz w:val="18"/>
        </w:rPr>
        <w:t>Workspace state.</w:t>
      </w:r>
    </w:p>
    <w:p>
      <w:pPr>
        <w:pStyle w:val="ListBullet"/>
        <w:numPr>
          <w:ilvl w:val="0"/>
          <w:numId w:val="1"/>
        </w:numPr>
        <w:rPr/>
      </w:pPr>
      <w:r>
        <w:rPr>
          <w:color w:val="172236"/>
          <w:sz w:val="18"/>
        </w:rPr>
        <w:t>Local audit buffer.</w:t>
      </w:r>
    </w:p>
    <w:p>
      <w:pPr>
        <w:pStyle w:val="Heading3"/>
        <w:rPr/>
      </w:pPr>
      <w:bookmarkStart w:id="153" w:name="__RefHeading___Toc7026_2150751134"/>
      <w:bookmarkEnd w:id="153"/>
      <w:r>
        <w:rPr>
          <w:rFonts w:ascii="Lato" w:hAnsi="Lato"/>
          <w:color w:val="172236"/>
          <w:sz w:val="21"/>
        </w:rPr>
        <w:t>Arrow/Parquet</w:t>
      </w:r>
    </w:p>
    <w:p>
      <w:pPr>
        <w:pStyle w:val="ListBullet"/>
        <w:numPr>
          <w:ilvl w:val="0"/>
          <w:numId w:val="1"/>
        </w:numPr>
        <w:rPr/>
      </w:pPr>
      <w:r>
        <w:rPr>
          <w:color w:val="172236"/>
          <w:sz w:val="18"/>
        </w:rPr>
        <w:t>Columnar interchange.</w:t>
      </w:r>
    </w:p>
    <w:p>
      <w:pPr>
        <w:pStyle w:val="ListBullet"/>
        <w:numPr>
          <w:ilvl w:val="0"/>
          <w:numId w:val="1"/>
        </w:numPr>
        <w:rPr/>
      </w:pPr>
      <w:r>
        <w:rPr>
          <w:color w:val="172236"/>
          <w:sz w:val="18"/>
        </w:rPr>
        <w:t>Historical datasets.</w:t>
      </w:r>
    </w:p>
    <w:p>
      <w:pPr>
        <w:pStyle w:val="ListBullet"/>
        <w:numPr>
          <w:ilvl w:val="0"/>
          <w:numId w:val="1"/>
        </w:numPr>
        <w:rPr/>
      </w:pPr>
      <w:r>
        <w:rPr>
          <w:color w:val="172236"/>
          <w:sz w:val="18"/>
        </w:rPr>
        <w:t>Backtest snapshots.</w:t>
      </w:r>
    </w:p>
    <w:p>
      <w:pPr>
        <w:pStyle w:val="ListBullet"/>
        <w:numPr>
          <w:ilvl w:val="0"/>
          <w:numId w:val="1"/>
        </w:numPr>
        <w:rPr/>
      </w:pPr>
      <w:r>
        <w:rPr>
          <w:color w:val="172236"/>
          <w:sz w:val="18"/>
        </w:rPr>
        <w:t>Export.</w:t>
      </w:r>
    </w:p>
    <w:p>
      <w:pPr>
        <w:pStyle w:val="ListBullet"/>
        <w:numPr>
          <w:ilvl w:val="0"/>
          <w:numId w:val="1"/>
        </w:numPr>
        <w:rPr/>
      </w:pPr>
      <w:r>
        <w:rPr>
          <w:color w:val="172236"/>
          <w:sz w:val="18"/>
        </w:rPr>
        <w:t>Reproducible research artifacts.</w:t>
      </w:r>
    </w:p>
    <w:p>
      <w:pPr>
        <w:pStyle w:val="Heading3"/>
        <w:rPr/>
      </w:pPr>
      <w:bookmarkStart w:id="154" w:name="__RefHeading___Toc7028_2150751134"/>
      <w:bookmarkEnd w:id="154"/>
      <w:r>
        <w:rPr>
          <w:rFonts w:ascii="Lato" w:hAnsi="Lato"/>
          <w:color w:val="172236"/>
          <w:sz w:val="21"/>
        </w:rPr>
        <w:t>Object Storage</w:t>
      </w:r>
    </w:p>
    <w:p>
      <w:pPr>
        <w:pStyle w:val="ListBullet"/>
        <w:numPr>
          <w:ilvl w:val="0"/>
          <w:numId w:val="1"/>
        </w:numPr>
        <w:rPr/>
      </w:pPr>
      <w:r>
        <w:rPr>
          <w:color w:val="172236"/>
          <w:sz w:val="18"/>
        </w:rPr>
        <w:t>Filing documents.</w:t>
      </w:r>
    </w:p>
    <w:p>
      <w:pPr>
        <w:pStyle w:val="ListBullet"/>
        <w:numPr>
          <w:ilvl w:val="0"/>
          <w:numId w:val="1"/>
        </w:numPr>
        <w:rPr/>
      </w:pPr>
      <w:r>
        <w:rPr>
          <w:color w:val="172236"/>
          <w:sz w:val="18"/>
        </w:rPr>
        <w:t>Model artifacts.</w:t>
      </w:r>
    </w:p>
    <w:p>
      <w:pPr>
        <w:pStyle w:val="ListBullet"/>
        <w:numPr>
          <w:ilvl w:val="0"/>
          <w:numId w:val="1"/>
        </w:numPr>
        <w:rPr/>
      </w:pPr>
      <w:r>
        <w:rPr>
          <w:color w:val="172236"/>
          <w:sz w:val="18"/>
        </w:rPr>
        <w:t>Backtest manifests.</w:t>
      </w:r>
    </w:p>
    <w:p>
      <w:pPr>
        <w:pStyle w:val="ListBullet"/>
        <w:numPr>
          <w:ilvl w:val="0"/>
          <w:numId w:val="1"/>
        </w:numPr>
        <w:rPr/>
      </w:pPr>
      <w:r>
        <w:rPr>
          <w:color w:val="172236"/>
          <w:sz w:val="18"/>
        </w:rPr>
        <w:t>Simulation outputs.</w:t>
      </w:r>
    </w:p>
    <w:p>
      <w:pPr>
        <w:pStyle w:val="ListBullet"/>
        <w:numPr>
          <w:ilvl w:val="0"/>
          <w:numId w:val="1"/>
        </w:numPr>
        <w:rPr/>
      </w:pPr>
      <w:r>
        <w:rPr>
          <w:color w:val="172236"/>
          <w:sz w:val="18"/>
        </w:rPr>
        <w:t>Chart snapshots.</w:t>
      </w:r>
    </w:p>
    <w:p>
      <w:pPr>
        <w:pStyle w:val="ListBullet"/>
        <w:numPr>
          <w:ilvl w:val="0"/>
          <w:numId w:val="1"/>
        </w:numPr>
        <w:rPr/>
      </w:pPr>
      <w:r>
        <w:rPr>
          <w:color w:val="172236"/>
          <w:sz w:val="18"/>
        </w:rPr>
        <w:t>Signed exports.</w:t>
      </w:r>
    </w:p>
    <w:p>
      <w:pPr>
        <w:pStyle w:val="ListBullet"/>
        <w:numPr>
          <w:ilvl w:val="0"/>
          <w:numId w:val="1"/>
        </w:numPr>
        <w:rPr/>
      </w:pPr>
      <w:r>
        <w:rPr>
          <w:color w:val="172236"/>
          <w:sz w:val="18"/>
        </w:rPr>
        <w:t>Encrypted backups.</w:t>
      </w:r>
    </w:p>
    <w:p>
      <w:pPr>
        <w:pStyle w:val="Heading2"/>
        <w:pBdr>
          <w:left w:val="single" w:sz="14" w:space="4" w:color="8B5CF6"/>
        </w:pBdr>
        <w:rPr/>
      </w:pPr>
      <w:bookmarkStart w:id="155" w:name="__RefHeading___Toc7030_2150751134"/>
      <w:bookmarkEnd w:id="155"/>
      <w:r>
        <w:rPr>
          <w:rFonts w:ascii="Lato" w:hAnsi="Lato"/>
          <w:color w:val="172236"/>
          <w:sz w:val="29"/>
        </w:rPr>
        <w:t>21.2 Retention Classes</w:t>
      </w:r>
    </w:p>
    <w:p>
      <w:pPr>
        <w:pStyle w:val="ListBullet"/>
        <w:numPr>
          <w:ilvl w:val="0"/>
          <w:numId w:val="1"/>
        </w:numPr>
        <w:rPr/>
      </w:pPr>
      <w:r>
        <w:rPr>
          <w:color w:val="172236"/>
          <w:sz w:val="18"/>
        </w:rPr>
        <w:t>Ephemeral cache.</w:t>
      </w:r>
    </w:p>
    <w:p>
      <w:pPr>
        <w:pStyle w:val="ListBullet"/>
        <w:numPr>
          <w:ilvl w:val="0"/>
          <w:numId w:val="1"/>
        </w:numPr>
        <w:rPr/>
      </w:pPr>
      <w:r>
        <w:rPr>
          <w:color w:val="172236"/>
          <w:sz w:val="18"/>
        </w:rPr>
        <w:t>Operational data.</w:t>
      </w:r>
    </w:p>
    <w:p>
      <w:pPr>
        <w:pStyle w:val="ListBullet"/>
        <w:numPr>
          <w:ilvl w:val="0"/>
          <w:numId w:val="1"/>
        </w:numPr>
        <w:rPr/>
      </w:pPr>
      <w:r>
        <w:rPr>
          <w:color w:val="172236"/>
          <w:sz w:val="18"/>
        </w:rPr>
        <w:t>Market history.</w:t>
      </w:r>
    </w:p>
    <w:p>
      <w:pPr>
        <w:pStyle w:val="ListBullet"/>
        <w:numPr>
          <w:ilvl w:val="0"/>
          <w:numId w:val="1"/>
        </w:numPr>
        <w:rPr/>
      </w:pPr>
      <w:r>
        <w:rPr>
          <w:color w:val="172236"/>
          <w:sz w:val="18"/>
        </w:rPr>
        <w:t>User content.</w:t>
      </w:r>
    </w:p>
    <w:p>
      <w:pPr>
        <w:pStyle w:val="ListBullet"/>
        <w:numPr>
          <w:ilvl w:val="0"/>
          <w:numId w:val="1"/>
        </w:numPr>
        <w:rPr/>
      </w:pPr>
      <w:r>
        <w:rPr>
          <w:color w:val="172236"/>
          <w:sz w:val="18"/>
        </w:rPr>
        <w:t>Regulatory source documents.</w:t>
      </w:r>
    </w:p>
    <w:p>
      <w:pPr>
        <w:pStyle w:val="ListBullet"/>
        <w:numPr>
          <w:ilvl w:val="0"/>
          <w:numId w:val="1"/>
        </w:numPr>
        <w:rPr/>
      </w:pPr>
      <w:r>
        <w:rPr>
          <w:color w:val="172236"/>
          <w:sz w:val="18"/>
        </w:rPr>
        <w:t>Audit.</w:t>
      </w:r>
    </w:p>
    <w:p>
      <w:pPr>
        <w:pStyle w:val="ListBullet"/>
        <w:numPr>
          <w:ilvl w:val="0"/>
          <w:numId w:val="1"/>
        </w:numPr>
        <w:rPr/>
      </w:pPr>
      <w:r>
        <w:rPr>
          <w:color w:val="172236"/>
          <w:sz w:val="18"/>
        </w:rPr>
        <w:t>Security logs.</w:t>
      </w:r>
    </w:p>
    <w:p>
      <w:pPr>
        <w:pStyle w:val="ListBullet"/>
        <w:numPr>
          <w:ilvl w:val="0"/>
          <w:numId w:val="1"/>
        </w:numPr>
        <w:rPr/>
      </w:pPr>
      <w:r>
        <w:rPr>
          <w:color w:val="172236"/>
          <w:sz w:val="18"/>
        </w:rPr>
        <w:t>Model artifacts.</w:t>
      </w:r>
    </w:p>
    <w:p>
      <w:pPr>
        <w:pStyle w:val="ListBullet"/>
        <w:numPr>
          <w:ilvl w:val="0"/>
          <w:numId w:val="1"/>
        </w:numPr>
        <w:rPr/>
      </w:pPr>
      <w:r>
        <w:rPr>
          <w:color w:val="172236"/>
          <w:sz w:val="18"/>
        </w:rPr>
        <w:t>Backups.</w:t>
      </w:r>
    </w:p>
    <w:p>
      <w:pPr>
        <w:pStyle w:val="Normal"/>
        <w:rPr/>
      </w:pPr>
      <w:r>
        <w:rPr>
          <w:color w:val="172236"/>
          <w:sz w:val="19"/>
        </w:rPr>
        <w:t>Each class MUST define:</w:t>
      </w:r>
    </w:p>
    <w:p>
      <w:pPr>
        <w:pStyle w:val="ListBullet"/>
        <w:numPr>
          <w:ilvl w:val="0"/>
          <w:numId w:val="1"/>
        </w:numPr>
        <w:rPr/>
      </w:pPr>
      <w:r>
        <w:rPr>
          <w:color w:val="172236"/>
          <w:sz w:val="18"/>
        </w:rPr>
        <w:t>Owner.</w:t>
      </w:r>
    </w:p>
    <w:p>
      <w:pPr>
        <w:pStyle w:val="ListBullet"/>
        <w:numPr>
          <w:ilvl w:val="0"/>
          <w:numId w:val="1"/>
        </w:numPr>
        <w:rPr/>
      </w:pPr>
      <w:r>
        <w:rPr>
          <w:color w:val="172236"/>
          <w:sz w:val="18"/>
        </w:rPr>
        <w:t>Retention.</w:t>
      </w:r>
    </w:p>
    <w:p>
      <w:pPr>
        <w:pStyle w:val="ListBullet"/>
        <w:numPr>
          <w:ilvl w:val="0"/>
          <w:numId w:val="1"/>
        </w:numPr>
        <w:rPr/>
      </w:pPr>
      <w:r>
        <w:rPr>
          <w:color w:val="172236"/>
          <w:sz w:val="18"/>
        </w:rPr>
        <w:t>Encryption.</w:t>
      </w:r>
    </w:p>
    <w:p>
      <w:pPr>
        <w:pStyle w:val="ListBullet"/>
        <w:numPr>
          <w:ilvl w:val="0"/>
          <w:numId w:val="1"/>
        </w:numPr>
        <w:rPr/>
      </w:pPr>
      <w:r>
        <w:rPr>
          <w:color w:val="172236"/>
          <w:sz w:val="18"/>
        </w:rPr>
        <w:t>Access.</w:t>
      </w:r>
    </w:p>
    <w:p>
      <w:pPr>
        <w:pStyle w:val="ListBullet"/>
        <w:numPr>
          <w:ilvl w:val="0"/>
          <w:numId w:val="1"/>
        </w:numPr>
        <w:rPr/>
      </w:pPr>
      <w:r>
        <w:rPr>
          <w:color w:val="172236"/>
          <w:sz w:val="18"/>
        </w:rPr>
        <w:t>Export.</w:t>
      </w:r>
    </w:p>
    <w:p>
      <w:pPr>
        <w:pStyle w:val="ListBullet"/>
        <w:numPr>
          <w:ilvl w:val="0"/>
          <w:numId w:val="1"/>
        </w:numPr>
        <w:rPr/>
      </w:pPr>
      <w:r>
        <w:rPr>
          <w:color w:val="172236"/>
          <w:sz w:val="18"/>
        </w:rPr>
        <w:t>Deletion.</w:t>
      </w:r>
    </w:p>
    <w:p>
      <w:pPr>
        <w:pStyle w:val="ListBullet"/>
        <w:numPr>
          <w:ilvl w:val="0"/>
          <w:numId w:val="1"/>
        </w:numPr>
        <w:rPr/>
      </w:pPr>
      <w:r>
        <w:rPr>
          <w:color w:val="172236"/>
          <w:sz w:val="18"/>
        </w:rPr>
        <w:t>Legal hold.</w:t>
      </w:r>
    </w:p>
    <w:p>
      <w:pPr>
        <w:pStyle w:val="ListBullet"/>
        <w:numPr>
          <w:ilvl w:val="0"/>
          <w:numId w:val="1"/>
        </w:numPr>
        <w:rPr/>
      </w:pPr>
      <w:r>
        <w:rPr>
          <w:color w:val="172236"/>
          <w:sz w:val="18"/>
        </w:rPr>
        <w:t>Backup.</w:t>
      </w:r>
    </w:p>
    <w:p>
      <w:pPr>
        <w:pStyle w:val="ListBullet"/>
        <w:numPr>
          <w:ilvl w:val="0"/>
          <w:numId w:val="1"/>
        </w:numPr>
        <w:rPr/>
      </w:pPr>
      <w:r>
        <w:rPr>
          <w:color w:val="172236"/>
          <w:sz w:val="18"/>
        </w:rPr>
        <w:t>Restore objective.</w:t>
      </w:r>
    </w:p>
    <w:p>
      <w:pPr>
        <w:pStyle w:val="Heading2"/>
        <w:pBdr>
          <w:left w:val="single" w:sz="14" w:space="4" w:color="8B5CF6"/>
        </w:pBdr>
        <w:rPr/>
      </w:pPr>
      <w:bookmarkStart w:id="156" w:name="__RefHeading___Toc7032_2150751134"/>
      <w:bookmarkEnd w:id="156"/>
      <w:r>
        <w:rPr>
          <w:rFonts w:ascii="Lato" w:hAnsi="Lato"/>
          <w:color w:val="172236"/>
          <w:sz w:val="29"/>
        </w:rPr>
        <w:t>21.3 Local Encryption</w:t>
      </w:r>
    </w:p>
    <w:p>
      <w:pPr>
        <w:pStyle w:val="Normal"/>
        <w:rPr/>
      </w:pPr>
      <w:r>
        <w:rPr>
          <w:color w:val="172236"/>
          <w:sz w:val="19"/>
        </w:rPr>
        <w:t>Local databases SHOULD use application-layer envelope encryption for sensitive columns in addition to platform disk encryption.</w:t>
      </w:r>
    </w:p>
    <w:p>
      <w:pPr>
        <w:pStyle w:val="Heading1"/>
        <w:pBdr>
          <w:bottom w:val="single" w:sz="12" w:space="5" w:color="33C7F2"/>
        </w:pBdr>
        <w:rPr/>
      </w:pPr>
      <w:bookmarkStart w:id="157" w:name="__RefHeading___Toc7034_2150751134"/>
      <w:bookmarkEnd w:id="157"/>
      <w:r>
        <w:rPr>
          <w:rFonts w:ascii="Lato" w:hAnsi="Lato"/>
          <w:color w:val="172236"/>
          <w:sz w:val="42"/>
        </w:rPr>
        <w:t>22. Real-Time Streaming and Event Architecture</w:t>
      </w:r>
    </w:p>
    <w:p>
      <w:pPr>
        <w:pStyle w:val="Heading2"/>
        <w:pBdr>
          <w:left w:val="single" w:sz="14" w:space="4" w:color="8B5CF6"/>
        </w:pBdr>
        <w:rPr/>
      </w:pPr>
      <w:bookmarkStart w:id="158" w:name="__RefHeading___Toc7036_2150751134"/>
      <w:bookmarkEnd w:id="158"/>
      <w:r>
        <w:rPr>
          <w:rFonts w:ascii="Lato" w:hAnsi="Lato"/>
          <w:color w:val="172236"/>
          <w:sz w:val="29"/>
        </w:rPr>
        <w:t>22.1 Event Bus</w:t>
      </w:r>
    </w:p>
    <w:p>
      <w:pPr>
        <w:pStyle w:val="Normal"/>
        <w:rPr/>
      </w:pPr>
      <w:r>
        <w:rPr>
          <w:color w:val="172236"/>
          <w:sz w:val="19"/>
        </w:rPr>
        <w:t>For local/modular deployment:</w:t>
      </w:r>
    </w:p>
    <w:p>
      <w:pPr>
        <w:pStyle w:val="ListBullet"/>
        <w:numPr>
          <w:ilvl w:val="0"/>
          <w:numId w:val="1"/>
        </w:numPr>
        <w:rPr/>
      </w:pPr>
      <w:r>
        <w:rPr>
          <w:color w:val="172236"/>
          <w:sz w:val="18"/>
        </w:rPr>
        <w:t>Tokio channels for intra-process messaging.</w:t>
      </w:r>
    </w:p>
    <w:p>
      <w:pPr>
        <w:pStyle w:val="ListBullet"/>
        <w:numPr>
          <w:ilvl w:val="0"/>
          <w:numId w:val="1"/>
        </w:numPr>
        <w:rPr/>
      </w:pPr>
      <w:r>
        <w:rPr>
          <w:color w:val="172236"/>
          <w:sz w:val="18"/>
        </w:rPr>
        <w:t>Durable outbox for state changes.</w:t>
      </w:r>
    </w:p>
    <w:p>
      <w:pPr>
        <w:pStyle w:val="ListBullet"/>
        <w:numPr>
          <w:ilvl w:val="0"/>
          <w:numId w:val="1"/>
        </w:numPr>
        <w:rPr/>
      </w:pPr>
      <w:r>
        <w:rPr>
          <w:color w:val="172236"/>
          <w:sz w:val="18"/>
        </w:rPr>
        <w:t>SQLite/PostgreSQL job queue where sufficient.</w:t>
      </w:r>
    </w:p>
    <w:p>
      <w:pPr>
        <w:pStyle w:val="Normal"/>
        <w:rPr/>
      </w:pPr>
      <w:r>
        <w:rPr>
          <w:color w:val="172236"/>
          <w:sz w:val="19"/>
        </w:rPr>
        <w:t>For scaled deployment:</w:t>
      </w:r>
    </w:p>
    <w:p>
      <w:pPr>
        <w:pStyle w:val="ListBullet"/>
        <w:numPr>
          <w:ilvl w:val="0"/>
          <w:numId w:val="1"/>
        </w:numPr>
        <w:rPr/>
      </w:pPr>
      <w:r>
        <w:rPr>
          <w:color w:val="172236"/>
          <w:sz w:val="18"/>
        </w:rPr>
        <w:t>NATS JetStream SHOULD be evaluated first.</w:t>
      </w:r>
    </w:p>
    <w:p>
      <w:pPr>
        <w:pStyle w:val="ListBullet"/>
        <w:numPr>
          <w:ilvl w:val="0"/>
          <w:numId w:val="1"/>
        </w:numPr>
        <w:rPr/>
      </w:pPr>
      <w:r>
        <w:rPr>
          <w:color w:val="172236"/>
          <w:sz w:val="18"/>
        </w:rPr>
        <w:t>Kafka/Redpanda MAY be used for large sustained event volume and replay requirements.</w:t>
      </w:r>
    </w:p>
    <w:p>
      <w:pPr>
        <w:pStyle w:val="Heading2"/>
        <w:pBdr>
          <w:left w:val="single" w:sz="14" w:space="4" w:color="8B5CF6"/>
        </w:pBdr>
        <w:rPr/>
      </w:pPr>
      <w:bookmarkStart w:id="159" w:name="__RefHeading___Toc7038_2150751134"/>
      <w:bookmarkEnd w:id="159"/>
      <w:r>
        <w:rPr>
          <w:rFonts w:ascii="Lato" w:hAnsi="Lato"/>
          <w:color w:val="172236"/>
          <w:sz w:val="29"/>
        </w:rPr>
        <w:t>22.2 Event Envelope</w:t>
      </w:r>
    </w:p>
    <w:p>
      <w:pPr>
        <w:pStyle w:val="Normal"/>
        <w:keepNext w:val="true"/>
        <w:pBdr>
          <w:left w:val="single" w:sz="18" w:space="4" w:color="8B5CF6"/>
        </w:pBdr>
        <w:shd w:fill="0D1C32"/>
        <w:spacing w:before="120" w:after="0"/>
        <w:rPr/>
      </w:pPr>
      <w:r>
        <w:rPr>
          <w:rFonts w:ascii="Inter Display" w:hAnsi="Inter Display"/>
          <w:b/>
          <w:color w:val="33C7F2"/>
          <w:sz w:val="14"/>
        </w:rPr>
        <w:t>JSON</w:t>
      </w:r>
    </w:p>
    <w:p>
      <w:pPr>
        <w:pStyle w:val="CodeBlock"/>
        <w:keepLines/>
        <w:pBdr>
          <w:left w:val="single" w:sz="18" w:space="4" w:color="8B5CF6"/>
        </w:pBdr>
        <w:shd w:fill="0D1C32"/>
        <w:spacing w:lineRule="auto" w:line="240" w:before="0" w:after="140"/>
        <w:rPr/>
      </w:pPr>
      <w:r>
        <w:rPr>
          <w:color w:val="D9E5F5"/>
          <w:sz w:val="14"/>
        </w:rPr>
        <w:t>{</w:t>
        <w:br/>
        <w:t xml:space="preserve">  "event_id": "01J...",</w:t>
        <w:br/>
        <w:t xml:space="preserve">  "event_type": "MarketSnapshotUpdated",</w:t>
        <w:br/>
        <w:t xml:space="preserve">  "schema_version": 1,</w:t>
        <w:br/>
        <w:t xml:space="preserve">  "produced_at": "2026-07-13T15:00:00Z",</w:t>
        <w:br/>
        <w:t xml:space="preserve">  "producer": "coingecko-adapter",</w:t>
        <w:br/>
        <w:t xml:space="preserve">  "correlation_id": "01J...",</w:t>
        <w:br/>
        <w:t xml:space="preserve">  "tenant_id": null,</w:t>
        <w:br/>
        <w:t xml:space="preserve">  "data_classification": "public-market-data",</w:t>
        <w:br/>
        <w:t xml:space="preserve">  "payload": {}</w:t>
        <w:br/>
        <w:t>}</w:t>
      </w:r>
    </w:p>
    <w:p>
      <w:pPr>
        <w:pStyle w:val="Heading2"/>
        <w:pBdr>
          <w:left w:val="single" w:sz="14" w:space="4" w:color="8B5CF6"/>
        </w:pBdr>
        <w:rPr/>
      </w:pPr>
      <w:bookmarkStart w:id="160" w:name="__RefHeading___Toc7040_2150751134"/>
      <w:bookmarkEnd w:id="160"/>
      <w:r>
        <w:rPr>
          <w:rFonts w:ascii="Lato" w:hAnsi="Lato"/>
          <w:color w:val="172236"/>
          <w:sz w:val="29"/>
        </w:rPr>
        <w:t>22.3 Reliability</w:t>
      </w:r>
    </w:p>
    <w:p>
      <w:pPr>
        <w:pStyle w:val="ListBullet"/>
        <w:numPr>
          <w:ilvl w:val="0"/>
          <w:numId w:val="1"/>
        </w:numPr>
        <w:rPr/>
      </w:pPr>
      <w:r>
        <w:rPr>
          <w:color w:val="172236"/>
          <w:sz w:val="18"/>
        </w:rPr>
        <w:t>Transactional outbox.</w:t>
      </w:r>
    </w:p>
    <w:p>
      <w:pPr>
        <w:pStyle w:val="ListBullet"/>
        <w:numPr>
          <w:ilvl w:val="0"/>
          <w:numId w:val="1"/>
        </w:numPr>
        <w:rPr/>
      </w:pPr>
      <w:r>
        <w:rPr>
          <w:color w:val="172236"/>
          <w:sz w:val="18"/>
        </w:rPr>
        <w:t>Idempotent consumers.</w:t>
      </w:r>
    </w:p>
    <w:p>
      <w:pPr>
        <w:pStyle w:val="ListBullet"/>
        <w:numPr>
          <w:ilvl w:val="0"/>
          <w:numId w:val="1"/>
        </w:numPr>
        <w:rPr/>
      </w:pPr>
      <w:r>
        <w:rPr>
          <w:color w:val="172236"/>
          <w:sz w:val="18"/>
        </w:rPr>
        <w:t>Dead-letter queues.</w:t>
      </w:r>
    </w:p>
    <w:p>
      <w:pPr>
        <w:pStyle w:val="ListBullet"/>
        <w:numPr>
          <w:ilvl w:val="0"/>
          <w:numId w:val="1"/>
        </w:numPr>
        <w:rPr/>
      </w:pPr>
      <w:r>
        <w:rPr>
          <w:color w:val="172236"/>
          <w:sz w:val="18"/>
        </w:rPr>
        <w:t>Replay controls.</w:t>
      </w:r>
    </w:p>
    <w:p>
      <w:pPr>
        <w:pStyle w:val="ListBullet"/>
        <w:numPr>
          <w:ilvl w:val="0"/>
          <w:numId w:val="1"/>
        </w:numPr>
        <w:rPr/>
      </w:pPr>
      <w:r>
        <w:rPr>
          <w:color w:val="172236"/>
          <w:sz w:val="18"/>
        </w:rPr>
        <w:t>Schema compatibility.</w:t>
      </w:r>
    </w:p>
    <w:p>
      <w:pPr>
        <w:pStyle w:val="ListBullet"/>
        <w:numPr>
          <w:ilvl w:val="0"/>
          <w:numId w:val="1"/>
        </w:numPr>
        <w:rPr/>
      </w:pPr>
      <w:r>
        <w:rPr>
          <w:color w:val="172236"/>
          <w:sz w:val="18"/>
        </w:rPr>
        <w:t>Bounded queues.</w:t>
      </w:r>
    </w:p>
    <w:p>
      <w:pPr>
        <w:pStyle w:val="ListBullet"/>
        <w:numPr>
          <w:ilvl w:val="0"/>
          <w:numId w:val="1"/>
        </w:numPr>
        <w:rPr/>
      </w:pPr>
      <w:r>
        <w:rPr>
          <w:color w:val="172236"/>
          <w:sz w:val="18"/>
        </w:rPr>
        <w:t>Backpressure.</w:t>
      </w:r>
    </w:p>
    <w:p>
      <w:pPr>
        <w:pStyle w:val="ListBullet"/>
        <w:numPr>
          <w:ilvl w:val="0"/>
          <w:numId w:val="1"/>
        </w:numPr>
        <w:rPr/>
      </w:pPr>
      <w:r>
        <w:rPr>
          <w:color w:val="172236"/>
          <w:sz w:val="18"/>
        </w:rPr>
        <w:t>Per-provider concurrency limits.</w:t>
      </w:r>
    </w:p>
    <w:p>
      <w:pPr>
        <w:pStyle w:val="ListBullet"/>
        <w:numPr>
          <w:ilvl w:val="0"/>
          <w:numId w:val="1"/>
        </w:numPr>
        <w:rPr/>
      </w:pPr>
      <w:r>
        <w:rPr>
          <w:color w:val="172236"/>
          <w:sz w:val="18"/>
        </w:rPr>
        <w:t>Poison-message quarantine.</w:t>
      </w:r>
    </w:p>
    <w:p>
      <w:pPr>
        <w:pStyle w:val="Normal"/>
        <w:spacing w:before="0" w:after="0"/>
        <w:jc w:val="center"/>
        <w:rPr/>
      </w:pPr>
      <w:r>
        <w:rPr/>
        <w:drawing>
          <wp:inline distT="0" distB="0" distL="0" distR="0">
            <wp:extent cx="6546850" cy="8174990"/>
            <wp:effectExtent l="0" t="0" r="0" b="0"/>
            <wp:docPr id="13" name="Picture 13" descr="Image: image13.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title=""/>
                    <pic:cNvPicPr>
                      <a:picLocks noChangeAspect="1" noChangeArrowheads="1"/>
                    </pic:cNvPicPr>
                  </pic:nvPicPr>
                  <pic:blipFill>
                    <a:blip r:embed="rId44"/>
                    <a:stretch>
                      <a:fillRect/>
                    </a:stretch>
                  </pic:blipFill>
                  <pic:spPr bwMode="auto">
                    <a:xfrm>
                      <a:off x="0" y="0"/>
                      <a:ext cx="6546850" cy="8174990"/>
                    </a:xfrm>
                    <a:prstGeom prst="rect">
                      <a:avLst/>
                    </a:prstGeom>
                    <a:noFill/>
                  </pic:spPr>
                </pic:pic>
              </a:graphicData>
            </a:graphic>
          </wp:inline>
        </w:drawing>
      </w:r>
    </w:p>
    <w:p>
      <w:pPr>
        <w:pStyle w:val="Normal"/>
        <w:rPr/>
      </w:pPr>
      <w:r>
        <w:rPr/>
      </w:r>
    </w:p>
    <w:p>
      <w:pPr>
        <w:sectPr>
          <w:headerReference w:type="even" r:id="rId45"/>
          <w:headerReference w:type="default" r:id="rId46"/>
          <w:headerReference w:type="first" r:id="rId47"/>
          <w:footerReference w:type="even" r:id="rId48"/>
          <w:footerReference w:type="default" r:id="rId49"/>
          <w:footerReference w:type="first" r:id="rId50"/>
          <w:type w:val="nextPage"/>
          <w:pgSz w:w="12240" w:h="15840"/>
          <w:pgMar w:left="965" w:right="965" w:gutter="0" w:header="360" w:top="893" w:footer="360" w:bottom="835"/>
          <w:pgNumType w:fmt="decimal"/>
          <w:formProt w:val="false"/>
          <w:textDirection w:val="lrTb"/>
          <w:docGrid w:type="default" w:linePitch="312" w:charSpace="4096"/>
        </w:sectPr>
      </w:pPr>
      <w:r>
        <w:br w:type="page"/>
      </w:r>
    </w:p>
    <w:p>
      <w:pPr>
        <w:pStyle w:val="Heading1"/>
        <w:pBdr>
          <w:bottom w:val="single" w:sz="12" w:space="5" w:color="33C7F2"/>
        </w:pBdr>
        <w:rPr/>
      </w:pPr>
      <w:bookmarkStart w:id="161" w:name="__RefHeading___Toc7042_2150751134"/>
      <w:bookmarkEnd w:id="161"/>
      <w:r>
        <w:rPr>
          <w:rFonts w:ascii="Lato" w:hAnsi="Lato"/>
          <w:color w:val="172236"/>
          <w:sz w:val="42"/>
        </w:rPr>
        <w:t>23. Security Architecture</w:t>
      </w:r>
    </w:p>
    <w:p>
      <w:pPr>
        <w:pStyle w:val="Normal"/>
        <w:spacing w:before="140" w:after="20"/>
        <w:jc w:val="center"/>
        <w:rPr/>
      </w:pPr>
      <w:r>
        <w:rPr/>
        <w:drawing>
          <wp:inline distT="0" distB="0" distL="0" distR="0">
            <wp:extent cx="5394960" cy="5285740"/>
            <wp:effectExtent l="0" t="0" r="0" b="0"/>
            <wp:docPr id="14" name="Picture 14" descr="Image: image14.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title=""/>
                    <pic:cNvPicPr>
                      <a:picLocks noChangeAspect="1" noChangeArrowheads="1"/>
                    </pic:cNvPicPr>
                  </pic:nvPicPr>
                  <pic:blipFill>
                    <a:blip r:embed="rId51"/>
                    <a:stretch>
                      <a:fillRect/>
                    </a:stretch>
                  </pic:blipFill>
                  <pic:spPr bwMode="auto">
                    <a:xfrm>
                      <a:off x="0" y="0"/>
                      <a:ext cx="5394960" cy="5285740"/>
                    </a:xfrm>
                    <a:prstGeom prst="rect">
                      <a:avLst/>
                    </a:prstGeom>
                    <a:noFill/>
                  </pic:spPr>
                </pic:pic>
              </a:graphicData>
            </a:graphic>
          </wp:inline>
        </w:drawing>
      </w:r>
    </w:p>
    <w:p>
      <w:pPr>
        <w:pStyle w:val="CaptionCustom"/>
        <w:rPr/>
      </w:pPr>
      <w:r>
        <w:rPr/>
        <w:t>Figure 7 - Defense-in-depth security model protecting user action, keys, services, data, models, and the supply chain.</w:t>
      </w:r>
    </w:p>
    <w:p>
      <w:pPr>
        <w:pStyle w:val="Heading2"/>
        <w:pBdr>
          <w:left w:val="single" w:sz="14" w:space="4" w:color="8B5CF6"/>
        </w:pBdr>
        <w:rPr/>
      </w:pPr>
      <w:bookmarkStart w:id="162" w:name="__RefHeading___Toc7044_2150751134"/>
      <w:bookmarkEnd w:id="162"/>
      <w:r>
        <w:rPr>
          <w:rFonts w:ascii="Lato" w:hAnsi="Lato"/>
          <w:color w:val="172236"/>
          <w:sz w:val="29"/>
        </w:rPr>
        <w:t>23.1 Threat Model Assets</w:t>
      </w:r>
    </w:p>
    <w:p>
      <w:pPr>
        <w:pStyle w:val="ListBullet"/>
        <w:numPr>
          <w:ilvl w:val="0"/>
          <w:numId w:val="1"/>
        </w:numPr>
        <w:rPr/>
      </w:pPr>
      <w:r>
        <w:rPr>
          <w:color w:val="172236"/>
          <w:sz w:val="18"/>
        </w:rPr>
        <w:t>Broker credentials.</w:t>
      </w:r>
    </w:p>
    <w:p>
      <w:pPr>
        <w:pStyle w:val="ListBullet"/>
        <w:numPr>
          <w:ilvl w:val="0"/>
          <w:numId w:val="1"/>
        </w:numPr>
        <w:rPr/>
      </w:pPr>
      <w:r>
        <w:rPr>
          <w:color w:val="172236"/>
          <w:sz w:val="18"/>
        </w:rPr>
        <w:t>Exchange API keys.</w:t>
      </w:r>
    </w:p>
    <w:p>
      <w:pPr>
        <w:pStyle w:val="ListBullet"/>
        <w:numPr>
          <w:ilvl w:val="0"/>
          <w:numId w:val="1"/>
        </w:numPr>
        <w:rPr/>
      </w:pPr>
      <w:r>
        <w:rPr>
          <w:color w:val="172236"/>
          <w:sz w:val="18"/>
        </w:rPr>
        <w:t>User identity.</w:t>
      </w:r>
    </w:p>
    <w:p>
      <w:pPr>
        <w:pStyle w:val="ListBullet"/>
        <w:numPr>
          <w:ilvl w:val="0"/>
          <w:numId w:val="1"/>
        </w:numPr>
        <w:rPr/>
      </w:pPr>
      <w:r>
        <w:rPr>
          <w:color w:val="172236"/>
          <w:sz w:val="18"/>
        </w:rPr>
        <w:t>Portfolio data.</w:t>
      </w:r>
    </w:p>
    <w:p>
      <w:pPr>
        <w:pStyle w:val="ListBullet"/>
        <w:numPr>
          <w:ilvl w:val="0"/>
          <w:numId w:val="1"/>
        </w:numPr>
        <w:rPr/>
      </w:pPr>
      <w:r>
        <w:rPr>
          <w:color w:val="172236"/>
          <w:sz w:val="18"/>
        </w:rPr>
        <w:t>Trade history.</w:t>
      </w:r>
    </w:p>
    <w:p>
      <w:pPr>
        <w:pStyle w:val="ListBullet"/>
        <w:numPr>
          <w:ilvl w:val="0"/>
          <w:numId w:val="1"/>
        </w:numPr>
        <w:rPr/>
      </w:pPr>
      <w:r>
        <w:rPr>
          <w:color w:val="172236"/>
          <w:sz w:val="18"/>
        </w:rPr>
        <w:t>Strategy IP.</w:t>
      </w:r>
    </w:p>
    <w:p>
      <w:pPr>
        <w:pStyle w:val="ListBullet"/>
        <w:numPr>
          <w:ilvl w:val="0"/>
          <w:numId w:val="1"/>
        </w:numPr>
        <w:rPr/>
      </w:pPr>
      <w:r>
        <w:rPr>
          <w:color w:val="172236"/>
          <w:sz w:val="18"/>
        </w:rPr>
        <w:t>AI context.</w:t>
      </w:r>
    </w:p>
    <w:p>
      <w:pPr>
        <w:pStyle w:val="ListBullet"/>
        <w:numPr>
          <w:ilvl w:val="0"/>
          <w:numId w:val="1"/>
        </w:numPr>
        <w:rPr/>
      </w:pPr>
      <w:r>
        <w:rPr>
          <w:color w:val="172236"/>
          <w:sz w:val="18"/>
        </w:rPr>
        <w:t>Provider API keys.</w:t>
      </w:r>
    </w:p>
    <w:p>
      <w:pPr>
        <w:pStyle w:val="ListBullet"/>
        <w:numPr>
          <w:ilvl w:val="0"/>
          <w:numId w:val="1"/>
        </w:numPr>
        <w:rPr/>
      </w:pPr>
      <w:r>
        <w:rPr>
          <w:color w:val="172236"/>
          <w:sz w:val="18"/>
        </w:rPr>
        <w:t>Cryptographic keys.</w:t>
      </w:r>
    </w:p>
    <w:p>
      <w:pPr>
        <w:pStyle w:val="ListBullet"/>
        <w:numPr>
          <w:ilvl w:val="0"/>
          <w:numId w:val="1"/>
        </w:numPr>
        <w:rPr/>
      </w:pPr>
      <w:r>
        <w:rPr>
          <w:color w:val="172236"/>
          <w:sz w:val="18"/>
        </w:rPr>
        <w:t>Update trust roots.</w:t>
      </w:r>
    </w:p>
    <w:p>
      <w:pPr>
        <w:pStyle w:val="ListBullet"/>
        <w:numPr>
          <w:ilvl w:val="0"/>
          <w:numId w:val="1"/>
        </w:numPr>
        <w:rPr/>
      </w:pPr>
      <w:r>
        <w:rPr>
          <w:color w:val="172236"/>
          <w:sz w:val="18"/>
        </w:rPr>
        <w:t>Plugin/MCP permissions.</w:t>
      </w:r>
    </w:p>
    <w:p>
      <w:pPr>
        <w:pStyle w:val="ListBullet"/>
        <w:numPr>
          <w:ilvl w:val="0"/>
          <w:numId w:val="1"/>
        </w:numPr>
        <w:rPr/>
      </w:pPr>
      <w:r>
        <w:rPr>
          <w:color w:val="172236"/>
          <w:sz w:val="18"/>
        </w:rPr>
        <w:t>Audit logs.</w:t>
      </w:r>
    </w:p>
    <w:p>
      <w:pPr>
        <w:pStyle w:val="ListBullet"/>
        <w:numPr>
          <w:ilvl w:val="0"/>
          <w:numId w:val="1"/>
        </w:numPr>
        <w:rPr/>
      </w:pPr>
      <w:r>
        <w:rPr>
          <w:color w:val="172236"/>
          <w:sz w:val="18"/>
        </w:rPr>
        <w:t>Model artifacts.</w:t>
      </w:r>
    </w:p>
    <w:p>
      <w:pPr>
        <w:pStyle w:val="Heading2"/>
        <w:pBdr>
          <w:left w:val="single" w:sz="14" w:space="4" w:color="8B5CF6"/>
        </w:pBdr>
        <w:rPr/>
      </w:pPr>
      <w:bookmarkStart w:id="163" w:name="__RefHeading___Toc7046_2150751134"/>
      <w:bookmarkEnd w:id="163"/>
      <w:r>
        <w:rPr>
          <w:rFonts w:ascii="Lato" w:hAnsi="Lato"/>
          <w:color w:val="172236"/>
          <w:sz w:val="29"/>
        </w:rPr>
        <w:t>23.2 Primary Threats</w:t>
      </w:r>
    </w:p>
    <w:p>
      <w:pPr>
        <w:pStyle w:val="ListBullet"/>
        <w:numPr>
          <w:ilvl w:val="0"/>
          <w:numId w:val="1"/>
        </w:numPr>
        <w:rPr/>
      </w:pPr>
      <w:r>
        <w:rPr>
          <w:color w:val="172236"/>
          <w:sz w:val="18"/>
        </w:rPr>
        <w:t>Credential theft.</w:t>
      </w:r>
    </w:p>
    <w:p>
      <w:pPr>
        <w:pStyle w:val="ListBullet"/>
        <w:numPr>
          <w:ilvl w:val="0"/>
          <w:numId w:val="1"/>
        </w:numPr>
        <w:rPr/>
      </w:pPr>
      <w:r>
        <w:rPr>
          <w:color w:val="172236"/>
          <w:sz w:val="18"/>
        </w:rPr>
        <w:t>Unauthorized trading.</w:t>
      </w:r>
    </w:p>
    <w:p>
      <w:pPr>
        <w:pStyle w:val="ListBullet"/>
        <w:numPr>
          <w:ilvl w:val="0"/>
          <w:numId w:val="1"/>
        </w:numPr>
        <w:rPr/>
      </w:pPr>
      <w:r>
        <w:rPr>
          <w:color w:val="172236"/>
          <w:sz w:val="18"/>
        </w:rPr>
        <w:t>Malicious plugin or MCP server.</w:t>
      </w:r>
    </w:p>
    <w:p>
      <w:pPr>
        <w:pStyle w:val="ListBullet"/>
        <w:numPr>
          <w:ilvl w:val="0"/>
          <w:numId w:val="1"/>
        </w:numPr>
        <w:rPr/>
      </w:pPr>
      <w:r>
        <w:rPr>
          <w:color w:val="172236"/>
          <w:sz w:val="18"/>
        </w:rPr>
        <w:t>Supply-chain compromise.</w:t>
      </w:r>
    </w:p>
    <w:p>
      <w:pPr>
        <w:pStyle w:val="ListBullet"/>
        <w:numPr>
          <w:ilvl w:val="0"/>
          <w:numId w:val="1"/>
        </w:numPr>
        <w:rPr/>
      </w:pPr>
      <w:r>
        <w:rPr>
          <w:color w:val="172236"/>
          <w:sz w:val="18"/>
        </w:rPr>
        <w:t>IPC abuse.</w:t>
      </w:r>
    </w:p>
    <w:p>
      <w:pPr>
        <w:pStyle w:val="ListBullet"/>
        <w:numPr>
          <w:ilvl w:val="0"/>
          <w:numId w:val="1"/>
        </w:numPr>
        <w:rPr/>
      </w:pPr>
      <w:r>
        <w:rPr>
          <w:color w:val="172236"/>
          <w:sz w:val="18"/>
        </w:rPr>
        <w:t>WebView injection.</w:t>
      </w:r>
    </w:p>
    <w:p>
      <w:pPr>
        <w:pStyle w:val="ListBullet"/>
        <w:numPr>
          <w:ilvl w:val="0"/>
          <w:numId w:val="1"/>
        </w:numPr>
        <w:rPr/>
      </w:pPr>
      <w:r>
        <w:rPr>
          <w:color w:val="172236"/>
          <w:sz w:val="18"/>
        </w:rPr>
        <w:t>XSS and content injection from filings/news.</w:t>
      </w:r>
    </w:p>
    <w:p>
      <w:pPr>
        <w:pStyle w:val="ListBullet"/>
        <w:numPr>
          <w:ilvl w:val="0"/>
          <w:numId w:val="1"/>
        </w:numPr>
        <w:rPr/>
      </w:pPr>
      <w:r>
        <w:rPr>
          <w:color w:val="172236"/>
          <w:sz w:val="18"/>
        </w:rPr>
        <w:t>SSRF through provider connectors.</w:t>
      </w:r>
    </w:p>
    <w:p>
      <w:pPr>
        <w:pStyle w:val="ListBullet"/>
        <w:numPr>
          <w:ilvl w:val="0"/>
          <w:numId w:val="1"/>
        </w:numPr>
        <w:rPr/>
      </w:pPr>
      <w:r>
        <w:rPr>
          <w:color w:val="172236"/>
          <w:sz w:val="18"/>
        </w:rPr>
        <w:t>Replay and duplicate orders.</w:t>
      </w:r>
    </w:p>
    <w:p>
      <w:pPr>
        <w:pStyle w:val="ListBullet"/>
        <w:numPr>
          <w:ilvl w:val="0"/>
          <w:numId w:val="1"/>
        </w:numPr>
        <w:rPr/>
      </w:pPr>
      <w:r>
        <w:rPr>
          <w:color w:val="172236"/>
          <w:sz w:val="18"/>
        </w:rPr>
        <w:t>Data poisoning.</w:t>
      </w:r>
    </w:p>
    <w:p>
      <w:pPr>
        <w:pStyle w:val="ListBullet"/>
        <w:numPr>
          <w:ilvl w:val="0"/>
          <w:numId w:val="1"/>
        </w:numPr>
        <w:rPr/>
      </w:pPr>
      <w:r>
        <w:rPr>
          <w:color w:val="172236"/>
          <w:sz w:val="18"/>
        </w:rPr>
        <w:t>Model manipulation.</w:t>
      </w:r>
    </w:p>
    <w:p>
      <w:pPr>
        <w:pStyle w:val="ListBullet"/>
        <w:numPr>
          <w:ilvl w:val="0"/>
          <w:numId w:val="1"/>
        </w:numPr>
        <w:rPr/>
      </w:pPr>
      <w:r>
        <w:rPr>
          <w:color w:val="172236"/>
          <w:sz w:val="18"/>
        </w:rPr>
        <w:t>Stale-data execution.</w:t>
      </w:r>
    </w:p>
    <w:p>
      <w:pPr>
        <w:pStyle w:val="ListBullet"/>
        <w:numPr>
          <w:ilvl w:val="0"/>
          <w:numId w:val="1"/>
        </w:numPr>
        <w:rPr/>
      </w:pPr>
      <w:r>
        <w:rPr>
          <w:color w:val="172236"/>
          <w:sz w:val="18"/>
        </w:rPr>
        <w:t>Privilege escalation.</w:t>
      </w:r>
    </w:p>
    <w:p>
      <w:pPr>
        <w:pStyle w:val="ListBullet"/>
        <w:numPr>
          <w:ilvl w:val="0"/>
          <w:numId w:val="1"/>
        </w:numPr>
        <w:rPr/>
      </w:pPr>
      <w:r>
        <w:rPr>
          <w:color w:val="172236"/>
          <w:sz w:val="18"/>
        </w:rPr>
        <w:t>Memory scraping.</w:t>
      </w:r>
    </w:p>
    <w:p>
      <w:pPr>
        <w:pStyle w:val="ListBullet"/>
        <w:numPr>
          <w:ilvl w:val="0"/>
          <w:numId w:val="1"/>
        </w:numPr>
        <w:rPr/>
      </w:pPr>
      <w:r>
        <w:rPr>
          <w:color w:val="172236"/>
          <w:sz w:val="18"/>
        </w:rPr>
        <w:t>Local database theft.</w:t>
      </w:r>
    </w:p>
    <w:p>
      <w:pPr>
        <w:pStyle w:val="ListBullet"/>
        <w:numPr>
          <w:ilvl w:val="0"/>
          <w:numId w:val="1"/>
        </w:numPr>
        <w:rPr/>
      </w:pPr>
      <w:r>
        <w:rPr>
          <w:color w:val="172236"/>
          <w:sz w:val="18"/>
        </w:rPr>
        <w:t>Update hijacking.</w:t>
      </w:r>
    </w:p>
    <w:p>
      <w:pPr>
        <w:pStyle w:val="ListBullet"/>
        <w:numPr>
          <w:ilvl w:val="0"/>
          <w:numId w:val="1"/>
        </w:numPr>
        <w:rPr/>
      </w:pPr>
      <w:r>
        <w:rPr>
          <w:color w:val="172236"/>
          <w:sz w:val="18"/>
        </w:rPr>
        <w:t>Insider misuse.</w:t>
      </w:r>
    </w:p>
    <w:p>
      <w:pPr>
        <w:pStyle w:val="ListBullet"/>
        <w:numPr>
          <w:ilvl w:val="0"/>
          <w:numId w:val="1"/>
        </w:numPr>
        <w:rPr/>
      </w:pPr>
      <w:r>
        <w:rPr>
          <w:color w:val="172236"/>
          <w:sz w:val="18"/>
        </w:rPr>
        <w:t>Denial of service.</w:t>
      </w:r>
    </w:p>
    <w:p>
      <w:pPr>
        <w:pStyle w:val="ListBullet"/>
        <w:numPr>
          <w:ilvl w:val="0"/>
          <w:numId w:val="1"/>
        </w:numPr>
        <w:rPr/>
      </w:pPr>
      <w:r>
        <w:rPr>
          <w:color w:val="172236"/>
          <w:sz w:val="18"/>
        </w:rPr>
        <w:t>Dependency compromise.</w:t>
      </w:r>
    </w:p>
    <w:p>
      <w:pPr>
        <w:pStyle w:val="Heading2"/>
        <w:pBdr>
          <w:left w:val="single" w:sz="14" w:space="4" w:color="8B5CF6"/>
        </w:pBdr>
        <w:rPr/>
      </w:pPr>
      <w:bookmarkStart w:id="164" w:name="__RefHeading___Toc7048_2150751134"/>
      <w:bookmarkEnd w:id="164"/>
      <w:r>
        <w:rPr>
          <w:rFonts w:ascii="Lato" w:hAnsi="Lato"/>
          <w:color w:val="172236"/>
          <w:sz w:val="29"/>
        </w:rPr>
        <w:t>23.3 Authentication</w:t>
      </w:r>
    </w:p>
    <w:p>
      <w:pPr>
        <w:pStyle w:val="Normal"/>
        <w:rPr/>
      </w:pPr>
      <w:r>
        <w:rPr>
          <w:color w:val="172236"/>
          <w:sz w:val="19"/>
        </w:rPr>
        <w:t>Recommended:</w:t>
      </w:r>
    </w:p>
    <w:p>
      <w:pPr>
        <w:pStyle w:val="ListBullet"/>
        <w:numPr>
          <w:ilvl w:val="0"/>
          <w:numId w:val="1"/>
        </w:numPr>
        <w:rPr/>
      </w:pPr>
      <w:r>
        <w:rPr>
          <w:color w:val="172236"/>
          <w:sz w:val="18"/>
        </w:rPr>
        <w:t>OIDC/OAuth 2.1 for cloud identities.</w:t>
      </w:r>
    </w:p>
    <w:p>
      <w:pPr>
        <w:pStyle w:val="ListBullet"/>
        <w:numPr>
          <w:ilvl w:val="0"/>
          <w:numId w:val="1"/>
        </w:numPr>
        <w:rPr/>
      </w:pPr>
      <w:r>
        <w:rPr>
          <w:color w:val="172236"/>
          <w:sz w:val="18"/>
        </w:rPr>
        <w:t>Passkeys/WebAuthn.</w:t>
      </w:r>
    </w:p>
    <w:p>
      <w:pPr>
        <w:pStyle w:val="ListBullet"/>
        <w:numPr>
          <w:ilvl w:val="0"/>
          <w:numId w:val="1"/>
        </w:numPr>
        <w:rPr/>
      </w:pPr>
      <w:r>
        <w:rPr>
          <w:color w:val="172236"/>
          <w:sz w:val="18"/>
        </w:rPr>
        <w:t>MFA.</w:t>
      </w:r>
    </w:p>
    <w:p>
      <w:pPr>
        <w:pStyle w:val="ListBullet"/>
        <w:numPr>
          <w:ilvl w:val="0"/>
          <w:numId w:val="1"/>
        </w:numPr>
        <w:rPr/>
      </w:pPr>
      <w:r>
        <w:rPr>
          <w:color w:val="172236"/>
          <w:sz w:val="18"/>
        </w:rPr>
        <w:t>Device-bound sessions.</w:t>
      </w:r>
    </w:p>
    <w:p>
      <w:pPr>
        <w:pStyle w:val="ListBullet"/>
        <w:numPr>
          <w:ilvl w:val="0"/>
          <w:numId w:val="1"/>
        </w:numPr>
        <w:rPr/>
      </w:pPr>
      <w:r>
        <w:rPr>
          <w:color w:val="172236"/>
          <w:sz w:val="18"/>
        </w:rPr>
        <w:t>Short-lived access tokens.</w:t>
      </w:r>
    </w:p>
    <w:p>
      <w:pPr>
        <w:pStyle w:val="ListBullet"/>
        <w:numPr>
          <w:ilvl w:val="0"/>
          <w:numId w:val="1"/>
        </w:numPr>
        <w:rPr/>
      </w:pPr>
      <w:r>
        <w:rPr>
          <w:color w:val="172236"/>
          <w:sz w:val="18"/>
        </w:rPr>
        <w:t>Rotating refresh tokens.</w:t>
      </w:r>
    </w:p>
    <w:p>
      <w:pPr>
        <w:pStyle w:val="ListBullet"/>
        <w:numPr>
          <w:ilvl w:val="0"/>
          <w:numId w:val="1"/>
        </w:numPr>
        <w:rPr/>
      </w:pPr>
      <w:r>
        <w:rPr>
          <w:color w:val="172236"/>
          <w:sz w:val="18"/>
        </w:rPr>
        <w:t>Step-up authentication for:</w:t>
      </w:r>
    </w:p>
    <w:p>
      <w:pPr>
        <w:pStyle w:val="ListBullet2"/>
        <w:numPr>
          <w:ilvl w:val="0"/>
          <w:numId w:val="2"/>
        </w:numPr>
        <w:rPr/>
      </w:pPr>
      <w:r>
        <w:rPr>
          <w:color w:val="172236"/>
          <w:sz w:val="18"/>
        </w:rPr>
        <w:t>Adding broker credentials.</w:t>
      </w:r>
    </w:p>
    <w:p>
      <w:pPr>
        <w:pStyle w:val="ListBullet2"/>
        <w:numPr>
          <w:ilvl w:val="0"/>
          <w:numId w:val="2"/>
        </w:numPr>
        <w:rPr/>
      </w:pPr>
      <w:r>
        <w:rPr>
          <w:color w:val="172236"/>
          <w:sz w:val="18"/>
        </w:rPr>
        <w:t>Enabling live execution.</w:t>
      </w:r>
    </w:p>
    <w:p>
      <w:pPr>
        <w:pStyle w:val="ListBullet2"/>
        <w:numPr>
          <w:ilvl w:val="0"/>
          <w:numId w:val="2"/>
        </w:numPr>
        <w:rPr/>
      </w:pPr>
      <w:r>
        <w:rPr>
          <w:color w:val="172236"/>
          <w:sz w:val="18"/>
        </w:rPr>
        <w:t>Changing risk limits.</w:t>
      </w:r>
    </w:p>
    <w:p>
      <w:pPr>
        <w:pStyle w:val="ListBullet2"/>
        <w:numPr>
          <w:ilvl w:val="0"/>
          <w:numId w:val="2"/>
        </w:numPr>
        <w:rPr/>
      </w:pPr>
      <w:r>
        <w:rPr>
          <w:color w:val="172236"/>
          <w:sz w:val="18"/>
        </w:rPr>
        <w:t>Exporting sensitive data.</w:t>
      </w:r>
    </w:p>
    <w:p>
      <w:pPr>
        <w:pStyle w:val="ListBullet2"/>
        <w:numPr>
          <w:ilvl w:val="0"/>
          <w:numId w:val="2"/>
        </w:numPr>
        <w:rPr/>
      </w:pPr>
      <w:r>
        <w:rPr>
          <w:color w:val="172236"/>
          <w:sz w:val="18"/>
        </w:rPr>
        <w:t>Installing plugins.</w:t>
      </w:r>
    </w:p>
    <w:p>
      <w:pPr>
        <w:pStyle w:val="ListBullet2"/>
        <w:numPr>
          <w:ilvl w:val="0"/>
          <w:numId w:val="2"/>
        </w:numPr>
        <w:rPr/>
      </w:pPr>
      <w:r>
        <w:rPr>
          <w:color w:val="172236"/>
          <w:sz w:val="18"/>
        </w:rPr>
        <w:t>Disabling audit/security controls.</w:t>
      </w:r>
    </w:p>
    <w:p>
      <w:pPr>
        <w:pStyle w:val="Heading2"/>
        <w:pBdr>
          <w:left w:val="single" w:sz="14" w:space="4" w:color="8B5CF6"/>
        </w:pBdr>
        <w:rPr/>
      </w:pPr>
      <w:bookmarkStart w:id="165" w:name="__RefHeading___Toc7050_2150751134"/>
      <w:bookmarkEnd w:id="165"/>
      <w:r>
        <w:rPr>
          <w:rFonts w:ascii="Lato" w:hAnsi="Lato"/>
          <w:color w:val="172236"/>
          <w:sz w:val="29"/>
        </w:rPr>
        <w:t>23.4 Authorization</w:t>
      </w:r>
    </w:p>
    <w:p>
      <w:pPr>
        <w:pStyle w:val="ListBullet"/>
        <w:numPr>
          <w:ilvl w:val="0"/>
          <w:numId w:val="1"/>
        </w:numPr>
        <w:rPr/>
      </w:pPr>
      <w:r>
        <w:rPr>
          <w:color w:val="172236"/>
          <w:sz w:val="18"/>
        </w:rPr>
        <w:t>Organization.</w:t>
      </w:r>
    </w:p>
    <w:p>
      <w:pPr>
        <w:pStyle w:val="ListBullet"/>
        <w:numPr>
          <w:ilvl w:val="0"/>
          <w:numId w:val="1"/>
        </w:numPr>
        <w:rPr/>
      </w:pPr>
      <w:r>
        <w:rPr>
          <w:color w:val="172236"/>
          <w:sz w:val="18"/>
        </w:rPr>
        <w:t>Workspace.</w:t>
      </w:r>
    </w:p>
    <w:p>
      <w:pPr>
        <w:pStyle w:val="ListBullet"/>
        <w:numPr>
          <w:ilvl w:val="0"/>
          <w:numId w:val="1"/>
        </w:numPr>
        <w:rPr/>
      </w:pPr>
      <w:r>
        <w:rPr>
          <w:color w:val="172236"/>
          <w:sz w:val="18"/>
        </w:rPr>
        <w:t>Account.</w:t>
      </w:r>
    </w:p>
    <w:p>
      <w:pPr>
        <w:pStyle w:val="ListBullet"/>
        <w:numPr>
          <w:ilvl w:val="0"/>
          <w:numId w:val="1"/>
        </w:numPr>
        <w:rPr/>
      </w:pPr>
      <w:r>
        <w:rPr>
          <w:color w:val="172236"/>
          <w:sz w:val="18"/>
        </w:rPr>
        <w:t>Strategy.</w:t>
      </w:r>
    </w:p>
    <w:p>
      <w:pPr>
        <w:pStyle w:val="ListBullet"/>
        <w:numPr>
          <w:ilvl w:val="0"/>
          <w:numId w:val="1"/>
        </w:numPr>
        <w:rPr/>
      </w:pPr>
      <w:r>
        <w:rPr>
          <w:color w:val="172236"/>
          <w:sz w:val="18"/>
        </w:rPr>
        <w:t>Dataset.</w:t>
      </w:r>
    </w:p>
    <w:p>
      <w:pPr>
        <w:pStyle w:val="ListBullet"/>
        <w:numPr>
          <w:ilvl w:val="0"/>
          <w:numId w:val="1"/>
        </w:numPr>
        <w:rPr/>
      </w:pPr>
      <w:r>
        <w:rPr>
          <w:color w:val="172236"/>
          <w:sz w:val="18"/>
        </w:rPr>
        <w:t>Execution permission.</w:t>
      </w:r>
    </w:p>
    <w:p>
      <w:pPr>
        <w:pStyle w:val="ListBullet"/>
        <w:numPr>
          <w:ilvl w:val="0"/>
          <w:numId w:val="1"/>
        </w:numPr>
        <w:rPr/>
      </w:pPr>
      <w:r>
        <w:rPr>
          <w:color w:val="172236"/>
          <w:sz w:val="18"/>
        </w:rPr>
        <w:t>Administration.</w:t>
      </w:r>
    </w:p>
    <w:p>
      <w:pPr>
        <w:pStyle w:val="ListBullet"/>
        <w:numPr>
          <w:ilvl w:val="0"/>
          <w:numId w:val="1"/>
        </w:numPr>
        <w:rPr/>
      </w:pPr>
      <w:r>
        <w:rPr>
          <w:color w:val="172236"/>
          <w:sz w:val="18"/>
        </w:rPr>
        <w:t>Audit access.</w:t>
      </w:r>
    </w:p>
    <w:p>
      <w:pPr>
        <w:pStyle w:val="Normal"/>
        <w:rPr/>
      </w:pPr>
      <w:r>
        <w:rPr>
          <w:color w:val="172236"/>
          <w:sz w:val="19"/>
        </w:rPr>
        <w:t>Use RBAC plus ABAC for account, environment, device posture, and risk context.</w:t>
      </w:r>
    </w:p>
    <w:p>
      <w:pPr>
        <w:pStyle w:val="Heading2"/>
        <w:pBdr>
          <w:left w:val="single" w:sz="14" w:space="4" w:color="8B5CF6"/>
        </w:pBdr>
        <w:rPr/>
      </w:pPr>
      <w:bookmarkStart w:id="166" w:name="__RefHeading___Toc7052_2150751134"/>
      <w:bookmarkEnd w:id="166"/>
      <w:r>
        <w:rPr>
          <w:rFonts w:ascii="Lato" w:hAnsi="Lato"/>
          <w:color w:val="172236"/>
          <w:sz w:val="29"/>
        </w:rPr>
        <w:t>23.5 Tauri Security</w:t>
      </w:r>
    </w:p>
    <w:p>
      <w:pPr>
        <w:pStyle w:val="ListBullet"/>
        <w:numPr>
          <w:ilvl w:val="0"/>
          <w:numId w:val="1"/>
        </w:numPr>
        <w:rPr/>
      </w:pPr>
      <w:r>
        <w:rPr>
          <w:color w:val="172236"/>
          <w:sz w:val="18"/>
        </w:rPr>
        <w:t>Minimal capabilities per window/webview.</w:t>
      </w:r>
    </w:p>
    <w:p>
      <w:pPr>
        <w:pStyle w:val="ListBullet"/>
        <w:numPr>
          <w:ilvl w:val="0"/>
          <w:numId w:val="1"/>
        </w:numPr>
        <w:rPr/>
      </w:pPr>
      <w:r>
        <w:rPr>
          <w:color w:val="172236"/>
          <w:sz w:val="18"/>
        </w:rPr>
        <w:t>Strict Content Security Policy.</w:t>
      </w:r>
    </w:p>
    <w:p>
      <w:pPr>
        <w:pStyle w:val="ListBullet"/>
        <w:numPr>
          <w:ilvl w:val="0"/>
          <w:numId w:val="1"/>
        </w:numPr>
        <w:rPr/>
      </w:pPr>
      <w:r>
        <w:rPr>
          <w:color w:val="172236"/>
          <w:sz w:val="18"/>
        </w:rPr>
        <w:t>No arbitrary shell access.</w:t>
      </w:r>
    </w:p>
    <w:p>
      <w:pPr>
        <w:pStyle w:val="ListBullet"/>
        <w:numPr>
          <w:ilvl w:val="0"/>
          <w:numId w:val="1"/>
        </w:numPr>
        <w:rPr/>
      </w:pPr>
      <w:r>
        <w:rPr>
          <w:color w:val="172236"/>
          <w:sz w:val="18"/>
        </w:rPr>
        <w:t>Validate all IPC payloads in Rust.</w:t>
      </w:r>
    </w:p>
    <w:p>
      <w:pPr>
        <w:pStyle w:val="ListBullet"/>
        <w:numPr>
          <w:ilvl w:val="0"/>
          <w:numId w:val="1"/>
        </w:numPr>
        <w:rPr/>
      </w:pPr>
      <w:r>
        <w:rPr>
          <w:color w:val="172236"/>
          <w:sz w:val="18"/>
        </w:rPr>
        <w:t>Explicit command allowlist.</w:t>
      </w:r>
    </w:p>
    <w:p>
      <w:pPr>
        <w:pStyle w:val="ListBullet"/>
        <w:numPr>
          <w:ilvl w:val="0"/>
          <w:numId w:val="1"/>
        </w:numPr>
        <w:rPr/>
      </w:pPr>
      <w:r>
        <w:rPr>
          <w:color w:val="172236"/>
          <w:sz w:val="18"/>
        </w:rPr>
        <w:t>Separate high-risk administrative window capability.</w:t>
      </w:r>
    </w:p>
    <w:p>
      <w:pPr>
        <w:pStyle w:val="ListBullet"/>
        <w:numPr>
          <w:ilvl w:val="0"/>
          <w:numId w:val="1"/>
        </w:numPr>
        <w:rPr/>
      </w:pPr>
      <w:r>
        <w:rPr>
          <w:color w:val="172236"/>
          <w:sz w:val="18"/>
        </w:rPr>
        <w:t>Signed updater.</w:t>
      </w:r>
    </w:p>
    <w:p>
      <w:pPr>
        <w:pStyle w:val="ListBullet"/>
        <w:numPr>
          <w:ilvl w:val="0"/>
          <w:numId w:val="1"/>
        </w:numPr>
        <w:rPr/>
      </w:pPr>
      <w:r>
        <w:rPr>
          <w:color w:val="172236"/>
          <w:sz w:val="18"/>
        </w:rPr>
        <w:t>Restricted asset/file protocols.</w:t>
      </w:r>
    </w:p>
    <w:p>
      <w:pPr>
        <w:pStyle w:val="ListBullet"/>
        <w:numPr>
          <w:ilvl w:val="0"/>
          <w:numId w:val="1"/>
        </w:numPr>
        <w:rPr/>
      </w:pPr>
      <w:r>
        <w:rPr>
          <w:color w:val="172236"/>
          <w:sz w:val="18"/>
        </w:rPr>
        <w:t>No secrets in frontend state.</w:t>
      </w:r>
    </w:p>
    <w:p>
      <w:pPr>
        <w:pStyle w:val="ListBullet"/>
        <w:numPr>
          <w:ilvl w:val="0"/>
          <w:numId w:val="1"/>
        </w:numPr>
        <w:rPr/>
      </w:pPr>
      <w:r>
        <w:rPr>
          <w:color w:val="172236"/>
          <w:sz w:val="18"/>
        </w:rPr>
        <w:t>Disable unnecessary plugins.</w:t>
      </w:r>
    </w:p>
    <w:p>
      <w:pPr>
        <w:pStyle w:val="ListBullet"/>
        <w:numPr>
          <w:ilvl w:val="0"/>
          <w:numId w:val="1"/>
        </w:numPr>
        <w:rPr/>
      </w:pPr>
      <w:r>
        <w:rPr>
          <w:color w:val="172236"/>
          <w:sz w:val="18"/>
        </w:rPr>
        <w:t>Origin checks.</w:t>
      </w:r>
    </w:p>
    <w:p>
      <w:pPr>
        <w:pStyle w:val="ListBullet"/>
        <w:numPr>
          <w:ilvl w:val="0"/>
          <w:numId w:val="1"/>
        </w:numPr>
        <w:rPr/>
      </w:pPr>
      <w:r>
        <w:rPr>
          <w:color w:val="172236"/>
          <w:sz w:val="18"/>
        </w:rPr>
        <w:t>Secure deep-link handling.</w:t>
      </w:r>
    </w:p>
    <w:p>
      <w:pPr>
        <w:pStyle w:val="Heading2"/>
        <w:pBdr>
          <w:left w:val="single" w:sz="14" w:space="4" w:color="8B5CF6"/>
        </w:pBdr>
        <w:rPr/>
      </w:pPr>
      <w:bookmarkStart w:id="167" w:name="__RefHeading___Toc7054_2150751134"/>
      <w:bookmarkEnd w:id="167"/>
      <w:r>
        <w:rPr>
          <w:rFonts w:ascii="Lato" w:hAnsi="Lato"/>
          <w:color w:val="172236"/>
          <w:sz w:val="29"/>
        </w:rPr>
        <w:t>23.6 API Security</w:t>
      </w:r>
    </w:p>
    <w:p>
      <w:pPr>
        <w:pStyle w:val="ListBullet"/>
        <w:numPr>
          <w:ilvl w:val="0"/>
          <w:numId w:val="1"/>
        </w:numPr>
        <w:rPr/>
      </w:pPr>
      <w:r>
        <w:rPr>
          <w:color w:val="172236"/>
          <w:sz w:val="18"/>
        </w:rPr>
        <w:t>TLS 1.3.</w:t>
      </w:r>
    </w:p>
    <w:p>
      <w:pPr>
        <w:pStyle w:val="ListBullet"/>
        <w:numPr>
          <w:ilvl w:val="0"/>
          <w:numId w:val="1"/>
        </w:numPr>
        <w:rPr/>
      </w:pPr>
      <w:r>
        <w:rPr>
          <w:color w:val="172236"/>
          <w:sz w:val="18"/>
        </w:rPr>
        <w:t>mTLS for service-to-service where appropriate.</w:t>
      </w:r>
    </w:p>
    <w:p>
      <w:pPr>
        <w:pStyle w:val="ListBullet"/>
        <w:numPr>
          <w:ilvl w:val="0"/>
          <w:numId w:val="1"/>
        </w:numPr>
        <w:rPr/>
      </w:pPr>
      <w:r>
        <w:rPr>
          <w:color w:val="172236"/>
          <w:sz w:val="18"/>
        </w:rPr>
        <w:t>OAuth scopes.</w:t>
      </w:r>
    </w:p>
    <w:p>
      <w:pPr>
        <w:pStyle w:val="ListBullet"/>
        <w:numPr>
          <w:ilvl w:val="0"/>
          <w:numId w:val="1"/>
        </w:numPr>
        <w:rPr/>
      </w:pPr>
      <w:r>
        <w:rPr>
          <w:color w:val="172236"/>
          <w:sz w:val="18"/>
        </w:rPr>
        <w:t>Request signing for high-risk integrations where supported.</w:t>
      </w:r>
    </w:p>
    <w:p>
      <w:pPr>
        <w:pStyle w:val="ListBullet"/>
        <w:numPr>
          <w:ilvl w:val="0"/>
          <w:numId w:val="1"/>
        </w:numPr>
        <w:rPr/>
      </w:pPr>
      <w:r>
        <w:rPr>
          <w:color w:val="172236"/>
          <w:sz w:val="18"/>
        </w:rPr>
        <w:t>Rate limits.</w:t>
      </w:r>
    </w:p>
    <w:p>
      <w:pPr>
        <w:pStyle w:val="ListBullet"/>
        <w:numPr>
          <w:ilvl w:val="0"/>
          <w:numId w:val="1"/>
        </w:numPr>
        <w:rPr/>
      </w:pPr>
      <w:r>
        <w:rPr>
          <w:color w:val="172236"/>
          <w:sz w:val="18"/>
        </w:rPr>
        <w:t>Idempotency keys.</w:t>
      </w:r>
    </w:p>
    <w:p>
      <w:pPr>
        <w:pStyle w:val="ListBullet"/>
        <w:numPr>
          <w:ilvl w:val="0"/>
          <w:numId w:val="1"/>
        </w:numPr>
        <w:rPr/>
      </w:pPr>
      <w:r>
        <w:rPr>
          <w:color w:val="172236"/>
          <w:sz w:val="18"/>
        </w:rPr>
        <w:t>Replay windows.</w:t>
      </w:r>
    </w:p>
    <w:p>
      <w:pPr>
        <w:pStyle w:val="ListBullet"/>
        <w:numPr>
          <w:ilvl w:val="0"/>
          <w:numId w:val="1"/>
        </w:numPr>
        <w:rPr/>
      </w:pPr>
      <w:r>
        <w:rPr>
          <w:color w:val="172236"/>
          <w:sz w:val="18"/>
        </w:rPr>
        <w:t>Nonces where appropriate.</w:t>
      </w:r>
    </w:p>
    <w:p>
      <w:pPr>
        <w:pStyle w:val="ListBullet"/>
        <w:numPr>
          <w:ilvl w:val="0"/>
          <w:numId w:val="1"/>
        </w:numPr>
        <w:rPr/>
      </w:pPr>
      <w:r>
        <w:rPr>
          <w:color w:val="172236"/>
          <w:sz w:val="18"/>
        </w:rPr>
        <w:t>Input schemas.</w:t>
      </w:r>
    </w:p>
    <w:p>
      <w:pPr>
        <w:pStyle w:val="ListBullet"/>
        <w:numPr>
          <w:ilvl w:val="0"/>
          <w:numId w:val="1"/>
        </w:numPr>
        <w:rPr/>
      </w:pPr>
      <w:r>
        <w:rPr>
          <w:color w:val="172236"/>
          <w:sz w:val="18"/>
        </w:rPr>
        <w:t>Output encoding.</w:t>
      </w:r>
    </w:p>
    <w:p>
      <w:pPr>
        <w:pStyle w:val="ListBullet"/>
        <w:numPr>
          <w:ilvl w:val="0"/>
          <w:numId w:val="1"/>
        </w:numPr>
        <w:rPr/>
      </w:pPr>
      <w:r>
        <w:rPr>
          <w:color w:val="172236"/>
          <w:sz w:val="18"/>
        </w:rPr>
        <w:t>Safe error envelopes.</w:t>
      </w:r>
    </w:p>
    <w:p>
      <w:pPr>
        <w:pStyle w:val="ListBullet"/>
        <w:numPr>
          <w:ilvl w:val="0"/>
          <w:numId w:val="1"/>
        </w:numPr>
        <w:rPr/>
      </w:pPr>
      <w:r>
        <w:rPr>
          <w:color w:val="172236"/>
          <w:sz w:val="18"/>
        </w:rPr>
        <w:t>Audit records.</w:t>
      </w:r>
    </w:p>
    <w:p>
      <w:pPr>
        <w:pStyle w:val="ListBullet"/>
        <w:numPr>
          <w:ilvl w:val="0"/>
          <w:numId w:val="1"/>
        </w:numPr>
        <w:rPr/>
      </w:pPr>
      <w:r>
        <w:rPr>
          <w:color w:val="172236"/>
          <w:sz w:val="18"/>
        </w:rPr>
        <w:t>Correlation IDs.</w:t>
      </w:r>
    </w:p>
    <w:p>
      <w:pPr>
        <w:pStyle w:val="Heading2"/>
        <w:pBdr>
          <w:left w:val="single" w:sz="14" w:space="4" w:color="8B5CF6"/>
        </w:pBdr>
        <w:rPr/>
      </w:pPr>
      <w:bookmarkStart w:id="168" w:name="__RefHeading___Toc7056_2150751134"/>
      <w:bookmarkEnd w:id="168"/>
      <w:r>
        <w:rPr>
          <w:rFonts w:ascii="Lato" w:hAnsi="Lato"/>
          <w:color w:val="172236"/>
          <w:sz w:val="29"/>
        </w:rPr>
        <w:t>23.7 Secret Management</w:t>
      </w:r>
    </w:p>
    <w:p>
      <w:pPr>
        <w:pStyle w:val="Normal"/>
        <w:rPr/>
      </w:pPr>
      <w:r>
        <w:rPr>
          <w:color w:val="172236"/>
          <w:sz w:val="19"/>
        </w:rPr>
        <w:t>Desktop:</w:t>
      </w:r>
    </w:p>
    <w:p>
      <w:pPr>
        <w:pStyle w:val="ListBullet"/>
        <w:numPr>
          <w:ilvl w:val="0"/>
          <w:numId w:val="1"/>
        </w:numPr>
        <w:rPr/>
      </w:pPr>
      <w:r>
        <w:rPr>
          <w:color w:val="172236"/>
          <w:sz w:val="18"/>
        </w:rPr>
        <w:t>Windows Credential Manager/DPAPI.</w:t>
      </w:r>
    </w:p>
    <w:p>
      <w:pPr>
        <w:pStyle w:val="ListBullet"/>
        <w:numPr>
          <w:ilvl w:val="0"/>
          <w:numId w:val="1"/>
        </w:numPr>
        <w:rPr/>
      </w:pPr>
      <w:r>
        <w:rPr>
          <w:color w:val="172236"/>
          <w:sz w:val="18"/>
        </w:rPr>
        <w:t>macOS Keychain/Secure Enclave-backed storage where supported.</w:t>
      </w:r>
    </w:p>
    <w:p>
      <w:pPr>
        <w:pStyle w:val="ListBullet"/>
        <w:numPr>
          <w:ilvl w:val="0"/>
          <w:numId w:val="1"/>
        </w:numPr>
        <w:rPr/>
      </w:pPr>
      <w:r>
        <w:rPr>
          <w:color w:val="172236"/>
          <w:sz w:val="18"/>
        </w:rPr>
        <w:t>Linux Secret Service/keyring.</w:t>
      </w:r>
    </w:p>
    <w:p>
      <w:pPr>
        <w:pStyle w:val="ListBullet"/>
        <w:numPr>
          <w:ilvl w:val="0"/>
          <w:numId w:val="1"/>
        </w:numPr>
        <w:rPr/>
      </w:pPr>
      <w:r>
        <w:rPr>
          <w:color w:val="172236"/>
          <w:sz w:val="18"/>
        </w:rPr>
        <w:t>TPM-backed wrapping where feasible.</w:t>
      </w:r>
    </w:p>
    <w:p>
      <w:pPr>
        <w:pStyle w:val="Normal"/>
        <w:rPr/>
      </w:pPr>
      <w:r>
        <w:rPr>
          <w:color w:val="172236"/>
          <w:sz w:val="19"/>
        </w:rPr>
        <w:t>Server/on-prem:</w:t>
      </w:r>
    </w:p>
    <w:p>
      <w:pPr>
        <w:pStyle w:val="ListBullet"/>
        <w:numPr>
          <w:ilvl w:val="0"/>
          <w:numId w:val="1"/>
        </w:numPr>
        <w:rPr/>
      </w:pPr>
      <w:r>
        <w:rPr>
          <w:color w:val="172236"/>
          <w:sz w:val="18"/>
        </w:rPr>
        <w:t>HashiCorp Vault or cloud secret manager.</w:t>
      </w:r>
    </w:p>
    <w:p>
      <w:pPr>
        <w:pStyle w:val="ListBullet"/>
        <w:numPr>
          <w:ilvl w:val="0"/>
          <w:numId w:val="1"/>
        </w:numPr>
        <w:rPr/>
      </w:pPr>
      <w:r>
        <w:rPr>
          <w:color w:val="172236"/>
          <w:sz w:val="18"/>
        </w:rPr>
        <w:t>HSM/KMS-backed master keys.</w:t>
      </w:r>
    </w:p>
    <w:p>
      <w:pPr>
        <w:pStyle w:val="ListBullet"/>
        <w:numPr>
          <w:ilvl w:val="0"/>
          <w:numId w:val="1"/>
        </w:numPr>
        <w:rPr/>
      </w:pPr>
      <w:r>
        <w:rPr>
          <w:color w:val="172236"/>
          <w:sz w:val="18"/>
        </w:rPr>
        <w:t>Dynamic credentials where possible.</w:t>
      </w:r>
    </w:p>
    <w:p>
      <w:pPr>
        <w:pStyle w:val="ListBullet"/>
        <w:numPr>
          <w:ilvl w:val="0"/>
          <w:numId w:val="1"/>
        </w:numPr>
        <w:rPr/>
      </w:pPr>
      <w:r>
        <w:rPr>
          <w:color w:val="172236"/>
          <w:sz w:val="18"/>
        </w:rPr>
        <w:t>Short-lived broker/exchange tokens when supported.</w:t>
      </w:r>
    </w:p>
    <w:p>
      <w:pPr>
        <w:pStyle w:val="Normal"/>
        <w:rPr/>
      </w:pPr>
      <w:r>
        <w:rPr>
          <w:color w:val="172236"/>
          <w:sz w:val="19"/>
        </w:rPr>
        <w:t>Secrets MUST never enter browser JavaScript bundles, logs, crash reports, analytics, or workbooks.</w:t>
      </w:r>
    </w:p>
    <w:p>
      <w:pPr>
        <w:pStyle w:val="Heading2"/>
        <w:pBdr>
          <w:left w:val="single" w:sz="14" w:space="4" w:color="8B5CF6"/>
        </w:pBdr>
        <w:rPr/>
      </w:pPr>
      <w:bookmarkStart w:id="169" w:name="__RefHeading___Toc7058_2150751134"/>
      <w:bookmarkEnd w:id="169"/>
      <w:r>
        <w:rPr>
          <w:rFonts w:ascii="Lato" w:hAnsi="Lato"/>
          <w:color w:val="172236"/>
          <w:sz w:val="29"/>
        </w:rPr>
        <w:t>23.8 In-Memory Security</w:t>
      </w:r>
    </w:p>
    <w:p>
      <w:pPr>
        <w:pStyle w:val="ListBullet"/>
        <w:numPr>
          <w:ilvl w:val="0"/>
          <w:numId w:val="1"/>
        </w:numPr>
        <w:rPr/>
      </w:pPr>
      <w:r>
        <w:rPr>
          <w:color w:val="172236"/>
          <w:sz w:val="18"/>
        </w:rPr>
        <w:t xml:space="preserve">Use </w:t>
      </w:r>
      <w:r>
        <w:rPr>
          <w:rFonts w:ascii="Liberation Mono" w:hAnsi="Liberation Mono"/>
          <w:color w:val="8B5CF6"/>
          <w:sz w:val="17"/>
          <w:shd w:fill="F0EDFF" w:val="clear"/>
        </w:rPr>
        <w:t>secrecy</w:t>
      </w:r>
      <w:r>
        <w:rPr>
          <w:color w:val="172236"/>
          <w:sz w:val="18"/>
        </w:rPr>
        <w:t xml:space="preserve"> types for secret material.</w:t>
      </w:r>
    </w:p>
    <w:p>
      <w:pPr>
        <w:pStyle w:val="ListBullet"/>
        <w:numPr>
          <w:ilvl w:val="0"/>
          <w:numId w:val="1"/>
        </w:numPr>
        <w:rPr/>
      </w:pPr>
      <w:r>
        <w:rPr>
          <w:color w:val="172236"/>
          <w:sz w:val="18"/>
        </w:rPr>
        <w:t xml:space="preserve">Zeroize buffers with </w:t>
      </w:r>
      <w:r>
        <w:rPr>
          <w:rFonts w:ascii="Liberation Mono" w:hAnsi="Liberation Mono"/>
          <w:color w:val="8B5CF6"/>
          <w:sz w:val="17"/>
          <w:shd w:fill="F0EDFF" w:val="clear"/>
        </w:rPr>
        <w:t>zeroize</w:t>
      </w:r>
      <w:r>
        <w:rPr>
          <w:color w:val="172236"/>
          <w:sz w:val="18"/>
        </w:rPr>
        <w:t>.</w:t>
      </w:r>
    </w:p>
    <w:p>
      <w:pPr>
        <w:pStyle w:val="ListBullet"/>
        <w:numPr>
          <w:ilvl w:val="0"/>
          <w:numId w:val="1"/>
        </w:numPr>
        <w:rPr/>
      </w:pPr>
      <w:r>
        <w:rPr>
          <w:color w:val="172236"/>
          <w:sz w:val="18"/>
        </w:rPr>
        <w:t>Minimize copies.</w:t>
      </w:r>
    </w:p>
    <w:p>
      <w:pPr>
        <w:pStyle w:val="ListBullet"/>
        <w:numPr>
          <w:ilvl w:val="0"/>
          <w:numId w:val="1"/>
        </w:numPr>
        <w:rPr/>
      </w:pPr>
      <w:r>
        <w:rPr>
          <w:color w:val="172236"/>
          <w:sz w:val="18"/>
        </w:rPr>
        <w:t xml:space="preserve">Avoid long-lived </w:t>
      </w:r>
      <w:r>
        <w:rPr>
          <w:rFonts w:ascii="Liberation Mono" w:hAnsi="Liberation Mono"/>
          <w:color w:val="8B5CF6"/>
          <w:sz w:val="17"/>
          <w:shd w:fill="F0EDFF" w:val="clear"/>
        </w:rPr>
        <w:t>String</w:t>
      </w:r>
      <w:r>
        <w:rPr>
          <w:color w:val="172236"/>
          <w:sz w:val="18"/>
        </w:rPr>
        <w:t xml:space="preserve"> values for secrets.</w:t>
      </w:r>
    </w:p>
    <w:p>
      <w:pPr>
        <w:pStyle w:val="ListBullet"/>
        <w:numPr>
          <w:ilvl w:val="0"/>
          <w:numId w:val="1"/>
        </w:numPr>
        <w:rPr/>
      </w:pPr>
      <w:r>
        <w:rPr>
          <w:color w:val="172236"/>
          <w:sz w:val="18"/>
        </w:rPr>
        <w:t>Disable or restrict core dumps.</w:t>
      </w:r>
    </w:p>
    <w:p>
      <w:pPr>
        <w:pStyle w:val="ListBullet"/>
        <w:numPr>
          <w:ilvl w:val="0"/>
          <w:numId w:val="1"/>
        </w:numPr>
        <w:rPr/>
      </w:pPr>
      <w:r>
        <w:rPr>
          <w:color w:val="172236"/>
          <w:sz w:val="18"/>
        </w:rPr>
        <w:t>Lock sensitive pages where practical and justified.</w:t>
      </w:r>
    </w:p>
    <w:p>
      <w:pPr>
        <w:pStyle w:val="ListBullet"/>
        <w:numPr>
          <w:ilvl w:val="0"/>
          <w:numId w:val="1"/>
        </w:numPr>
        <w:rPr/>
      </w:pPr>
      <w:r>
        <w:rPr>
          <w:color w:val="172236"/>
          <w:sz w:val="18"/>
        </w:rPr>
        <w:t>Protect swap/hibernation through OS controls and disk encryption.</w:t>
      </w:r>
    </w:p>
    <w:p>
      <w:pPr>
        <w:pStyle w:val="ListBullet"/>
        <w:numPr>
          <w:ilvl w:val="0"/>
          <w:numId w:val="1"/>
        </w:numPr>
        <w:rPr/>
      </w:pPr>
      <w:r>
        <w:rPr>
          <w:color w:val="172236"/>
          <w:sz w:val="18"/>
        </w:rPr>
        <w:t>Avoid secrets in exception/context chains.</w:t>
      </w:r>
    </w:p>
    <w:p>
      <w:pPr>
        <w:pStyle w:val="ListBullet"/>
        <w:numPr>
          <w:ilvl w:val="0"/>
          <w:numId w:val="1"/>
        </w:numPr>
        <w:rPr/>
      </w:pPr>
      <w:r>
        <w:rPr>
          <w:color w:val="172236"/>
          <w:sz w:val="18"/>
        </w:rPr>
        <w:t>Constant-time comparisons for secret values.</w:t>
      </w:r>
    </w:p>
    <w:p>
      <w:pPr>
        <w:pStyle w:val="ListBullet"/>
        <w:numPr>
          <w:ilvl w:val="0"/>
          <w:numId w:val="1"/>
        </w:numPr>
        <w:rPr/>
      </w:pPr>
      <w:r>
        <w:rPr>
          <w:color w:val="172236"/>
          <w:sz w:val="18"/>
        </w:rPr>
        <w:t>Separate execution credentials into a dedicated process in high-security deployments.</w:t>
      </w:r>
    </w:p>
    <w:p>
      <w:pPr>
        <w:pStyle w:val="ListBullet"/>
        <w:numPr>
          <w:ilvl w:val="0"/>
          <w:numId w:val="1"/>
        </w:numPr>
        <w:rPr/>
      </w:pPr>
      <w:r>
        <w:rPr>
          <w:color w:val="172236"/>
          <w:sz w:val="18"/>
        </w:rPr>
        <w:t>Use short token lifetimes.</w:t>
      </w:r>
    </w:p>
    <w:p>
      <w:pPr>
        <w:pStyle w:val="ListBullet"/>
        <w:numPr>
          <w:ilvl w:val="0"/>
          <w:numId w:val="1"/>
        </w:numPr>
        <w:rPr/>
      </w:pPr>
      <w:r>
        <w:rPr>
          <w:color w:val="172236"/>
          <w:sz w:val="18"/>
        </w:rPr>
        <w:t>Clear clipboard after timed secret copy.</w:t>
      </w:r>
    </w:p>
    <w:p>
      <w:pPr>
        <w:pStyle w:val="ListBullet"/>
        <w:numPr>
          <w:ilvl w:val="0"/>
          <w:numId w:val="1"/>
        </w:numPr>
        <w:rPr/>
      </w:pPr>
      <w:r>
        <w:rPr>
          <w:color w:val="172236"/>
          <w:sz w:val="18"/>
        </w:rPr>
        <w:t>Redact screenshots and diagnostics.</w:t>
      </w:r>
    </w:p>
    <w:p>
      <w:pPr>
        <w:pStyle w:val="Heading2"/>
        <w:pBdr>
          <w:left w:val="single" w:sz="14" w:space="4" w:color="8B5CF6"/>
        </w:pBdr>
        <w:rPr/>
      </w:pPr>
      <w:bookmarkStart w:id="170" w:name="__RefHeading___Toc7060_2150751134"/>
      <w:bookmarkEnd w:id="170"/>
      <w:r>
        <w:rPr>
          <w:rFonts w:ascii="Lato" w:hAnsi="Lato"/>
          <w:color w:val="172236"/>
          <w:sz w:val="29"/>
        </w:rPr>
        <w:t>23.9 Database Security</w:t>
      </w:r>
    </w:p>
    <w:p>
      <w:pPr>
        <w:pStyle w:val="ListBullet"/>
        <w:numPr>
          <w:ilvl w:val="0"/>
          <w:numId w:val="1"/>
        </w:numPr>
        <w:rPr/>
      </w:pPr>
      <w:r>
        <w:rPr>
          <w:color w:val="172236"/>
          <w:sz w:val="18"/>
        </w:rPr>
        <w:t>Encryption in transit.</w:t>
      </w:r>
    </w:p>
    <w:p>
      <w:pPr>
        <w:pStyle w:val="ListBullet"/>
        <w:numPr>
          <w:ilvl w:val="0"/>
          <w:numId w:val="1"/>
        </w:numPr>
        <w:rPr/>
      </w:pPr>
      <w:r>
        <w:rPr>
          <w:color w:val="172236"/>
          <w:sz w:val="18"/>
        </w:rPr>
        <w:t>Encryption at rest.</w:t>
      </w:r>
    </w:p>
    <w:p>
      <w:pPr>
        <w:pStyle w:val="ListBullet"/>
        <w:numPr>
          <w:ilvl w:val="0"/>
          <w:numId w:val="1"/>
        </w:numPr>
        <w:rPr/>
      </w:pPr>
      <w:r>
        <w:rPr>
          <w:color w:val="172236"/>
          <w:sz w:val="18"/>
        </w:rPr>
        <w:t>Row-level security for multi-tenant deployments.</w:t>
      </w:r>
    </w:p>
    <w:p>
      <w:pPr>
        <w:pStyle w:val="ListBullet"/>
        <w:numPr>
          <w:ilvl w:val="0"/>
          <w:numId w:val="1"/>
        </w:numPr>
        <w:rPr/>
      </w:pPr>
      <w:r>
        <w:rPr>
          <w:color w:val="172236"/>
          <w:sz w:val="18"/>
        </w:rPr>
        <w:t>Tenant keys where required.</w:t>
      </w:r>
    </w:p>
    <w:p>
      <w:pPr>
        <w:pStyle w:val="ListBullet"/>
        <w:numPr>
          <w:ilvl w:val="0"/>
          <w:numId w:val="1"/>
        </w:numPr>
        <w:rPr/>
      </w:pPr>
      <w:r>
        <w:rPr>
          <w:color w:val="172236"/>
          <w:sz w:val="18"/>
        </w:rPr>
        <w:t>Least-privilege service accounts.</w:t>
      </w:r>
    </w:p>
    <w:p>
      <w:pPr>
        <w:pStyle w:val="ListBullet"/>
        <w:numPr>
          <w:ilvl w:val="0"/>
          <w:numId w:val="1"/>
        </w:numPr>
        <w:rPr/>
      </w:pPr>
      <w:r>
        <w:rPr>
          <w:color w:val="172236"/>
          <w:sz w:val="18"/>
        </w:rPr>
        <w:t>Query allowlists for agent tools.</w:t>
      </w:r>
    </w:p>
    <w:p>
      <w:pPr>
        <w:pStyle w:val="ListBullet"/>
        <w:numPr>
          <w:ilvl w:val="0"/>
          <w:numId w:val="1"/>
        </w:numPr>
        <w:rPr/>
      </w:pPr>
      <w:r>
        <w:rPr>
          <w:color w:val="172236"/>
          <w:sz w:val="18"/>
        </w:rPr>
        <w:t>Migration signing/checksums.</w:t>
      </w:r>
    </w:p>
    <w:p>
      <w:pPr>
        <w:pStyle w:val="ListBullet"/>
        <w:numPr>
          <w:ilvl w:val="0"/>
          <w:numId w:val="1"/>
        </w:numPr>
        <w:rPr/>
      </w:pPr>
      <w:r>
        <w:rPr>
          <w:color w:val="172236"/>
          <w:sz w:val="18"/>
        </w:rPr>
        <w:t>Point-in-time recovery.</w:t>
      </w:r>
    </w:p>
    <w:p>
      <w:pPr>
        <w:pStyle w:val="ListBullet"/>
        <w:numPr>
          <w:ilvl w:val="0"/>
          <w:numId w:val="1"/>
        </w:numPr>
        <w:rPr/>
      </w:pPr>
      <w:r>
        <w:rPr>
          <w:color w:val="172236"/>
          <w:sz w:val="18"/>
        </w:rPr>
        <w:t>Backup encryption.</w:t>
      </w:r>
    </w:p>
    <w:p>
      <w:pPr>
        <w:pStyle w:val="ListBullet"/>
        <w:numPr>
          <w:ilvl w:val="0"/>
          <w:numId w:val="1"/>
        </w:numPr>
        <w:rPr/>
      </w:pPr>
      <w:r>
        <w:rPr>
          <w:color w:val="172236"/>
          <w:sz w:val="18"/>
        </w:rPr>
        <w:t>Restore drills.</w:t>
      </w:r>
    </w:p>
    <w:p>
      <w:pPr>
        <w:pStyle w:val="Heading2"/>
        <w:pBdr>
          <w:left w:val="single" w:sz="14" w:space="4" w:color="8B5CF6"/>
        </w:pBdr>
        <w:rPr/>
      </w:pPr>
      <w:bookmarkStart w:id="171" w:name="__RefHeading___Toc7062_2150751134"/>
      <w:bookmarkEnd w:id="171"/>
      <w:r>
        <w:rPr>
          <w:rFonts w:ascii="Lato" w:hAnsi="Lato"/>
          <w:color w:val="172236"/>
          <w:sz w:val="29"/>
        </w:rPr>
        <w:t>23.10 Data Poisoning Defenses</w:t>
      </w:r>
    </w:p>
    <w:p>
      <w:pPr>
        <w:pStyle w:val="ListBullet"/>
        <w:numPr>
          <w:ilvl w:val="0"/>
          <w:numId w:val="1"/>
        </w:numPr>
        <w:rPr/>
      </w:pPr>
      <w:r>
        <w:rPr>
          <w:color w:val="172236"/>
          <w:sz w:val="18"/>
        </w:rPr>
        <w:t>Provider provenance.</w:t>
      </w:r>
    </w:p>
    <w:p>
      <w:pPr>
        <w:pStyle w:val="ListBullet"/>
        <w:numPr>
          <w:ilvl w:val="0"/>
          <w:numId w:val="1"/>
        </w:numPr>
        <w:rPr/>
      </w:pPr>
      <w:r>
        <w:rPr>
          <w:color w:val="172236"/>
          <w:sz w:val="18"/>
        </w:rPr>
        <w:t>Cross-source comparison.</w:t>
      </w:r>
    </w:p>
    <w:p>
      <w:pPr>
        <w:pStyle w:val="ListBullet"/>
        <w:numPr>
          <w:ilvl w:val="0"/>
          <w:numId w:val="1"/>
        </w:numPr>
        <w:rPr/>
      </w:pPr>
      <w:r>
        <w:rPr>
          <w:color w:val="172236"/>
          <w:sz w:val="18"/>
        </w:rPr>
        <w:t>Outlier detection.</w:t>
      </w:r>
    </w:p>
    <w:p>
      <w:pPr>
        <w:pStyle w:val="ListBullet"/>
        <w:numPr>
          <w:ilvl w:val="0"/>
          <w:numId w:val="1"/>
        </w:numPr>
        <w:rPr/>
      </w:pPr>
      <w:r>
        <w:rPr>
          <w:color w:val="172236"/>
          <w:sz w:val="18"/>
        </w:rPr>
        <w:t>Signed dataset manifests.</w:t>
      </w:r>
    </w:p>
    <w:p>
      <w:pPr>
        <w:pStyle w:val="ListBullet"/>
        <w:numPr>
          <w:ilvl w:val="0"/>
          <w:numId w:val="1"/>
        </w:numPr>
        <w:rPr/>
      </w:pPr>
      <w:r>
        <w:rPr>
          <w:color w:val="172236"/>
          <w:sz w:val="18"/>
        </w:rPr>
        <w:t>Immutable raw snapshots.</w:t>
      </w:r>
    </w:p>
    <w:p>
      <w:pPr>
        <w:pStyle w:val="ListBullet"/>
        <w:numPr>
          <w:ilvl w:val="0"/>
          <w:numId w:val="1"/>
        </w:numPr>
        <w:rPr/>
      </w:pPr>
      <w:r>
        <w:rPr>
          <w:color w:val="172236"/>
          <w:sz w:val="18"/>
        </w:rPr>
        <w:t>Parser versioning.</w:t>
      </w:r>
    </w:p>
    <w:p>
      <w:pPr>
        <w:pStyle w:val="ListBullet"/>
        <w:numPr>
          <w:ilvl w:val="0"/>
          <w:numId w:val="1"/>
        </w:numPr>
        <w:rPr/>
      </w:pPr>
      <w:r>
        <w:rPr>
          <w:color w:val="172236"/>
          <w:sz w:val="18"/>
        </w:rPr>
        <w:t>Quarantine suspicious data.</w:t>
      </w:r>
    </w:p>
    <w:p>
      <w:pPr>
        <w:pStyle w:val="ListBullet"/>
        <w:numPr>
          <w:ilvl w:val="0"/>
          <w:numId w:val="1"/>
        </w:numPr>
        <w:rPr/>
      </w:pPr>
      <w:r>
        <w:rPr>
          <w:color w:val="172236"/>
          <w:sz w:val="18"/>
        </w:rPr>
        <w:t>Human review for model-training datasets.</w:t>
      </w:r>
    </w:p>
    <w:p>
      <w:pPr>
        <w:pStyle w:val="ListBullet"/>
        <w:numPr>
          <w:ilvl w:val="0"/>
          <w:numId w:val="1"/>
        </w:numPr>
        <w:rPr/>
      </w:pPr>
      <w:r>
        <w:rPr>
          <w:color w:val="172236"/>
          <w:sz w:val="18"/>
        </w:rPr>
        <w:t>Feature-level quality flags.</w:t>
      </w:r>
    </w:p>
    <w:p>
      <w:pPr>
        <w:pStyle w:val="ListBullet"/>
        <w:numPr>
          <w:ilvl w:val="0"/>
          <w:numId w:val="1"/>
        </w:numPr>
        <w:rPr/>
      </w:pPr>
      <w:r>
        <w:rPr>
          <w:color w:val="172236"/>
          <w:sz w:val="18"/>
        </w:rPr>
        <w:t>No silent correction.</w:t>
      </w:r>
    </w:p>
    <w:p>
      <w:pPr>
        <w:pStyle w:val="Heading1"/>
        <w:pBdr>
          <w:bottom w:val="single" w:sz="12" w:space="5" w:color="33C7F2"/>
        </w:pBdr>
        <w:rPr/>
      </w:pPr>
      <w:bookmarkStart w:id="172" w:name="__RefHeading___Toc7064_2150751134"/>
      <w:bookmarkEnd w:id="172"/>
      <w:r>
        <w:rPr>
          <w:rFonts w:ascii="Lato" w:hAnsi="Lato"/>
          <w:color w:val="172236"/>
          <w:sz w:val="42"/>
        </w:rPr>
        <w:t>24. Post-Quantum and Cryptographic Agility Program</w:t>
      </w:r>
    </w:p>
    <w:p>
      <w:pPr>
        <w:pStyle w:val="Heading2"/>
        <w:pBdr>
          <w:left w:val="single" w:sz="14" w:space="4" w:color="8B5CF6"/>
        </w:pBdr>
        <w:rPr/>
      </w:pPr>
      <w:bookmarkStart w:id="173" w:name="__RefHeading___Toc7066_2150751134"/>
      <w:bookmarkEnd w:id="173"/>
      <w:r>
        <w:rPr>
          <w:rFonts w:ascii="Lato" w:hAnsi="Lato"/>
          <w:color w:val="172236"/>
          <w:sz w:val="29"/>
        </w:rPr>
        <w:t>24.1 Scope</w:t>
      </w:r>
    </w:p>
    <w:p>
      <w:pPr>
        <w:pStyle w:val="Normal"/>
        <w:rPr/>
      </w:pPr>
      <w:r>
        <w:rPr>
          <w:color w:val="172236"/>
          <w:sz w:val="19"/>
        </w:rPr>
        <w:t>Post-quantum readiness applies primarily to:</w:t>
      </w:r>
    </w:p>
    <w:p>
      <w:pPr>
        <w:pStyle w:val="ListBullet"/>
        <w:numPr>
          <w:ilvl w:val="0"/>
          <w:numId w:val="1"/>
        </w:numPr>
        <w:rPr/>
      </w:pPr>
      <w:r>
        <w:rPr>
          <w:color w:val="172236"/>
          <w:sz w:val="18"/>
        </w:rPr>
        <w:t>Key establishment.</w:t>
      </w:r>
    </w:p>
    <w:p>
      <w:pPr>
        <w:pStyle w:val="ListBullet"/>
        <w:numPr>
          <w:ilvl w:val="0"/>
          <w:numId w:val="1"/>
        </w:numPr>
        <w:rPr/>
      </w:pPr>
      <w:r>
        <w:rPr>
          <w:color w:val="172236"/>
          <w:sz w:val="18"/>
        </w:rPr>
        <w:t>Public-key encryption/wrapping.</w:t>
      </w:r>
    </w:p>
    <w:p>
      <w:pPr>
        <w:pStyle w:val="ListBullet"/>
        <w:numPr>
          <w:ilvl w:val="0"/>
          <w:numId w:val="1"/>
        </w:numPr>
        <w:rPr/>
      </w:pPr>
      <w:r>
        <w:rPr>
          <w:color w:val="172236"/>
          <w:sz w:val="18"/>
        </w:rPr>
        <w:t>Digital signatures.</w:t>
      </w:r>
    </w:p>
    <w:p>
      <w:pPr>
        <w:pStyle w:val="ListBullet"/>
        <w:numPr>
          <w:ilvl w:val="0"/>
          <w:numId w:val="1"/>
        </w:numPr>
        <w:rPr/>
      </w:pPr>
      <w:r>
        <w:rPr>
          <w:color w:val="172236"/>
          <w:sz w:val="18"/>
        </w:rPr>
        <w:t>Long-lived data confidentiality.</w:t>
      </w:r>
    </w:p>
    <w:p>
      <w:pPr>
        <w:pStyle w:val="ListBullet"/>
        <w:numPr>
          <w:ilvl w:val="0"/>
          <w:numId w:val="1"/>
        </w:numPr>
        <w:rPr/>
      </w:pPr>
      <w:r>
        <w:rPr>
          <w:color w:val="172236"/>
          <w:sz w:val="18"/>
        </w:rPr>
        <w:t>Software/update signing.</w:t>
      </w:r>
    </w:p>
    <w:p>
      <w:pPr>
        <w:pStyle w:val="ListBullet"/>
        <w:numPr>
          <w:ilvl w:val="0"/>
          <w:numId w:val="1"/>
        </w:numPr>
        <w:rPr/>
      </w:pPr>
      <w:r>
        <w:rPr>
          <w:color w:val="172236"/>
          <w:sz w:val="18"/>
        </w:rPr>
        <w:t>Service identity.</w:t>
      </w:r>
    </w:p>
    <w:p>
      <w:pPr>
        <w:pStyle w:val="ListBullet"/>
        <w:numPr>
          <w:ilvl w:val="0"/>
          <w:numId w:val="1"/>
        </w:numPr>
        <w:rPr/>
      </w:pPr>
      <w:r>
        <w:rPr>
          <w:color w:val="172236"/>
          <w:sz w:val="18"/>
        </w:rPr>
        <w:t>Backup/export protection.</w:t>
      </w:r>
    </w:p>
    <w:p>
      <w:pPr>
        <w:pStyle w:val="ListBullet"/>
        <w:numPr>
          <w:ilvl w:val="0"/>
          <w:numId w:val="1"/>
        </w:numPr>
        <w:rPr/>
      </w:pPr>
      <w:r>
        <w:rPr>
          <w:color w:val="172236"/>
          <w:sz w:val="18"/>
        </w:rPr>
        <w:t>Plugin and model artifact verification.</w:t>
      </w:r>
    </w:p>
    <w:p>
      <w:pPr>
        <w:pStyle w:val="Normal"/>
        <w:rPr/>
      </w:pPr>
      <w:r>
        <w:rPr>
          <w:color w:val="172236"/>
          <w:sz w:val="19"/>
        </w:rPr>
        <w:t>It does not replace modern symmetric encryption, access control, memory protection, or secure operations.</w:t>
      </w:r>
    </w:p>
    <w:p>
      <w:pPr>
        <w:pStyle w:val="Heading2"/>
        <w:pBdr>
          <w:left w:val="single" w:sz="14" w:space="4" w:color="8B5CF6"/>
        </w:pBdr>
        <w:rPr/>
      </w:pPr>
      <w:bookmarkStart w:id="174" w:name="__RefHeading___Toc7068_2150751134"/>
      <w:bookmarkEnd w:id="174"/>
      <w:r>
        <w:rPr>
          <w:rFonts w:ascii="Lato" w:hAnsi="Lato"/>
          <w:color w:val="172236"/>
          <w:sz w:val="29"/>
        </w:rPr>
        <w:t>24.2 Approved Direction</w:t>
      </w:r>
    </w:p>
    <w:p>
      <w:pPr>
        <w:pStyle w:val="Normal"/>
        <w:rPr/>
      </w:pPr>
      <w:r>
        <w:rPr>
          <w:color w:val="172236"/>
          <w:sz w:val="19"/>
        </w:rPr>
        <w:t>Use NIST-standardized algorithms through maintained, reviewed implementations:</w:t>
      </w:r>
    </w:p>
    <w:p>
      <w:pPr>
        <w:pStyle w:val="ListBullet"/>
        <w:numPr>
          <w:ilvl w:val="0"/>
          <w:numId w:val="1"/>
        </w:numPr>
        <w:rPr/>
      </w:pPr>
      <w:r>
        <w:rPr>
          <w:b/>
          <w:color w:val="172236"/>
          <w:sz w:val="18"/>
        </w:rPr>
        <w:t>ML-KEM</w:t>
      </w:r>
      <w:r>
        <w:rPr>
          <w:color w:val="172236"/>
          <w:sz w:val="18"/>
        </w:rPr>
        <w:t xml:space="preserve"> for key establishment.</w:t>
      </w:r>
    </w:p>
    <w:p>
      <w:pPr>
        <w:pStyle w:val="ListBullet"/>
        <w:numPr>
          <w:ilvl w:val="0"/>
          <w:numId w:val="1"/>
        </w:numPr>
        <w:rPr/>
      </w:pPr>
      <w:r>
        <w:rPr>
          <w:b/>
          <w:color w:val="172236"/>
          <w:sz w:val="18"/>
        </w:rPr>
        <w:t>ML-DSA</w:t>
      </w:r>
      <w:r>
        <w:rPr>
          <w:color w:val="172236"/>
          <w:sz w:val="18"/>
        </w:rPr>
        <w:t xml:space="preserve"> for general digital signatures.</w:t>
      </w:r>
    </w:p>
    <w:p>
      <w:pPr>
        <w:pStyle w:val="ListBullet"/>
        <w:numPr>
          <w:ilvl w:val="0"/>
          <w:numId w:val="1"/>
        </w:numPr>
        <w:rPr/>
      </w:pPr>
      <w:r>
        <w:rPr>
          <w:b/>
          <w:color w:val="172236"/>
          <w:sz w:val="18"/>
        </w:rPr>
        <w:t>SLH-DSA</w:t>
      </w:r>
      <w:r>
        <w:rPr>
          <w:color w:val="172236"/>
          <w:sz w:val="18"/>
        </w:rPr>
        <w:t xml:space="preserve"> where a stateless hash-based signature is appropriate.</w:t>
      </w:r>
    </w:p>
    <w:p>
      <w:pPr>
        <w:pStyle w:val="Heading2"/>
        <w:pBdr>
          <w:left w:val="single" w:sz="14" w:space="4" w:color="8B5CF6"/>
        </w:pBdr>
        <w:rPr/>
      </w:pPr>
      <w:bookmarkStart w:id="175" w:name="__RefHeading___Toc7070_2150751134"/>
      <w:bookmarkEnd w:id="175"/>
      <w:r>
        <w:rPr>
          <w:rFonts w:ascii="Lato" w:hAnsi="Lato"/>
          <w:color w:val="172236"/>
          <w:sz w:val="29"/>
        </w:rPr>
        <w:t>24.3 Migration Strategy</w:t>
      </w:r>
    </w:p>
    <w:p>
      <w:pPr>
        <w:pStyle w:val="Heading3"/>
        <w:rPr/>
      </w:pPr>
      <w:bookmarkStart w:id="176" w:name="__RefHeading___Toc7072_2150751134"/>
      <w:bookmarkEnd w:id="176"/>
      <w:r>
        <w:rPr>
          <w:rFonts w:ascii="Lato" w:hAnsi="Lato"/>
          <w:color w:val="172236"/>
          <w:sz w:val="21"/>
        </w:rPr>
        <w:t>Near Term</w:t>
      </w:r>
    </w:p>
    <w:p>
      <w:pPr>
        <w:pStyle w:val="ListBullet"/>
        <w:numPr>
          <w:ilvl w:val="0"/>
          <w:numId w:val="1"/>
        </w:numPr>
        <w:rPr/>
      </w:pPr>
      <w:r>
        <w:rPr>
          <w:color w:val="172236"/>
          <w:sz w:val="18"/>
        </w:rPr>
        <w:t>Maintain a crypto bill of materials.</w:t>
      </w:r>
    </w:p>
    <w:p>
      <w:pPr>
        <w:pStyle w:val="ListBullet"/>
        <w:numPr>
          <w:ilvl w:val="0"/>
          <w:numId w:val="1"/>
        </w:numPr>
        <w:rPr/>
      </w:pPr>
      <w:r>
        <w:rPr>
          <w:color w:val="172236"/>
          <w:sz w:val="18"/>
        </w:rPr>
        <w:t>Use TLS 1.3.</w:t>
      </w:r>
    </w:p>
    <w:p>
      <w:pPr>
        <w:pStyle w:val="ListBullet"/>
        <w:numPr>
          <w:ilvl w:val="0"/>
          <w:numId w:val="1"/>
        </w:numPr>
        <w:rPr/>
      </w:pPr>
      <w:r>
        <w:rPr>
          <w:color w:val="172236"/>
          <w:sz w:val="18"/>
        </w:rPr>
        <w:t>Use X25519/P-256 ECDHE with AES-256-GCM or ChaCha20-Poly1305 when PQ hybrid modes are unavailable.</w:t>
      </w:r>
    </w:p>
    <w:p>
      <w:pPr>
        <w:pStyle w:val="ListBullet"/>
        <w:numPr>
          <w:ilvl w:val="0"/>
          <w:numId w:val="1"/>
        </w:numPr>
        <w:rPr/>
      </w:pPr>
      <w:r>
        <w:rPr>
          <w:color w:val="172236"/>
          <w:sz w:val="18"/>
        </w:rPr>
        <w:t>Use Ed25519/ECDSA for signatures where required today.</w:t>
      </w:r>
    </w:p>
    <w:p>
      <w:pPr>
        <w:pStyle w:val="ListBullet"/>
        <w:numPr>
          <w:ilvl w:val="0"/>
          <w:numId w:val="1"/>
        </w:numPr>
        <w:rPr/>
      </w:pPr>
      <w:r>
        <w:rPr>
          <w:color w:val="172236"/>
          <w:sz w:val="18"/>
        </w:rPr>
        <w:t>Version all key and signature formats.</w:t>
      </w:r>
    </w:p>
    <w:p>
      <w:pPr>
        <w:pStyle w:val="ListBullet"/>
        <w:numPr>
          <w:ilvl w:val="0"/>
          <w:numId w:val="1"/>
        </w:numPr>
        <w:rPr/>
      </w:pPr>
      <w:r>
        <w:rPr>
          <w:color w:val="172236"/>
          <w:sz w:val="18"/>
        </w:rPr>
        <w:t>Support multiple algorithms per trust policy.</w:t>
      </w:r>
    </w:p>
    <w:p>
      <w:pPr>
        <w:pStyle w:val="ListBullet"/>
        <w:numPr>
          <w:ilvl w:val="0"/>
          <w:numId w:val="1"/>
        </w:numPr>
        <w:rPr/>
      </w:pPr>
      <w:r>
        <w:rPr>
          <w:color w:val="172236"/>
          <w:sz w:val="18"/>
        </w:rPr>
        <w:t>Design dual-signature manifests.</w:t>
      </w:r>
    </w:p>
    <w:p>
      <w:pPr>
        <w:pStyle w:val="ListBullet"/>
        <w:numPr>
          <w:ilvl w:val="0"/>
          <w:numId w:val="1"/>
        </w:numPr>
        <w:rPr/>
      </w:pPr>
      <w:r>
        <w:rPr>
          <w:color w:val="172236"/>
          <w:sz w:val="18"/>
        </w:rPr>
        <w:t>Protect long-lived data keys through envelope encryption.</w:t>
      </w:r>
    </w:p>
    <w:p>
      <w:pPr>
        <w:pStyle w:val="Heading3"/>
        <w:rPr/>
      </w:pPr>
      <w:bookmarkStart w:id="177" w:name="__RefHeading___Toc7074_2150751134"/>
      <w:bookmarkEnd w:id="177"/>
      <w:r>
        <w:rPr>
          <w:rFonts w:ascii="Lato" w:hAnsi="Lato"/>
          <w:color w:val="172236"/>
          <w:sz w:val="21"/>
        </w:rPr>
        <w:t>Hybrid Phase</w:t>
      </w:r>
    </w:p>
    <w:p>
      <w:pPr>
        <w:pStyle w:val="Normal"/>
        <w:rPr/>
      </w:pPr>
      <w:r>
        <w:rPr>
          <w:color w:val="172236"/>
          <w:sz w:val="19"/>
        </w:rPr>
        <w:t>Where runtime and ecosystem support are proven:</w:t>
      </w:r>
    </w:p>
    <w:p>
      <w:pPr>
        <w:pStyle w:val="ListBullet"/>
        <w:numPr>
          <w:ilvl w:val="0"/>
          <w:numId w:val="1"/>
        </w:numPr>
        <w:rPr/>
      </w:pPr>
      <w:r>
        <w:rPr>
          <w:color w:val="172236"/>
          <w:sz w:val="18"/>
        </w:rPr>
        <w:t>Hybrid classical + ML-KEM key establishment.</w:t>
      </w:r>
    </w:p>
    <w:p>
      <w:pPr>
        <w:pStyle w:val="ListBullet"/>
        <w:numPr>
          <w:ilvl w:val="0"/>
          <w:numId w:val="1"/>
        </w:numPr>
        <w:rPr/>
      </w:pPr>
      <w:r>
        <w:rPr>
          <w:color w:val="172236"/>
          <w:sz w:val="18"/>
        </w:rPr>
        <w:t>Dual-sign release and plugin manifests using classical + ML-DSA.</w:t>
      </w:r>
    </w:p>
    <w:p>
      <w:pPr>
        <w:pStyle w:val="ListBullet"/>
        <w:numPr>
          <w:ilvl w:val="0"/>
          <w:numId w:val="1"/>
        </w:numPr>
        <w:rPr/>
      </w:pPr>
      <w:r>
        <w:rPr>
          <w:color w:val="172236"/>
          <w:sz w:val="18"/>
        </w:rPr>
        <w:t>PQC-capable internal tunnels or service mesh where supported.</w:t>
      </w:r>
    </w:p>
    <w:p>
      <w:pPr>
        <w:pStyle w:val="ListBullet"/>
        <w:numPr>
          <w:ilvl w:val="0"/>
          <w:numId w:val="1"/>
        </w:numPr>
        <w:rPr/>
      </w:pPr>
      <w:r>
        <w:rPr>
          <w:color w:val="172236"/>
          <w:sz w:val="18"/>
        </w:rPr>
        <w:t>Interoperability and downgrade testing.</w:t>
      </w:r>
    </w:p>
    <w:p>
      <w:pPr>
        <w:pStyle w:val="Heading3"/>
        <w:rPr/>
      </w:pPr>
      <w:bookmarkStart w:id="178" w:name="__RefHeading___Toc7076_2150751134"/>
      <w:bookmarkEnd w:id="178"/>
      <w:r>
        <w:rPr>
          <w:rFonts w:ascii="Lato" w:hAnsi="Lato"/>
          <w:color w:val="172236"/>
          <w:sz w:val="21"/>
        </w:rPr>
        <w:t>Mature Phase</w:t>
      </w:r>
    </w:p>
    <w:p>
      <w:pPr>
        <w:pStyle w:val="ListBullet"/>
        <w:numPr>
          <w:ilvl w:val="0"/>
          <w:numId w:val="1"/>
        </w:numPr>
        <w:rPr/>
      </w:pPr>
      <w:r>
        <w:rPr>
          <w:color w:val="172236"/>
          <w:sz w:val="18"/>
        </w:rPr>
        <w:t>PQC-primary profiles.</w:t>
      </w:r>
    </w:p>
    <w:p>
      <w:pPr>
        <w:pStyle w:val="ListBullet"/>
        <w:numPr>
          <w:ilvl w:val="0"/>
          <w:numId w:val="1"/>
        </w:numPr>
        <w:rPr/>
      </w:pPr>
      <w:r>
        <w:rPr>
          <w:color w:val="172236"/>
          <w:sz w:val="18"/>
        </w:rPr>
        <w:t>Classical compatibility fallback only by explicit policy.</w:t>
      </w:r>
    </w:p>
    <w:p>
      <w:pPr>
        <w:pStyle w:val="ListBullet"/>
        <w:numPr>
          <w:ilvl w:val="0"/>
          <w:numId w:val="1"/>
        </w:numPr>
        <w:rPr/>
      </w:pPr>
      <w:r>
        <w:rPr>
          <w:color w:val="172236"/>
          <w:sz w:val="18"/>
        </w:rPr>
        <w:t>PQ-aware certificate and identity lifecycle.</w:t>
      </w:r>
    </w:p>
    <w:p>
      <w:pPr>
        <w:pStyle w:val="ListBullet"/>
        <w:numPr>
          <w:ilvl w:val="0"/>
          <w:numId w:val="1"/>
        </w:numPr>
        <w:rPr/>
      </w:pPr>
      <w:r>
        <w:rPr>
          <w:color w:val="172236"/>
          <w:sz w:val="18"/>
        </w:rPr>
        <w:t>Automated algorithm deprecation.</w:t>
      </w:r>
    </w:p>
    <w:p>
      <w:pPr>
        <w:pStyle w:val="Heading2"/>
        <w:pBdr>
          <w:left w:val="single" w:sz="14" w:space="4" w:color="8B5CF6"/>
        </w:pBdr>
        <w:rPr/>
      </w:pPr>
      <w:bookmarkStart w:id="179" w:name="__RefHeading___Toc7078_2150751134"/>
      <w:bookmarkEnd w:id="179"/>
      <w:r>
        <w:rPr>
          <w:rFonts w:ascii="Lato" w:hAnsi="Lato"/>
          <w:color w:val="172236"/>
          <w:sz w:val="29"/>
        </w:rPr>
        <w:t>24.4 Crypto Bill of Materials</w:t>
      </w:r>
    </w:p>
    <w:p>
      <w:pPr>
        <w:pStyle w:val="Normal"/>
        <w:rPr/>
      </w:pPr>
      <w:r>
        <w:rPr>
          <w:color w:val="172236"/>
          <w:sz w:val="19"/>
        </w:rPr>
        <w:t>Track:</w:t>
      </w:r>
    </w:p>
    <w:p>
      <w:pPr>
        <w:pStyle w:val="ListBullet"/>
        <w:numPr>
          <w:ilvl w:val="0"/>
          <w:numId w:val="1"/>
        </w:numPr>
        <w:rPr/>
      </w:pPr>
      <w:r>
        <w:rPr>
          <w:color w:val="172236"/>
          <w:sz w:val="18"/>
        </w:rPr>
        <w:t>Component.</w:t>
      </w:r>
    </w:p>
    <w:p>
      <w:pPr>
        <w:pStyle w:val="ListBullet"/>
        <w:numPr>
          <w:ilvl w:val="0"/>
          <w:numId w:val="1"/>
        </w:numPr>
        <w:rPr/>
      </w:pPr>
      <w:r>
        <w:rPr>
          <w:color w:val="172236"/>
          <w:sz w:val="18"/>
        </w:rPr>
        <w:t>Protocol.</w:t>
      </w:r>
    </w:p>
    <w:p>
      <w:pPr>
        <w:pStyle w:val="ListBullet"/>
        <w:numPr>
          <w:ilvl w:val="0"/>
          <w:numId w:val="1"/>
        </w:numPr>
        <w:rPr/>
      </w:pPr>
      <w:r>
        <w:rPr>
          <w:color w:val="172236"/>
          <w:sz w:val="18"/>
        </w:rPr>
        <w:t>Algorithm.</w:t>
      </w:r>
    </w:p>
    <w:p>
      <w:pPr>
        <w:pStyle w:val="ListBullet"/>
        <w:numPr>
          <w:ilvl w:val="0"/>
          <w:numId w:val="1"/>
        </w:numPr>
        <w:rPr/>
      </w:pPr>
      <w:r>
        <w:rPr>
          <w:color w:val="172236"/>
          <w:sz w:val="18"/>
        </w:rPr>
        <w:t>Parameters.</w:t>
      </w:r>
    </w:p>
    <w:p>
      <w:pPr>
        <w:pStyle w:val="ListBullet"/>
        <w:numPr>
          <w:ilvl w:val="0"/>
          <w:numId w:val="1"/>
        </w:numPr>
        <w:rPr/>
      </w:pPr>
      <w:r>
        <w:rPr>
          <w:color w:val="172236"/>
          <w:sz w:val="18"/>
        </w:rPr>
        <w:t>Library.</w:t>
      </w:r>
    </w:p>
    <w:p>
      <w:pPr>
        <w:pStyle w:val="ListBullet"/>
        <w:numPr>
          <w:ilvl w:val="0"/>
          <w:numId w:val="1"/>
        </w:numPr>
        <w:rPr/>
      </w:pPr>
      <w:r>
        <w:rPr>
          <w:color w:val="172236"/>
          <w:sz w:val="18"/>
        </w:rPr>
        <w:t>Key owner.</w:t>
      </w:r>
    </w:p>
    <w:p>
      <w:pPr>
        <w:pStyle w:val="ListBullet"/>
        <w:numPr>
          <w:ilvl w:val="0"/>
          <w:numId w:val="1"/>
        </w:numPr>
        <w:rPr/>
      </w:pPr>
      <w:r>
        <w:rPr>
          <w:color w:val="172236"/>
          <w:sz w:val="18"/>
        </w:rPr>
        <w:t>Storage.</w:t>
      </w:r>
    </w:p>
    <w:p>
      <w:pPr>
        <w:pStyle w:val="ListBullet"/>
        <w:numPr>
          <w:ilvl w:val="0"/>
          <w:numId w:val="1"/>
        </w:numPr>
        <w:rPr/>
      </w:pPr>
      <w:r>
        <w:rPr>
          <w:color w:val="172236"/>
          <w:sz w:val="18"/>
        </w:rPr>
        <w:t>Rotation.</w:t>
      </w:r>
    </w:p>
    <w:p>
      <w:pPr>
        <w:pStyle w:val="ListBullet"/>
        <w:numPr>
          <w:ilvl w:val="0"/>
          <w:numId w:val="1"/>
        </w:numPr>
        <w:rPr/>
      </w:pPr>
      <w:r>
        <w:rPr>
          <w:color w:val="172236"/>
          <w:sz w:val="18"/>
        </w:rPr>
        <w:t>Expiration.</w:t>
      </w:r>
    </w:p>
    <w:p>
      <w:pPr>
        <w:pStyle w:val="ListBullet"/>
        <w:numPr>
          <w:ilvl w:val="0"/>
          <w:numId w:val="1"/>
        </w:numPr>
        <w:rPr/>
      </w:pPr>
      <w:r>
        <w:rPr>
          <w:color w:val="172236"/>
          <w:sz w:val="18"/>
        </w:rPr>
        <w:t>Data lifetime.</w:t>
      </w:r>
    </w:p>
    <w:p>
      <w:pPr>
        <w:pStyle w:val="ListBullet"/>
        <w:numPr>
          <w:ilvl w:val="0"/>
          <w:numId w:val="1"/>
        </w:numPr>
        <w:rPr/>
      </w:pPr>
      <w:r>
        <w:rPr>
          <w:color w:val="172236"/>
          <w:sz w:val="18"/>
        </w:rPr>
        <w:t>Quantum risk.</w:t>
      </w:r>
    </w:p>
    <w:p>
      <w:pPr>
        <w:pStyle w:val="ListBullet"/>
        <w:numPr>
          <w:ilvl w:val="0"/>
          <w:numId w:val="1"/>
        </w:numPr>
        <w:rPr/>
      </w:pPr>
      <w:r>
        <w:rPr>
          <w:color w:val="172236"/>
          <w:sz w:val="18"/>
        </w:rPr>
        <w:t>Migration trigger.</w:t>
      </w:r>
    </w:p>
    <w:p>
      <w:pPr>
        <w:pStyle w:val="ListBullet"/>
        <w:numPr>
          <w:ilvl w:val="0"/>
          <w:numId w:val="1"/>
        </w:numPr>
        <w:rPr/>
      </w:pPr>
      <w:r>
        <w:rPr>
          <w:color w:val="172236"/>
          <w:sz w:val="18"/>
        </w:rPr>
        <w:t>Fallback.</w:t>
      </w:r>
    </w:p>
    <w:p>
      <w:pPr>
        <w:pStyle w:val="ListBullet"/>
        <w:numPr>
          <w:ilvl w:val="0"/>
          <w:numId w:val="1"/>
        </w:numPr>
        <w:rPr/>
      </w:pPr>
      <w:r>
        <w:rPr>
          <w:color w:val="172236"/>
          <w:sz w:val="18"/>
        </w:rPr>
        <w:t>Verification evidence.</w:t>
      </w:r>
    </w:p>
    <w:p>
      <w:pPr>
        <w:pStyle w:val="Heading2"/>
        <w:pBdr>
          <w:left w:val="single" w:sz="14" w:space="4" w:color="8B5CF6"/>
        </w:pBdr>
        <w:rPr/>
      </w:pPr>
      <w:bookmarkStart w:id="180" w:name="__RefHeading___Toc7080_2150751134"/>
      <w:bookmarkEnd w:id="180"/>
      <w:r>
        <w:rPr>
          <w:rFonts w:ascii="Lato" w:hAnsi="Lato"/>
          <w:color w:val="172236"/>
          <w:sz w:val="29"/>
        </w:rPr>
        <w:t>24.5 Artifact Signing</w:t>
      </w:r>
    </w:p>
    <w:p>
      <w:pPr>
        <w:pStyle w:val="Normal"/>
        <w:rPr/>
      </w:pPr>
      <w:r>
        <w:rPr>
          <w:color w:val="172236"/>
          <w:sz w:val="19"/>
        </w:rPr>
        <w:t>Sign:</w:t>
      </w:r>
    </w:p>
    <w:p>
      <w:pPr>
        <w:pStyle w:val="ListBullet"/>
        <w:numPr>
          <w:ilvl w:val="0"/>
          <w:numId w:val="1"/>
        </w:numPr>
        <w:rPr/>
      </w:pPr>
      <w:r>
        <w:rPr>
          <w:color w:val="172236"/>
          <w:sz w:val="18"/>
        </w:rPr>
        <w:t>Desktop releases.</w:t>
      </w:r>
    </w:p>
    <w:p>
      <w:pPr>
        <w:pStyle w:val="ListBullet"/>
        <w:numPr>
          <w:ilvl w:val="0"/>
          <w:numId w:val="1"/>
        </w:numPr>
        <w:rPr/>
      </w:pPr>
      <w:r>
        <w:rPr>
          <w:color w:val="172236"/>
          <w:sz w:val="18"/>
        </w:rPr>
        <w:t>Installers.</w:t>
      </w:r>
    </w:p>
    <w:p>
      <w:pPr>
        <w:pStyle w:val="ListBullet"/>
        <w:numPr>
          <w:ilvl w:val="0"/>
          <w:numId w:val="1"/>
        </w:numPr>
        <w:rPr/>
      </w:pPr>
      <w:r>
        <w:rPr>
          <w:color w:val="172236"/>
          <w:sz w:val="18"/>
        </w:rPr>
        <w:t>Update manifests.</w:t>
      </w:r>
    </w:p>
    <w:p>
      <w:pPr>
        <w:pStyle w:val="ListBullet"/>
        <w:numPr>
          <w:ilvl w:val="0"/>
          <w:numId w:val="1"/>
        </w:numPr>
        <w:rPr/>
      </w:pPr>
      <w:r>
        <w:rPr>
          <w:color w:val="172236"/>
          <w:sz w:val="18"/>
        </w:rPr>
        <w:t>Containers.</w:t>
      </w:r>
    </w:p>
    <w:p>
      <w:pPr>
        <w:pStyle w:val="ListBullet"/>
        <w:numPr>
          <w:ilvl w:val="0"/>
          <w:numId w:val="1"/>
        </w:numPr>
        <w:rPr/>
      </w:pPr>
      <w:r>
        <w:rPr>
          <w:color w:val="172236"/>
          <w:sz w:val="18"/>
        </w:rPr>
        <w:t>SBOMs.</w:t>
      </w:r>
    </w:p>
    <w:p>
      <w:pPr>
        <w:pStyle w:val="ListBullet"/>
        <w:numPr>
          <w:ilvl w:val="0"/>
          <w:numId w:val="1"/>
        </w:numPr>
        <w:rPr/>
      </w:pPr>
      <w:r>
        <w:rPr>
          <w:color w:val="172236"/>
          <w:sz w:val="18"/>
        </w:rPr>
        <w:t>Plugin packages.</w:t>
      </w:r>
    </w:p>
    <w:p>
      <w:pPr>
        <w:pStyle w:val="ListBullet"/>
        <w:numPr>
          <w:ilvl w:val="0"/>
          <w:numId w:val="1"/>
        </w:numPr>
        <w:rPr/>
      </w:pPr>
      <w:r>
        <w:rPr>
          <w:color w:val="172236"/>
          <w:sz w:val="18"/>
        </w:rPr>
        <w:t>MCP bundles.</w:t>
      </w:r>
    </w:p>
    <w:p>
      <w:pPr>
        <w:pStyle w:val="ListBullet"/>
        <w:numPr>
          <w:ilvl w:val="0"/>
          <w:numId w:val="1"/>
        </w:numPr>
        <w:rPr/>
      </w:pPr>
      <w:r>
        <w:rPr>
          <w:color w:val="172236"/>
          <w:sz w:val="18"/>
        </w:rPr>
        <w:t>Model artifacts.</w:t>
      </w:r>
    </w:p>
    <w:p>
      <w:pPr>
        <w:pStyle w:val="ListBullet"/>
        <w:numPr>
          <w:ilvl w:val="0"/>
          <w:numId w:val="1"/>
        </w:numPr>
        <w:rPr/>
      </w:pPr>
      <w:r>
        <w:rPr>
          <w:color w:val="172236"/>
          <w:sz w:val="18"/>
        </w:rPr>
        <w:t>Strategy packages.</w:t>
      </w:r>
    </w:p>
    <w:p>
      <w:pPr>
        <w:pStyle w:val="ListBullet"/>
        <w:numPr>
          <w:ilvl w:val="0"/>
          <w:numId w:val="1"/>
        </w:numPr>
        <w:rPr/>
      </w:pPr>
      <w:r>
        <w:rPr>
          <w:color w:val="172236"/>
          <w:sz w:val="18"/>
        </w:rPr>
        <w:t>Dataset manifests.</w:t>
      </w:r>
    </w:p>
    <w:p>
      <w:pPr>
        <w:pStyle w:val="ListBullet"/>
        <w:numPr>
          <w:ilvl w:val="0"/>
          <w:numId w:val="1"/>
        </w:numPr>
        <w:rPr/>
      </w:pPr>
      <w:r>
        <w:rPr>
          <w:color w:val="172236"/>
          <w:sz w:val="18"/>
        </w:rPr>
        <w:t>Migration bundles.</w:t>
      </w:r>
    </w:p>
    <w:p>
      <w:pPr>
        <w:pStyle w:val="Normal"/>
        <w:rPr/>
      </w:pPr>
      <w:r>
        <w:rPr>
          <w:color w:val="172236"/>
          <w:sz w:val="19"/>
        </w:rPr>
        <w:t>Design manifests for dual signatures.</w:t>
      </w:r>
    </w:p>
    <w:p>
      <w:pPr>
        <w:pStyle w:val="Heading2"/>
        <w:pBdr>
          <w:left w:val="single" w:sz="14" w:space="4" w:color="8B5CF6"/>
        </w:pBdr>
        <w:rPr/>
      </w:pPr>
      <w:bookmarkStart w:id="181" w:name="__RefHeading___Toc7082_2150751134"/>
      <w:bookmarkEnd w:id="181"/>
      <w:r>
        <w:rPr>
          <w:rFonts w:ascii="Lato" w:hAnsi="Lato"/>
          <w:color w:val="172236"/>
          <w:sz w:val="29"/>
        </w:rPr>
        <w:t>24.6 Local Vault</w:t>
      </w:r>
    </w:p>
    <w:p>
      <w:pPr>
        <w:pStyle w:val="Normal"/>
        <w:rPr/>
      </w:pPr>
      <w:r>
        <w:rPr>
          <w:color w:val="172236"/>
          <w:sz w:val="19"/>
        </w:rPr>
        <w:t>A local encrypted vault MAY use:</w:t>
      </w:r>
    </w:p>
    <w:p>
      <w:pPr>
        <w:pStyle w:val="ListBullet"/>
        <w:numPr>
          <w:ilvl w:val="0"/>
          <w:numId w:val="1"/>
        </w:numPr>
        <w:rPr/>
      </w:pPr>
      <w:r>
        <w:rPr>
          <w:color w:val="172236"/>
          <w:sz w:val="18"/>
        </w:rPr>
        <w:t>Random data-encryption keys.</w:t>
      </w:r>
    </w:p>
    <w:p>
      <w:pPr>
        <w:pStyle w:val="ListBullet"/>
        <w:numPr>
          <w:ilvl w:val="0"/>
          <w:numId w:val="1"/>
        </w:numPr>
        <w:rPr/>
      </w:pPr>
      <w:r>
        <w:rPr>
          <w:color w:val="172236"/>
          <w:sz w:val="18"/>
        </w:rPr>
        <w:t>AES-256-GCM or XChaCha20-Poly1305.</w:t>
      </w:r>
    </w:p>
    <w:p>
      <w:pPr>
        <w:pStyle w:val="ListBullet"/>
        <w:numPr>
          <w:ilvl w:val="0"/>
          <w:numId w:val="1"/>
        </w:numPr>
        <w:rPr/>
      </w:pPr>
      <w:r>
        <w:rPr>
          <w:color w:val="172236"/>
          <w:sz w:val="18"/>
        </w:rPr>
        <w:t>Per-record or per-domain keys.</w:t>
      </w:r>
    </w:p>
    <w:p>
      <w:pPr>
        <w:pStyle w:val="ListBullet"/>
        <w:numPr>
          <w:ilvl w:val="0"/>
          <w:numId w:val="1"/>
        </w:numPr>
        <w:rPr/>
      </w:pPr>
      <w:r>
        <w:rPr>
          <w:color w:val="172236"/>
          <w:sz w:val="18"/>
        </w:rPr>
        <w:t>OS/hardware-backed key-encryption keys.</w:t>
      </w:r>
    </w:p>
    <w:p>
      <w:pPr>
        <w:pStyle w:val="ListBullet"/>
        <w:numPr>
          <w:ilvl w:val="0"/>
          <w:numId w:val="1"/>
        </w:numPr>
        <w:rPr/>
      </w:pPr>
      <w:r>
        <w:rPr>
          <w:color w:val="172236"/>
          <w:sz w:val="18"/>
        </w:rPr>
        <w:t>Optional recovery key protected by a user-held secret.</w:t>
      </w:r>
    </w:p>
    <w:p>
      <w:pPr>
        <w:pStyle w:val="ListBullet"/>
        <w:numPr>
          <w:ilvl w:val="0"/>
          <w:numId w:val="1"/>
        </w:numPr>
        <w:rPr/>
      </w:pPr>
      <w:r>
        <w:rPr>
          <w:color w:val="172236"/>
          <w:sz w:val="18"/>
        </w:rPr>
        <w:t>Versioned envelope format.</w:t>
      </w:r>
    </w:p>
    <w:p>
      <w:pPr>
        <w:pStyle w:val="ListBullet"/>
        <w:numPr>
          <w:ilvl w:val="0"/>
          <w:numId w:val="1"/>
        </w:numPr>
        <w:rPr/>
      </w:pPr>
      <w:r>
        <w:rPr>
          <w:color w:val="172236"/>
          <w:sz w:val="18"/>
        </w:rPr>
        <w:t>Rotation and rewrap without re-encrypting all data where possible.</w:t>
      </w:r>
    </w:p>
    <w:p>
      <w:pPr>
        <w:pStyle w:val="Normal"/>
        <w:rPr/>
      </w:pPr>
      <w:r>
        <w:rPr>
          <w:color w:val="172236"/>
          <w:sz w:val="19"/>
        </w:rPr>
        <w:t>Do not invent a custom cipher or protocol.</w:t>
      </w:r>
    </w:p>
    <w:p>
      <w:pPr>
        <w:pStyle w:val="Heading2"/>
        <w:pBdr>
          <w:left w:val="single" w:sz="14" w:space="4" w:color="8B5CF6"/>
        </w:pBdr>
        <w:rPr/>
      </w:pPr>
      <w:bookmarkStart w:id="182" w:name="__RefHeading___Toc7084_2150751134"/>
      <w:bookmarkEnd w:id="182"/>
      <w:r>
        <w:rPr>
          <w:rFonts w:ascii="Lato" w:hAnsi="Lato"/>
          <w:color w:val="172236"/>
          <w:sz w:val="29"/>
        </w:rPr>
        <w:t>24.7 PQC Exception Process</w:t>
      </w:r>
    </w:p>
    <w:p>
      <w:pPr>
        <w:pStyle w:val="Normal"/>
        <w:rPr/>
      </w:pPr>
      <w:r>
        <w:rPr>
          <w:color w:val="172236"/>
          <w:sz w:val="19"/>
        </w:rPr>
        <w:t>Every boundary without practical PQC support MUST document:</w:t>
      </w:r>
    </w:p>
    <w:p>
      <w:pPr>
        <w:pStyle w:val="ListBullet"/>
        <w:numPr>
          <w:ilvl w:val="0"/>
          <w:numId w:val="1"/>
        </w:numPr>
        <w:rPr/>
      </w:pPr>
      <w:r>
        <w:rPr>
          <w:color w:val="172236"/>
          <w:sz w:val="18"/>
        </w:rPr>
        <w:t>Missing capability.</w:t>
      </w:r>
    </w:p>
    <w:p>
      <w:pPr>
        <w:pStyle w:val="ListBullet"/>
        <w:numPr>
          <w:ilvl w:val="0"/>
          <w:numId w:val="1"/>
        </w:numPr>
        <w:rPr/>
      </w:pPr>
      <w:r>
        <w:rPr>
          <w:color w:val="172236"/>
          <w:sz w:val="18"/>
        </w:rPr>
        <w:t>Reason.</w:t>
      </w:r>
    </w:p>
    <w:p>
      <w:pPr>
        <w:pStyle w:val="ListBullet"/>
        <w:numPr>
          <w:ilvl w:val="0"/>
          <w:numId w:val="1"/>
        </w:numPr>
        <w:rPr/>
      </w:pPr>
      <w:r>
        <w:rPr>
          <w:color w:val="172236"/>
          <w:sz w:val="18"/>
        </w:rPr>
        <w:t>Classical fallback.</w:t>
      </w:r>
    </w:p>
    <w:p>
      <w:pPr>
        <w:pStyle w:val="ListBullet"/>
        <w:numPr>
          <w:ilvl w:val="0"/>
          <w:numId w:val="1"/>
        </w:numPr>
        <w:rPr/>
      </w:pPr>
      <w:r>
        <w:rPr>
          <w:color w:val="172236"/>
          <w:sz w:val="18"/>
        </w:rPr>
        <w:t>Data lifetime.</w:t>
      </w:r>
    </w:p>
    <w:p>
      <w:pPr>
        <w:pStyle w:val="ListBullet"/>
        <w:numPr>
          <w:ilvl w:val="0"/>
          <w:numId w:val="1"/>
        </w:numPr>
        <w:rPr/>
      </w:pPr>
      <w:r>
        <w:rPr>
          <w:color w:val="172236"/>
          <w:sz w:val="18"/>
        </w:rPr>
        <w:t>Harvest-now/decrypt-later risk.</w:t>
      </w:r>
    </w:p>
    <w:p>
      <w:pPr>
        <w:pStyle w:val="ListBullet"/>
        <w:numPr>
          <w:ilvl w:val="0"/>
          <w:numId w:val="1"/>
        </w:numPr>
        <w:rPr/>
      </w:pPr>
      <w:r>
        <w:rPr>
          <w:color w:val="172236"/>
          <w:sz w:val="18"/>
        </w:rPr>
        <w:t>Owner.</w:t>
      </w:r>
    </w:p>
    <w:p>
      <w:pPr>
        <w:pStyle w:val="ListBullet"/>
        <w:numPr>
          <w:ilvl w:val="0"/>
          <w:numId w:val="1"/>
        </w:numPr>
        <w:rPr/>
      </w:pPr>
      <w:r>
        <w:rPr>
          <w:color w:val="172236"/>
          <w:sz w:val="18"/>
        </w:rPr>
        <w:t>Review date.</w:t>
      </w:r>
    </w:p>
    <w:p>
      <w:pPr>
        <w:pStyle w:val="ListBullet"/>
        <w:numPr>
          <w:ilvl w:val="0"/>
          <w:numId w:val="1"/>
        </w:numPr>
        <w:rPr/>
      </w:pPr>
      <w:r>
        <w:rPr>
          <w:color w:val="172236"/>
          <w:sz w:val="18"/>
        </w:rPr>
        <w:t>Migration trigger.</w:t>
      </w:r>
    </w:p>
    <w:p>
      <w:pPr>
        <w:pStyle w:val="Heading1"/>
        <w:pBdr>
          <w:bottom w:val="single" w:sz="12" w:space="5" w:color="33C7F2"/>
        </w:pBdr>
        <w:rPr/>
      </w:pPr>
      <w:bookmarkStart w:id="183" w:name="__RefHeading___Toc7086_2150751134"/>
      <w:bookmarkEnd w:id="183"/>
      <w:r>
        <w:rPr>
          <w:rFonts w:ascii="Lato" w:hAnsi="Lato"/>
          <w:color w:val="172236"/>
          <w:sz w:val="42"/>
        </w:rPr>
        <w:t>25. On-Premises, Air-Gapped, and Enterprise Deployment</w:t>
      </w:r>
    </w:p>
    <w:p>
      <w:pPr>
        <w:pStyle w:val="Normal"/>
        <w:spacing w:before="140" w:after="20"/>
        <w:jc w:val="center"/>
        <w:rPr/>
      </w:pPr>
      <w:r>
        <w:rPr/>
        <w:drawing>
          <wp:inline distT="0" distB="0" distL="0" distR="0">
            <wp:extent cx="6172200" cy="3249930"/>
            <wp:effectExtent l="0" t="0" r="0" b="0"/>
            <wp:docPr id="15" name="Picture 15" descr="Image: image15.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title=""/>
                    <pic:cNvPicPr>
                      <a:picLocks noChangeAspect="1" noChangeArrowheads="1"/>
                    </pic:cNvPicPr>
                  </pic:nvPicPr>
                  <pic:blipFill>
                    <a:blip r:embed="rId52"/>
                    <a:stretch>
                      <a:fillRect/>
                    </a:stretch>
                  </pic:blipFill>
                  <pic:spPr bwMode="auto">
                    <a:xfrm>
                      <a:off x="0" y="0"/>
                      <a:ext cx="6172200" cy="3249930"/>
                    </a:xfrm>
                    <a:prstGeom prst="rect">
                      <a:avLst/>
                    </a:prstGeom>
                    <a:noFill/>
                  </pic:spPr>
                </pic:pic>
              </a:graphicData>
            </a:graphic>
          </wp:inline>
        </w:drawing>
      </w:r>
    </w:p>
    <w:p>
      <w:pPr>
        <w:pStyle w:val="CaptionCustom"/>
        <w:rPr/>
      </w:pPr>
      <w:r>
        <w:rPr/>
        <w:t>Figure 8 - Deployment profiles sharing one core architecture with different trust and connectivity models.</w:t>
      </w:r>
    </w:p>
    <w:p>
      <w:pPr>
        <w:pStyle w:val="Heading2"/>
        <w:pBdr>
          <w:left w:val="single" w:sz="14" w:space="4" w:color="8B5CF6"/>
        </w:pBdr>
        <w:rPr/>
      </w:pPr>
      <w:bookmarkStart w:id="184" w:name="__RefHeading___Toc7088_2150751134"/>
      <w:bookmarkEnd w:id="184"/>
      <w:r>
        <w:rPr>
          <w:rFonts w:ascii="Lato" w:hAnsi="Lato"/>
          <w:color w:val="172236"/>
          <w:sz w:val="29"/>
        </w:rPr>
        <w:t>25.1 Deployment Profiles</w:t>
      </w:r>
    </w:p>
    <w:p>
      <w:pPr>
        <w:pStyle w:val="Heading3"/>
        <w:rPr/>
      </w:pPr>
      <w:bookmarkStart w:id="185" w:name="__RefHeading___Toc7090_2150751134"/>
      <w:bookmarkEnd w:id="185"/>
      <w:r>
        <w:rPr>
          <w:rFonts w:ascii="Lato" w:hAnsi="Lato"/>
          <w:color w:val="172236"/>
          <w:sz w:val="21"/>
        </w:rPr>
        <w:t>Personal Desktop</w:t>
      </w:r>
    </w:p>
    <w:p>
      <w:pPr>
        <w:pStyle w:val="ListBullet"/>
        <w:numPr>
          <w:ilvl w:val="0"/>
          <w:numId w:val="1"/>
        </w:numPr>
        <w:rPr/>
      </w:pPr>
      <w:r>
        <w:rPr>
          <w:color w:val="172236"/>
          <w:sz w:val="18"/>
        </w:rPr>
        <w:t>Local database.</w:t>
      </w:r>
    </w:p>
    <w:p>
      <w:pPr>
        <w:pStyle w:val="ListBullet"/>
        <w:numPr>
          <w:ilvl w:val="0"/>
          <w:numId w:val="1"/>
        </w:numPr>
        <w:rPr/>
      </w:pPr>
      <w:r>
        <w:rPr>
          <w:color w:val="172236"/>
          <w:sz w:val="18"/>
        </w:rPr>
        <w:t>Local encrypted vault.</w:t>
      </w:r>
    </w:p>
    <w:p>
      <w:pPr>
        <w:pStyle w:val="ListBullet"/>
        <w:numPr>
          <w:ilvl w:val="0"/>
          <w:numId w:val="1"/>
        </w:numPr>
        <w:rPr/>
      </w:pPr>
      <w:r>
        <w:rPr>
          <w:color w:val="172236"/>
          <w:sz w:val="18"/>
        </w:rPr>
        <w:t>Direct provider APIs.</w:t>
      </w:r>
    </w:p>
    <w:p>
      <w:pPr>
        <w:pStyle w:val="ListBullet"/>
        <w:numPr>
          <w:ilvl w:val="0"/>
          <w:numId w:val="1"/>
        </w:numPr>
        <w:rPr/>
      </w:pPr>
      <w:r>
        <w:rPr>
          <w:color w:val="172236"/>
          <w:sz w:val="18"/>
        </w:rPr>
        <w:t>Optional cloud sync.</w:t>
      </w:r>
    </w:p>
    <w:p>
      <w:pPr>
        <w:pStyle w:val="ListBullet"/>
        <w:numPr>
          <w:ilvl w:val="0"/>
          <w:numId w:val="1"/>
        </w:numPr>
        <w:rPr/>
      </w:pPr>
      <w:r>
        <w:rPr>
          <w:color w:val="172236"/>
          <w:sz w:val="18"/>
        </w:rPr>
        <w:t>Local or remote AI.</w:t>
      </w:r>
    </w:p>
    <w:p>
      <w:pPr>
        <w:pStyle w:val="Heading3"/>
        <w:rPr/>
      </w:pPr>
      <w:bookmarkStart w:id="186" w:name="__RefHeading___Toc7092_2150751134"/>
      <w:bookmarkEnd w:id="186"/>
      <w:r>
        <w:rPr>
          <w:rFonts w:ascii="Lato" w:hAnsi="Lato"/>
          <w:color w:val="172236"/>
          <w:sz w:val="21"/>
        </w:rPr>
        <w:t>Team Cloud</w:t>
      </w:r>
    </w:p>
    <w:p>
      <w:pPr>
        <w:pStyle w:val="ListBullet"/>
        <w:numPr>
          <w:ilvl w:val="0"/>
          <w:numId w:val="1"/>
        </w:numPr>
        <w:rPr/>
      </w:pPr>
      <w:r>
        <w:rPr>
          <w:color w:val="172236"/>
          <w:sz w:val="18"/>
        </w:rPr>
        <w:t>Central API.</w:t>
      </w:r>
    </w:p>
    <w:p>
      <w:pPr>
        <w:pStyle w:val="ListBullet"/>
        <w:numPr>
          <w:ilvl w:val="0"/>
          <w:numId w:val="1"/>
        </w:numPr>
        <w:rPr/>
      </w:pPr>
      <w:r>
        <w:rPr>
          <w:color w:val="172236"/>
          <w:sz w:val="18"/>
        </w:rPr>
        <w:t>Shared datasets.</w:t>
      </w:r>
    </w:p>
    <w:p>
      <w:pPr>
        <w:pStyle w:val="ListBullet"/>
        <w:numPr>
          <w:ilvl w:val="0"/>
          <w:numId w:val="1"/>
        </w:numPr>
        <w:rPr/>
      </w:pPr>
      <w:r>
        <w:rPr>
          <w:color w:val="172236"/>
          <w:sz w:val="18"/>
        </w:rPr>
        <w:t>PostgreSQL/ClickHouse.</w:t>
      </w:r>
    </w:p>
    <w:p>
      <w:pPr>
        <w:pStyle w:val="ListBullet"/>
        <w:numPr>
          <w:ilvl w:val="0"/>
          <w:numId w:val="1"/>
        </w:numPr>
        <w:rPr/>
      </w:pPr>
      <w:r>
        <w:rPr>
          <w:color w:val="172236"/>
          <w:sz w:val="18"/>
        </w:rPr>
        <w:t>Organization policy.</w:t>
      </w:r>
    </w:p>
    <w:p>
      <w:pPr>
        <w:pStyle w:val="ListBullet"/>
        <w:numPr>
          <w:ilvl w:val="0"/>
          <w:numId w:val="1"/>
        </w:numPr>
        <w:rPr/>
      </w:pPr>
      <w:r>
        <w:rPr>
          <w:color w:val="172236"/>
          <w:sz w:val="18"/>
        </w:rPr>
        <w:t>Central observability.</w:t>
      </w:r>
    </w:p>
    <w:p>
      <w:pPr>
        <w:pStyle w:val="ListBullet"/>
        <w:numPr>
          <w:ilvl w:val="0"/>
          <w:numId w:val="1"/>
        </w:numPr>
        <w:rPr/>
      </w:pPr>
      <w:r>
        <w:rPr>
          <w:color w:val="172236"/>
          <w:sz w:val="18"/>
        </w:rPr>
        <w:t>Shared research and audit.</w:t>
      </w:r>
    </w:p>
    <w:p>
      <w:pPr>
        <w:pStyle w:val="Heading3"/>
        <w:rPr/>
      </w:pPr>
      <w:bookmarkStart w:id="187" w:name="__RefHeading___Toc7094_2150751134"/>
      <w:bookmarkEnd w:id="187"/>
      <w:r>
        <w:rPr>
          <w:rFonts w:ascii="Lato" w:hAnsi="Lato"/>
          <w:color w:val="172236"/>
          <w:sz w:val="21"/>
        </w:rPr>
        <w:t>Enterprise On-Prem</w:t>
      </w:r>
    </w:p>
    <w:p>
      <w:pPr>
        <w:pStyle w:val="ListBullet"/>
        <w:numPr>
          <w:ilvl w:val="0"/>
          <w:numId w:val="1"/>
        </w:numPr>
        <w:rPr/>
      </w:pPr>
      <w:r>
        <w:rPr>
          <w:color w:val="172236"/>
          <w:sz w:val="18"/>
        </w:rPr>
        <w:t>Kubernetes or hardened VM deployment.</w:t>
      </w:r>
    </w:p>
    <w:p>
      <w:pPr>
        <w:pStyle w:val="ListBullet"/>
        <w:numPr>
          <w:ilvl w:val="0"/>
          <w:numId w:val="1"/>
        </w:numPr>
        <w:rPr/>
      </w:pPr>
      <w:r>
        <w:rPr>
          <w:color w:val="172236"/>
          <w:sz w:val="18"/>
        </w:rPr>
        <w:t>Private registry.</w:t>
      </w:r>
    </w:p>
    <w:p>
      <w:pPr>
        <w:pStyle w:val="ListBullet"/>
        <w:numPr>
          <w:ilvl w:val="0"/>
          <w:numId w:val="1"/>
        </w:numPr>
        <w:rPr/>
      </w:pPr>
      <w:r>
        <w:rPr>
          <w:color w:val="172236"/>
          <w:sz w:val="18"/>
        </w:rPr>
        <w:t>Vault/HSM.</w:t>
      </w:r>
    </w:p>
    <w:p>
      <w:pPr>
        <w:pStyle w:val="ListBullet"/>
        <w:numPr>
          <w:ilvl w:val="0"/>
          <w:numId w:val="1"/>
        </w:numPr>
        <w:rPr/>
      </w:pPr>
      <w:r>
        <w:rPr>
          <w:color w:val="172236"/>
          <w:sz w:val="18"/>
        </w:rPr>
        <w:t>Enterprise IdP.</w:t>
      </w:r>
    </w:p>
    <w:p>
      <w:pPr>
        <w:pStyle w:val="ListBullet"/>
        <w:numPr>
          <w:ilvl w:val="0"/>
          <w:numId w:val="1"/>
        </w:numPr>
        <w:rPr/>
      </w:pPr>
      <w:r>
        <w:rPr>
          <w:color w:val="172236"/>
          <w:sz w:val="18"/>
        </w:rPr>
        <w:t>Proxy support.</w:t>
      </w:r>
    </w:p>
    <w:p>
      <w:pPr>
        <w:pStyle w:val="ListBullet"/>
        <w:numPr>
          <w:ilvl w:val="0"/>
          <w:numId w:val="1"/>
        </w:numPr>
        <w:rPr/>
      </w:pPr>
      <w:r>
        <w:rPr>
          <w:color w:val="172236"/>
          <w:sz w:val="18"/>
        </w:rPr>
        <w:t>Internal CA.</w:t>
      </w:r>
    </w:p>
    <w:p>
      <w:pPr>
        <w:pStyle w:val="ListBullet"/>
        <w:numPr>
          <w:ilvl w:val="0"/>
          <w:numId w:val="1"/>
        </w:numPr>
        <w:rPr/>
      </w:pPr>
      <w:r>
        <w:rPr>
          <w:color w:val="172236"/>
          <w:sz w:val="18"/>
        </w:rPr>
        <w:t>SIEM export.</w:t>
      </w:r>
    </w:p>
    <w:p>
      <w:pPr>
        <w:pStyle w:val="ListBullet"/>
        <w:numPr>
          <w:ilvl w:val="0"/>
          <w:numId w:val="1"/>
        </w:numPr>
        <w:rPr/>
      </w:pPr>
      <w:r>
        <w:rPr>
          <w:color w:val="172236"/>
          <w:sz w:val="18"/>
        </w:rPr>
        <w:t>Restricted egress.</w:t>
      </w:r>
    </w:p>
    <w:p>
      <w:pPr>
        <w:pStyle w:val="ListBullet"/>
        <w:numPr>
          <w:ilvl w:val="0"/>
          <w:numId w:val="1"/>
        </w:numPr>
        <w:rPr/>
      </w:pPr>
      <w:r>
        <w:rPr>
          <w:color w:val="172236"/>
          <w:sz w:val="18"/>
        </w:rPr>
        <w:t>Data residency controls.</w:t>
      </w:r>
    </w:p>
    <w:p>
      <w:pPr>
        <w:pStyle w:val="Heading3"/>
        <w:rPr/>
      </w:pPr>
      <w:bookmarkStart w:id="188" w:name="__RefHeading___Toc7096_2150751134"/>
      <w:bookmarkEnd w:id="188"/>
      <w:r>
        <w:rPr>
          <w:rFonts w:ascii="Lato" w:hAnsi="Lato"/>
          <w:color w:val="172236"/>
          <w:sz w:val="21"/>
        </w:rPr>
        <w:t>Disconnected Research Environment</w:t>
      </w:r>
    </w:p>
    <w:p>
      <w:pPr>
        <w:pStyle w:val="ListBullet"/>
        <w:numPr>
          <w:ilvl w:val="0"/>
          <w:numId w:val="1"/>
        </w:numPr>
        <w:rPr/>
      </w:pPr>
      <w:r>
        <w:rPr>
          <w:color w:val="172236"/>
          <w:sz w:val="18"/>
        </w:rPr>
        <w:t>Signed dataset imports.</w:t>
      </w:r>
    </w:p>
    <w:p>
      <w:pPr>
        <w:pStyle w:val="ListBullet"/>
        <w:numPr>
          <w:ilvl w:val="0"/>
          <w:numId w:val="1"/>
        </w:numPr>
        <w:rPr/>
      </w:pPr>
      <w:r>
        <w:rPr>
          <w:color w:val="172236"/>
          <w:sz w:val="18"/>
        </w:rPr>
        <w:t>Offline research.</w:t>
      </w:r>
    </w:p>
    <w:p>
      <w:pPr>
        <w:pStyle w:val="ListBullet"/>
        <w:numPr>
          <w:ilvl w:val="0"/>
          <w:numId w:val="1"/>
        </w:numPr>
        <w:rPr/>
      </w:pPr>
      <w:r>
        <w:rPr>
          <w:color w:val="172236"/>
          <w:sz w:val="18"/>
        </w:rPr>
        <w:t>No live execution.</w:t>
      </w:r>
    </w:p>
    <w:p>
      <w:pPr>
        <w:pStyle w:val="ListBullet"/>
        <w:numPr>
          <w:ilvl w:val="0"/>
          <w:numId w:val="1"/>
        </w:numPr>
        <w:rPr/>
      </w:pPr>
      <w:r>
        <w:rPr>
          <w:color w:val="172236"/>
          <w:sz w:val="18"/>
        </w:rPr>
        <w:t>Signed export bundles.</w:t>
      </w:r>
    </w:p>
    <w:p>
      <w:pPr>
        <w:pStyle w:val="ListBullet"/>
        <w:numPr>
          <w:ilvl w:val="0"/>
          <w:numId w:val="1"/>
        </w:numPr>
        <w:rPr/>
      </w:pPr>
      <w:r>
        <w:rPr>
          <w:color w:val="172236"/>
          <w:sz w:val="18"/>
        </w:rPr>
        <w:t>Local AI models.</w:t>
      </w:r>
    </w:p>
    <w:p>
      <w:pPr>
        <w:pStyle w:val="ListBullet"/>
        <w:numPr>
          <w:ilvl w:val="0"/>
          <w:numId w:val="1"/>
        </w:numPr>
        <w:rPr/>
      </w:pPr>
      <w:r>
        <w:rPr>
          <w:color w:val="172236"/>
          <w:sz w:val="18"/>
        </w:rPr>
        <w:t>Local license/entitlement cache with defined expiration.</w:t>
      </w:r>
    </w:p>
    <w:p>
      <w:pPr>
        <w:pStyle w:val="Heading2"/>
        <w:pBdr>
          <w:left w:val="single" w:sz="14" w:space="4" w:color="8B5CF6"/>
        </w:pBdr>
        <w:rPr/>
      </w:pPr>
      <w:bookmarkStart w:id="189" w:name="__RefHeading___Toc7098_2150751134"/>
      <w:bookmarkEnd w:id="189"/>
      <w:r>
        <w:rPr>
          <w:rFonts w:ascii="Lato" w:hAnsi="Lato"/>
          <w:color w:val="172236"/>
          <w:sz w:val="29"/>
        </w:rPr>
        <w:t>25.2 On-Prem Security</w:t>
      </w:r>
    </w:p>
    <w:p>
      <w:pPr>
        <w:pStyle w:val="ListBullet"/>
        <w:numPr>
          <w:ilvl w:val="0"/>
          <w:numId w:val="1"/>
        </w:numPr>
        <w:rPr/>
      </w:pPr>
      <w:r>
        <w:rPr>
          <w:color w:val="172236"/>
          <w:sz w:val="18"/>
        </w:rPr>
        <w:t>Network segmentation.</w:t>
      </w:r>
    </w:p>
    <w:p>
      <w:pPr>
        <w:pStyle w:val="ListBullet"/>
        <w:numPr>
          <w:ilvl w:val="0"/>
          <w:numId w:val="1"/>
        </w:numPr>
        <w:rPr/>
      </w:pPr>
      <w:r>
        <w:rPr>
          <w:color w:val="172236"/>
          <w:sz w:val="18"/>
        </w:rPr>
        <w:t>Private service endpoints.</w:t>
      </w:r>
    </w:p>
    <w:p>
      <w:pPr>
        <w:pStyle w:val="ListBullet"/>
        <w:numPr>
          <w:ilvl w:val="0"/>
          <w:numId w:val="1"/>
        </w:numPr>
        <w:rPr/>
      </w:pPr>
      <w:r>
        <w:rPr>
          <w:color w:val="172236"/>
          <w:sz w:val="18"/>
        </w:rPr>
        <w:t>Management-plane isolation.</w:t>
      </w:r>
    </w:p>
    <w:p>
      <w:pPr>
        <w:pStyle w:val="ListBullet"/>
        <w:numPr>
          <w:ilvl w:val="0"/>
          <w:numId w:val="1"/>
        </w:numPr>
        <w:rPr/>
      </w:pPr>
      <w:r>
        <w:rPr>
          <w:color w:val="172236"/>
          <w:sz w:val="18"/>
        </w:rPr>
        <w:t>Bastion or zero-trust access.</w:t>
      </w:r>
    </w:p>
    <w:p>
      <w:pPr>
        <w:pStyle w:val="ListBullet"/>
        <w:numPr>
          <w:ilvl w:val="0"/>
          <w:numId w:val="1"/>
        </w:numPr>
        <w:rPr/>
      </w:pPr>
      <w:r>
        <w:rPr>
          <w:color w:val="172236"/>
          <w:sz w:val="18"/>
        </w:rPr>
        <w:t>mTLS.</w:t>
      </w:r>
    </w:p>
    <w:p>
      <w:pPr>
        <w:pStyle w:val="ListBullet"/>
        <w:numPr>
          <w:ilvl w:val="0"/>
          <w:numId w:val="1"/>
        </w:numPr>
        <w:rPr/>
      </w:pPr>
      <w:r>
        <w:rPr>
          <w:color w:val="172236"/>
          <w:sz w:val="18"/>
        </w:rPr>
        <w:t>HSM/Vault.</w:t>
      </w:r>
    </w:p>
    <w:p>
      <w:pPr>
        <w:pStyle w:val="ListBullet"/>
        <w:numPr>
          <w:ilvl w:val="0"/>
          <w:numId w:val="1"/>
        </w:numPr>
        <w:rPr/>
      </w:pPr>
      <w:r>
        <w:rPr>
          <w:color w:val="172236"/>
          <w:sz w:val="18"/>
        </w:rPr>
        <w:t>Immutable audit export.</w:t>
      </w:r>
    </w:p>
    <w:p>
      <w:pPr>
        <w:pStyle w:val="ListBullet"/>
        <w:numPr>
          <w:ilvl w:val="0"/>
          <w:numId w:val="1"/>
        </w:numPr>
        <w:rPr/>
      </w:pPr>
      <w:r>
        <w:rPr>
          <w:color w:val="172236"/>
          <w:sz w:val="18"/>
        </w:rPr>
        <w:t>SIEM integration.</w:t>
      </w:r>
    </w:p>
    <w:p>
      <w:pPr>
        <w:pStyle w:val="ListBullet"/>
        <w:numPr>
          <w:ilvl w:val="0"/>
          <w:numId w:val="1"/>
        </w:numPr>
        <w:rPr/>
      </w:pPr>
      <w:r>
        <w:rPr>
          <w:color w:val="172236"/>
          <w:sz w:val="18"/>
        </w:rPr>
        <w:t>EDR compatibility.</w:t>
      </w:r>
    </w:p>
    <w:p>
      <w:pPr>
        <w:pStyle w:val="ListBullet"/>
        <w:numPr>
          <w:ilvl w:val="0"/>
          <w:numId w:val="1"/>
        </w:numPr>
        <w:rPr/>
      </w:pPr>
      <w:r>
        <w:rPr>
          <w:color w:val="172236"/>
          <w:sz w:val="18"/>
        </w:rPr>
        <w:t>Host hardening.</w:t>
      </w:r>
    </w:p>
    <w:p>
      <w:pPr>
        <w:pStyle w:val="ListBullet"/>
        <w:numPr>
          <w:ilvl w:val="0"/>
          <w:numId w:val="1"/>
        </w:numPr>
        <w:rPr/>
      </w:pPr>
      <w:r>
        <w:rPr>
          <w:color w:val="172236"/>
          <w:sz w:val="18"/>
        </w:rPr>
        <w:t>CIS-aligned configuration.</w:t>
      </w:r>
    </w:p>
    <w:p>
      <w:pPr>
        <w:pStyle w:val="ListBullet"/>
        <w:numPr>
          <w:ilvl w:val="0"/>
          <w:numId w:val="1"/>
        </w:numPr>
        <w:rPr/>
      </w:pPr>
      <w:r>
        <w:rPr>
          <w:color w:val="172236"/>
          <w:sz w:val="18"/>
        </w:rPr>
        <w:t>Signed container admission.</w:t>
      </w:r>
    </w:p>
    <w:p>
      <w:pPr>
        <w:pStyle w:val="ListBullet"/>
        <w:numPr>
          <w:ilvl w:val="0"/>
          <w:numId w:val="1"/>
        </w:numPr>
        <w:rPr/>
      </w:pPr>
      <w:r>
        <w:rPr>
          <w:color w:val="172236"/>
          <w:sz w:val="18"/>
        </w:rPr>
        <w:t>Egress allowlists.</w:t>
      </w:r>
    </w:p>
    <w:p>
      <w:pPr>
        <w:pStyle w:val="ListBullet"/>
        <w:numPr>
          <w:ilvl w:val="0"/>
          <w:numId w:val="1"/>
        </w:numPr>
        <w:rPr/>
      </w:pPr>
      <w:r>
        <w:rPr>
          <w:color w:val="172236"/>
          <w:sz w:val="18"/>
        </w:rPr>
        <w:t>Backup isolation.</w:t>
      </w:r>
    </w:p>
    <w:p>
      <w:pPr>
        <w:pStyle w:val="ListBullet"/>
        <w:numPr>
          <w:ilvl w:val="0"/>
          <w:numId w:val="1"/>
        </w:numPr>
        <w:rPr/>
      </w:pPr>
      <w:r>
        <w:rPr>
          <w:color w:val="172236"/>
          <w:sz w:val="18"/>
        </w:rPr>
        <w:t>Disaster recovery exercises.</w:t>
      </w:r>
    </w:p>
    <w:p>
      <w:pPr>
        <w:pStyle w:val="Heading2"/>
        <w:pBdr>
          <w:left w:val="single" w:sz="14" w:space="4" w:color="8B5CF6"/>
        </w:pBdr>
        <w:rPr/>
      </w:pPr>
      <w:bookmarkStart w:id="190" w:name="__RefHeading___Toc7100_2150751134"/>
      <w:bookmarkEnd w:id="190"/>
      <w:r>
        <w:rPr>
          <w:rFonts w:ascii="Lato" w:hAnsi="Lato"/>
          <w:color w:val="172236"/>
          <w:sz w:val="29"/>
        </w:rPr>
        <w:t>25.3 Tenant Isolation</w:t>
      </w:r>
    </w:p>
    <w:p>
      <w:pPr>
        <w:pStyle w:val="Normal"/>
        <w:rPr/>
      </w:pPr>
      <w:r>
        <w:rPr>
          <w:color w:val="172236"/>
          <w:sz w:val="19"/>
        </w:rPr>
        <w:t>Options:</w:t>
      </w:r>
    </w:p>
    <w:p>
      <w:pPr>
        <w:pStyle w:val="ListBullet"/>
        <w:numPr>
          <w:ilvl w:val="0"/>
          <w:numId w:val="1"/>
        </w:numPr>
        <w:rPr/>
      </w:pPr>
      <w:r>
        <w:rPr>
          <w:color w:val="172236"/>
          <w:sz w:val="18"/>
        </w:rPr>
        <w:t>Shared database with RLS for standard SaaS.</w:t>
      </w:r>
    </w:p>
    <w:p>
      <w:pPr>
        <w:pStyle w:val="ListBullet"/>
        <w:numPr>
          <w:ilvl w:val="0"/>
          <w:numId w:val="1"/>
        </w:numPr>
        <w:rPr/>
      </w:pPr>
      <w:r>
        <w:rPr>
          <w:color w:val="172236"/>
          <w:sz w:val="18"/>
        </w:rPr>
        <w:t>Schema-per-tenant for stronger logical separation.</w:t>
      </w:r>
    </w:p>
    <w:p>
      <w:pPr>
        <w:pStyle w:val="ListBullet"/>
        <w:numPr>
          <w:ilvl w:val="0"/>
          <w:numId w:val="1"/>
        </w:numPr>
        <w:rPr/>
      </w:pPr>
      <w:r>
        <w:rPr>
          <w:color w:val="172236"/>
          <w:sz w:val="18"/>
        </w:rPr>
        <w:t>Database-per-tenant for regulated or large enterprise.</w:t>
      </w:r>
    </w:p>
    <w:p>
      <w:pPr>
        <w:pStyle w:val="ListBullet"/>
        <w:numPr>
          <w:ilvl w:val="0"/>
          <w:numId w:val="1"/>
        </w:numPr>
        <w:rPr/>
      </w:pPr>
      <w:r>
        <w:rPr>
          <w:color w:val="172236"/>
          <w:sz w:val="18"/>
        </w:rPr>
        <w:t>Dedicated deployment for highest assurance.</w:t>
      </w:r>
    </w:p>
    <w:p>
      <w:pPr>
        <w:pStyle w:val="Heading1"/>
        <w:pBdr>
          <w:bottom w:val="single" w:sz="12" w:space="5" w:color="33C7F2"/>
        </w:pBdr>
        <w:rPr/>
      </w:pPr>
      <w:bookmarkStart w:id="191" w:name="__RefHeading___Toc7102_2150751134"/>
      <w:bookmarkEnd w:id="191"/>
      <w:r>
        <w:rPr>
          <w:rFonts w:ascii="Lato" w:hAnsi="Lato"/>
          <w:color w:val="172236"/>
          <w:sz w:val="42"/>
        </w:rPr>
        <w:t>26. Observability, Reliability, and Operations</w:t>
      </w:r>
    </w:p>
    <w:p>
      <w:pPr>
        <w:pStyle w:val="Heading2"/>
        <w:pBdr>
          <w:left w:val="single" w:sz="14" w:space="4" w:color="8B5CF6"/>
        </w:pBdr>
        <w:rPr/>
      </w:pPr>
      <w:bookmarkStart w:id="192" w:name="__RefHeading___Toc7104_2150751134"/>
      <w:bookmarkEnd w:id="192"/>
      <w:r>
        <w:rPr>
          <w:rFonts w:ascii="Lato" w:hAnsi="Lato"/>
          <w:color w:val="172236"/>
          <w:sz w:val="29"/>
        </w:rPr>
        <w:t>26.1 OpenTelemetry</w:t>
      </w:r>
    </w:p>
    <w:p>
      <w:pPr>
        <w:pStyle w:val="Normal"/>
        <w:rPr/>
      </w:pPr>
      <w:r>
        <w:rPr>
          <w:color w:val="172236"/>
          <w:sz w:val="19"/>
        </w:rPr>
        <w:t>Use OpenTelemetry-compatible:</w:t>
      </w:r>
    </w:p>
    <w:p>
      <w:pPr>
        <w:pStyle w:val="ListBullet"/>
        <w:numPr>
          <w:ilvl w:val="0"/>
          <w:numId w:val="1"/>
        </w:numPr>
        <w:rPr/>
      </w:pPr>
      <w:r>
        <w:rPr>
          <w:color w:val="172236"/>
          <w:sz w:val="18"/>
        </w:rPr>
        <w:t>Traces.</w:t>
      </w:r>
    </w:p>
    <w:p>
      <w:pPr>
        <w:pStyle w:val="ListBullet"/>
        <w:numPr>
          <w:ilvl w:val="0"/>
          <w:numId w:val="1"/>
        </w:numPr>
        <w:rPr/>
      </w:pPr>
      <w:r>
        <w:rPr>
          <w:color w:val="172236"/>
          <w:sz w:val="18"/>
        </w:rPr>
        <w:t>Metrics.</w:t>
      </w:r>
    </w:p>
    <w:p>
      <w:pPr>
        <w:pStyle w:val="ListBullet"/>
        <w:numPr>
          <w:ilvl w:val="0"/>
          <w:numId w:val="1"/>
        </w:numPr>
        <w:rPr/>
      </w:pPr>
      <w:r>
        <w:rPr>
          <w:color w:val="172236"/>
          <w:sz w:val="18"/>
        </w:rPr>
        <w:t>Logs.</w:t>
      </w:r>
    </w:p>
    <w:p>
      <w:pPr>
        <w:pStyle w:val="ListBullet"/>
        <w:numPr>
          <w:ilvl w:val="0"/>
          <w:numId w:val="1"/>
        </w:numPr>
        <w:rPr/>
      </w:pPr>
      <w:r>
        <w:rPr>
          <w:color w:val="172236"/>
          <w:sz w:val="18"/>
        </w:rPr>
        <w:t>Context propagation.</w:t>
      </w:r>
    </w:p>
    <w:p>
      <w:pPr>
        <w:pStyle w:val="Heading2"/>
        <w:pBdr>
          <w:left w:val="single" w:sz="14" w:space="4" w:color="8B5CF6"/>
        </w:pBdr>
        <w:rPr/>
      </w:pPr>
      <w:bookmarkStart w:id="193" w:name="__RefHeading___Toc7106_2150751134"/>
      <w:bookmarkEnd w:id="193"/>
      <w:r>
        <w:rPr>
          <w:rFonts w:ascii="Lato" w:hAnsi="Lato"/>
          <w:color w:val="172236"/>
          <w:sz w:val="29"/>
        </w:rPr>
        <w:t>26.2 Required Metrics</w:t>
      </w:r>
    </w:p>
    <w:p>
      <w:pPr>
        <w:pStyle w:val="ListBullet"/>
        <w:numPr>
          <w:ilvl w:val="0"/>
          <w:numId w:val="1"/>
        </w:numPr>
        <w:rPr/>
      </w:pPr>
      <w:r>
        <w:rPr>
          <w:color w:val="172236"/>
          <w:sz w:val="18"/>
        </w:rPr>
        <w:t>Provider request count/latency/errors.</w:t>
      </w:r>
    </w:p>
    <w:p>
      <w:pPr>
        <w:pStyle w:val="ListBullet"/>
        <w:numPr>
          <w:ilvl w:val="0"/>
          <w:numId w:val="1"/>
        </w:numPr>
        <w:rPr/>
      </w:pPr>
      <w:r>
        <w:rPr>
          <w:color w:val="172236"/>
          <w:sz w:val="18"/>
        </w:rPr>
        <w:t>Rate-limit remaining.</w:t>
      </w:r>
    </w:p>
    <w:p>
      <w:pPr>
        <w:pStyle w:val="ListBullet"/>
        <w:numPr>
          <w:ilvl w:val="0"/>
          <w:numId w:val="1"/>
        </w:numPr>
        <w:rPr/>
      </w:pPr>
      <w:r>
        <w:rPr>
          <w:color w:val="172236"/>
          <w:sz w:val="18"/>
        </w:rPr>
        <w:t>Cache hit rate.</w:t>
      </w:r>
    </w:p>
    <w:p>
      <w:pPr>
        <w:pStyle w:val="ListBullet"/>
        <w:numPr>
          <w:ilvl w:val="0"/>
          <w:numId w:val="1"/>
        </w:numPr>
        <w:rPr/>
      </w:pPr>
      <w:r>
        <w:rPr>
          <w:color w:val="172236"/>
          <w:sz w:val="18"/>
        </w:rPr>
        <w:t>Freshness lag.</w:t>
      </w:r>
    </w:p>
    <w:p>
      <w:pPr>
        <w:pStyle w:val="ListBullet"/>
        <w:numPr>
          <w:ilvl w:val="0"/>
          <w:numId w:val="1"/>
        </w:numPr>
        <w:rPr/>
      </w:pPr>
      <w:r>
        <w:rPr>
          <w:color w:val="172236"/>
          <w:sz w:val="18"/>
        </w:rPr>
        <w:t>Stream disconnects.</w:t>
      </w:r>
    </w:p>
    <w:p>
      <w:pPr>
        <w:pStyle w:val="ListBullet"/>
        <w:numPr>
          <w:ilvl w:val="0"/>
          <w:numId w:val="1"/>
        </w:numPr>
        <w:rPr/>
      </w:pPr>
      <w:r>
        <w:rPr>
          <w:color w:val="172236"/>
          <w:sz w:val="18"/>
        </w:rPr>
        <w:t>Queue depth.</w:t>
      </w:r>
    </w:p>
    <w:p>
      <w:pPr>
        <w:pStyle w:val="ListBullet"/>
        <w:numPr>
          <w:ilvl w:val="0"/>
          <w:numId w:val="1"/>
        </w:numPr>
        <w:rPr/>
      </w:pPr>
      <w:r>
        <w:rPr>
          <w:color w:val="172236"/>
          <w:sz w:val="18"/>
        </w:rPr>
        <w:t>Job duration.</w:t>
      </w:r>
    </w:p>
    <w:p>
      <w:pPr>
        <w:pStyle w:val="ListBullet"/>
        <w:numPr>
          <w:ilvl w:val="0"/>
          <w:numId w:val="1"/>
        </w:numPr>
        <w:rPr/>
      </w:pPr>
      <w:r>
        <w:rPr>
          <w:color w:val="172236"/>
          <w:sz w:val="18"/>
        </w:rPr>
        <w:t>Backtest throughput.</w:t>
      </w:r>
    </w:p>
    <w:p>
      <w:pPr>
        <w:pStyle w:val="ListBullet"/>
        <w:numPr>
          <w:ilvl w:val="0"/>
          <w:numId w:val="1"/>
        </w:numPr>
        <w:rPr/>
      </w:pPr>
      <w:r>
        <w:rPr>
          <w:color w:val="172236"/>
          <w:sz w:val="18"/>
        </w:rPr>
        <w:t>Simulation throughput.</w:t>
      </w:r>
    </w:p>
    <w:p>
      <w:pPr>
        <w:pStyle w:val="ListBullet"/>
        <w:numPr>
          <w:ilvl w:val="0"/>
          <w:numId w:val="1"/>
        </w:numPr>
        <w:rPr/>
      </w:pPr>
      <w:r>
        <w:rPr>
          <w:color w:val="172236"/>
          <w:sz w:val="18"/>
        </w:rPr>
        <w:t>Model inference latency.</w:t>
      </w:r>
    </w:p>
    <w:p>
      <w:pPr>
        <w:pStyle w:val="ListBullet"/>
        <w:numPr>
          <w:ilvl w:val="0"/>
          <w:numId w:val="1"/>
        </w:numPr>
        <w:rPr/>
      </w:pPr>
      <w:r>
        <w:rPr>
          <w:color w:val="172236"/>
          <w:sz w:val="18"/>
        </w:rPr>
        <w:t>UI frame time.</w:t>
      </w:r>
    </w:p>
    <w:p>
      <w:pPr>
        <w:pStyle w:val="ListBullet"/>
        <w:numPr>
          <w:ilvl w:val="0"/>
          <w:numId w:val="1"/>
        </w:numPr>
        <w:rPr/>
      </w:pPr>
      <w:r>
        <w:rPr>
          <w:color w:val="172236"/>
          <w:sz w:val="18"/>
        </w:rPr>
        <w:t>GPU fallback rate.</w:t>
      </w:r>
    </w:p>
    <w:p>
      <w:pPr>
        <w:pStyle w:val="ListBullet"/>
        <w:numPr>
          <w:ilvl w:val="0"/>
          <w:numId w:val="1"/>
        </w:numPr>
        <w:rPr/>
      </w:pPr>
      <w:r>
        <w:rPr>
          <w:color w:val="172236"/>
          <w:sz w:val="18"/>
        </w:rPr>
        <w:t>Database latency.</w:t>
      </w:r>
    </w:p>
    <w:p>
      <w:pPr>
        <w:pStyle w:val="ListBullet"/>
        <w:numPr>
          <w:ilvl w:val="0"/>
          <w:numId w:val="1"/>
        </w:numPr>
        <w:rPr/>
      </w:pPr>
      <w:r>
        <w:rPr>
          <w:color w:val="172236"/>
          <w:sz w:val="18"/>
        </w:rPr>
        <w:t>Order reconciliation latency.</w:t>
      </w:r>
    </w:p>
    <w:p>
      <w:pPr>
        <w:pStyle w:val="ListBullet"/>
        <w:numPr>
          <w:ilvl w:val="0"/>
          <w:numId w:val="1"/>
        </w:numPr>
        <w:rPr/>
      </w:pPr>
      <w:r>
        <w:rPr>
          <w:color w:val="172236"/>
          <w:sz w:val="18"/>
        </w:rPr>
        <w:t>Alert delivery success.</w:t>
      </w:r>
    </w:p>
    <w:p>
      <w:pPr>
        <w:pStyle w:val="ListBullet"/>
        <w:numPr>
          <w:ilvl w:val="0"/>
          <w:numId w:val="1"/>
        </w:numPr>
        <w:rPr/>
      </w:pPr>
      <w:r>
        <w:rPr>
          <w:color w:val="172236"/>
          <w:sz w:val="18"/>
        </w:rPr>
        <w:t>Security events.</w:t>
      </w:r>
    </w:p>
    <w:p>
      <w:pPr>
        <w:pStyle w:val="Heading2"/>
        <w:pBdr>
          <w:left w:val="single" w:sz="14" w:space="4" w:color="8B5CF6"/>
        </w:pBdr>
        <w:rPr/>
      </w:pPr>
      <w:bookmarkStart w:id="194" w:name="__RefHeading___Toc7108_2150751134"/>
      <w:bookmarkEnd w:id="194"/>
      <w:r>
        <w:rPr>
          <w:rFonts w:ascii="Lato" w:hAnsi="Lato"/>
          <w:color w:val="172236"/>
          <w:sz w:val="29"/>
        </w:rPr>
        <w:t>26.3 SLO Examples</w:t>
      </w:r>
    </w:p>
    <w:p>
      <w:pPr>
        <w:pStyle w:val="ListBullet"/>
        <w:numPr>
          <w:ilvl w:val="0"/>
          <w:numId w:val="1"/>
        </w:numPr>
        <w:rPr/>
      </w:pPr>
      <w:r>
        <w:rPr>
          <w:color w:val="172236"/>
          <w:sz w:val="18"/>
        </w:rPr>
        <w:t>Cached dashboard availability.</w:t>
      </w:r>
    </w:p>
    <w:p>
      <w:pPr>
        <w:pStyle w:val="ListBullet"/>
        <w:numPr>
          <w:ilvl w:val="0"/>
          <w:numId w:val="1"/>
        </w:numPr>
        <w:rPr/>
      </w:pPr>
      <w:r>
        <w:rPr>
          <w:color w:val="172236"/>
          <w:sz w:val="18"/>
        </w:rPr>
        <w:t>Critical provider freshness.</w:t>
      </w:r>
    </w:p>
    <w:p>
      <w:pPr>
        <w:pStyle w:val="ListBullet"/>
        <w:numPr>
          <w:ilvl w:val="0"/>
          <w:numId w:val="1"/>
        </w:numPr>
        <w:rPr/>
      </w:pPr>
      <w:r>
        <w:rPr>
          <w:color w:val="172236"/>
          <w:sz w:val="18"/>
        </w:rPr>
        <w:t>Alert delivery.</w:t>
      </w:r>
    </w:p>
    <w:p>
      <w:pPr>
        <w:pStyle w:val="ListBullet"/>
        <w:numPr>
          <w:ilvl w:val="0"/>
          <w:numId w:val="1"/>
        </w:numPr>
        <w:rPr/>
      </w:pPr>
      <w:r>
        <w:rPr>
          <w:color w:val="172236"/>
          <w:sz w:val="18"/>
        </w:rPr>
        <w:t>Order-state reconciliation.</w:t>
      </w:r>
    </w:p>
    <w:p>
      <w:pPr>
        <w:pStyle w:val="ListBullet"/>
        <w:numPr>
          <w:ilvl w:val="0"/>
          <w:numId w:val="1"/>
        </w:numPr>
        <w:rPr/>
      </w:pPr>
      <w:r>
        <w:rPr>
          <w:color w:val="172236"/>
          <w:sz w:val="18"/>
        </w:rPr>
        <w:t>Backtest completion.</w:t>
      </w:r>
    </w:p>
    <w:p>
      <w:pPr>
        <w:pStyle w:val="ListBullet"/>
        <w:numPr>
          <w:ilvl w:val="0"/>
          <w:numId w:val="1"/>
        </w:numPr>
        <w:rPr/>
      </w:pPr>
      <w:r>
        <w:rPr>
          <w:color w:val="172236"/>
          <w:sz w:val="18"/>
        </w:rPr>
        <w:t>Desktop crash-free sessions.</w:t>
      </w:r>
    </w:p>
    <w:p>
      <w:pPr>
        <w:pStyle w:val="ListBullet"/>
        <w:numPr>
          <w:ilvl w:val="0"/>
          <w:numId w:val="1"/>
        </w:numPr>
        <w:rPr/>
      </w:pPr>
      <w:r>
        <w:rPr>
          <w:color w:val="172236"/>
          <w:sz w:val="18"/>
        </w:rPr>
        <w:t>Update success.</w:t>
      </w:r>
    </w:p>
    <w:p>
      <w:pPr>
        <w:pStyle w:val="Heading2"/>
        <w:pBdr>
          <w:left w:val="single" w:sz="14" w:space="4" w:color="8B5CF6"/>
        </w:pBdr>
        <w:rPr/>
      </w:pPr>
      <w:bookmarkStart w:id="195" w:name="__RefHeading___Toc7110_2150751134"/>
      <w:bookmarkEnd w:id="195"/>
      <w:r>
        <w:rPr>
          <w:rFonts w:ascii="Lato" w:hAnsi="Lato"/>
          <w:color w:val="172236"/>
          <w:sz w:val="29"/>
        </w:rPr>
        <w:t>26.4 Health Model</w:t>
      </w:r>
    </w:p>
    <w:p>
      <w:pPr>
        <w:pStyle w:val="ListBullet"/>
        <w:numPr>
          <w:ilvl w:val="0"/>
          <w:numId w:val="1"/>
        </w:numPr>
        <w:rPr/>
      </w:pPr>
      <w:r>
        <w:rPr>
          <w:color w:val="172236"/>
          <w:sz w:val="18"/>
        </w:rPr>
        <w:t>Liveness.</w:t>
      </w:r>
    </w:p>
    <w:p>
      <w:pPr>
        <w:pStyle w:val="ListBullet"/>
        <w:numPr>
          <w:ilvl w:val="0"/>
          <w:numId w:val="1"/>
        </w:numPr>
        <w:rPr/>
      </w:pPr>
      <w:r>
        <w:rPr>
          <w:color w:val="172236"/>
          <w:sz w:val="18"/>
        </w:rPr>
        <w:t>Readiness.</w:t>
      </w:r>
    </w:p>
    <w:p>
      <w:pPr>
        <w:pStyle w:val="ListBullet"/>
        <w:numPr>
          <w:ilvl w:val="0"/>
          <w:numId w:val="1"/>
        </w:numPr>
        <w:rPr/>
      </w:pPr>
      <w:r>
        <w:rPr>
          <w:color w:val="172236"/>
          <w:sz w:val="18"/>
        </w:rPr>
        <w:t>Provider dependency status.</w:t>
      </w:r>
    </w:p>
    <w:p>
      <w:pPr>
        <w:pStyle w:val="ListBullet"/>
        <w:numPr>
          <w:ilvl w:val="0"/>
          <w:numId w:val="1"/>
        </w:numPr>
        <w:rPr/>
      </w:pPr>
      <w:r>
        <w:rPr>
          <w:color w:val="172236"/>
          <w:sz w:val="18"/>
        </w:rPr>
        <w:t>Database status.</w:t>
      </w:r>
    </w:p>
    <w:p>
      <w:pPr>
        <w:pStyle w:val="ListBullet"/>
        <w:numPr>
          <w:ilvl w:val="0"/>
          <w:numId w:val="1"/>
        </w:numPr>
        <w:rPr/>
      </w:pPr>
      <w:r>
        <w:rPr>
          <w:color w:val="172236"/>
          <w:sz w:val="18"/>
        </w:rPr>
        <w:t>Clock skew.</w:t>
      </w:r>
    </w:p>
    <w:p>
      <w:pPr>
        <w:pStyle w:val="ListBullet"/>
        <w:numPr>
          <w:ilvl w:val="0"/>
          <w:numId w:val="1"/>
        </w:numPr>
        <w:rPr/>
      </w:pPr>
      <w:r>
        <w:rPr>
          <w:color w:val="172236"/>
          <w:sz w:val="18"/>
        </w:rPr>
        <w:t>Entitlement status.</w:t>
      </w:r>
    </w:p>
    <w:p>
      <w:pPr>
        <w:pStyle w:val="ListBullet"/>
        <w:numPr>
          <w:ilvl w:val="0"/>
          <w:numId w:val="1"/>
        </w:numPr>
        <w:rPr/>
      </w:pPr>
      <w:r>
        <w:rPr>
          <w:color w:val="172236"/>
          <w:sz w:val="18"/>
        </w:rPr>
        <w:t>Crypto key status.</w:t>
      </w:r>
    </w:p>
    <w:p>
      <w:pPr>
        <w:pStyle w:val="ListBullet"/>
        <w:numPr>
          <w:ilvl w:val="0"/>
          <w:numId w:val="1"/>
        </w:numPr>
        <w:rPr/>
      </w:pPr>
      <w:r>
        <w:rPr>
          <w:color w:val="172236"/>
          <w:sz w:val="18"/>
        </w:rPr>
        <w:t>Model status.</w:t>
      </w:r>
    </w:p>
    <w:p>
      <w:pPr>
        <w:pStyle w:val="ListBullet"/>
        <w:numPr>
          <w:ilvl w:val="0"/>
          <w:numId w:val="1"/>
        </w:numPr>
        <w:rPr/>
      </w:pPr>
      <w:r>
        <w:rPr>
          <w:color w:val="172236"/>
          <w:sz w:val="18"/>
        </w:rPr>
        <w:t>Queue status.</w:t>
      </w:r>
    </w:p>
    <w:p>
      <w:pPr>
        <w:pStyle w:val="ListBullet"/>
        <w:numPr>
          <w:ilvl w:val="0"/>
          <w:numId w:val="1"/>
        </w:numPr>
        <w:rPr/>
      </w:pPr>
      <w:r>
        <w:rPr>
          <w:color w:val="172236"/>
          <w:sz w:val="18"/>
        </w:rPr>
        <w:t>Version/build.</w:t>
      </w:r>
    </w:p>
    <w:p>
      <w:pPr>
        <w:pStyle w:val="ListBullet"/>
        <w:numPr>
          <w:ilvl w:val="0"/>
          <w:numId w:val="1"/>
        </w:numPr>
        <w:rPr/>
      </w:pPr>
      <w:r>
        <w:rPr>
          <w:color w:val="172236"/>
          <w:sz w:val="18"/>
        </w:rPr>
        <w:t>Data freshness.</w:t>
      </w:r>
    </w:p>
    <w:p>
      <w:pPr>
        <w:pStyle w:val="Heading2"/>
        <w:pBdr>
          <w:left w:val="single" w:sz="14" w:space="4" w:color="8B5CF6"/>
        </w:pBdr>
        <w:rPr/>
      </w:pPr>
      <w:bookmarkStart w:id="196" w:name="__RefHeading___Toc7112_2150751134"/>
      <w:bookmarkEnd w:id="196"/>
      <w:r>
        <w:rPr>
          <w:rFonts w:ascii="Lato" w:hAnsi="Lato"/>
          <w:color w:val="172236"/>
          <w:sz w:val="29"/>
        </w:rPr>
        <w:t>26.5 Runbooks</w:t>
      </w:r>
    </w:p>
    <w:p>
      <w:pPr>
        <w:pStyle w:val="ListBullet"/>
        <w:numPr>
          <w:ilvl w:val="0"/>
          <w:numId w:val="1"/>
        </w:numPr>
        <w:rPr/>
      </w:pPr>
      <w:r>
        <w:rPr>
          <w:color w:val="172236"/>
          <w:sz w:val="18"/>
        </w:rPr>
        <w:t>Provider outage.</w:t>
      </w:r>
    </w:p>
    <w:p>
      <w:pPr>
        <w:pStyle w:val="ListBullet"/>
        <w:numPr>
          <w:ilvl w:val="0"/>
          <w:numId w:val="1"/>
        </w:numPr>
        <w:rPr/>
      </w:pPr>
      <w:r>
        <w:rPr>
          <w:color w:val="172236"/>
          <w:sz w:val="18"/>
        </w:rPr>
        <w:t>Rate-limit exhaustion.</w:t>
      </w:r>
    </w:p>
    <w:p>
      <w:pPr>
        <w:pStyle w:val="ListBullet"/>
        <w:numPr>
          <w:ilvl w:val="0"/>
          <w:numId w:val="1"/>
        </w:numPr>
        <w:rPr/>
      </w:pPr>
      <w:r>
        <w:rPr>
          <w:color w:val="172236"/>
          <w:sz w:val="18"/>
        </w:rPr>
        <w:t>Schema change.</w:t>
      </w:r>
    </w:p>
    <w:p>
      <w:pPr>
        <w:pStyle w:val="ListBullet"/>
        <w:numPr>
          <w:ilvl w:val="0"/>
          <w:numId w:val="1"/>
        </w:numPr>
        <w:rPr/>
      </w:pPr>
      <w:r>
        <w:rPr>
          <w:color w:val="172236"/>
          <w:sz w:val="18"/>
        </w:rPr>
        <w:t>Stale data.</w:t>
      </w:r>
    </w:p>
    <w:p>
      <w:pPr>
        <w:pStyle w:val="ListBullet"/>
        <w:numPr>
          <w:ilvl w:val="0"/>
          <w:numId w:val="1"/>
        </w:numPr>
        <w:rPr/>
      </w:pPr>
      <w:r>
        <w:rPr>
          <w:color w:val="172236"/>
          <w:sz w:val="18"/>
        </w:rPr>
        <w:t>Broker timeout.</w:t>
      </w:r>
    </w:p>
    <w:p>
      <w:pPr>
        <w:pStyle w:val="ListBullet"/>
        <w:numPr>
          <w:ilvl w:val="0"/>
          <w:numId w:val="1"/>
        </w:numPr>
        <w:rPr/>
      </w:pPr>
      <w:r>
        <w:rPr>
          <w:color w:val="172236"/>
          <w:sz w:val="18"/>
        </w:rPr>
        <w:t>Unknown order state.</w:t>
      </w:r>
    </w:p>
    <w:p>
      <w:pPr>
        <w:pStyle w:val="ListBullet"/>
        <w:numPr>
          <w:ilvl w:val="0"/>
          <w:numId w:val="1"/>
        </w:numPr>
        <w:rPr/>
      </w:pPr>
      <w:r>
        <w:rPr>
          <w:color w:val="172236"/>
          <w:sz w:val="18"/>
        </w:rPr>
        <w:t>Database failover.</w:t>
      </w:r>
    </w:p>
    <w:p>
      <w:pPr>
        <w:pStyle w:val="ListBullet"/>
        <w:numPr>
          <w:ilvl w:val="0"/>
          <w:numId w:val="1"/>
        </w:numPr>
        <w:rPr/>
      </w:pPr>
      <w:r>
        <w:rPr>
          <w:color w:val="172236"/>
          <w:sz w:val="18"/>
        </w:rPr>
        <w:t>Restore.</w:t>
      </w:r>
    </w:p>
    <w:p>
      <w:pPr>
        <w:pStyle w:val="ListBullet"/>
        <w:numPr>
          <w:ilvl w:val="0"/>
          <w:numId w:val="1"/>
        </w:numPr>
        <w:rPr/>
      </w:pPr>
      <w:r>
        <w:rPr>
          <w:color w:val="172236"/>
          <w:sz w:val="18"/>
        </w:rPr>
        <w:t>Key rotation.</w:t>
      </w:r>
    </w:p>
    <w:p>
      <w:pPr>
        <w:pStyle w:val="ListBullet"/>
        <w:numPr>
          <w:ilvl w:val="0"/>
          <w:numId w:val="1"/>
        </w:numPr>
        <w:rPr/>
      </w:pPr>
      <w:r>
        <w:rPr>
          <w:color w:val="172236"/>
          <w:sz w:val="18"/>
        </w:rPr>
        <w:t>Certificate expiration.</w:t>
      </w:r>
    </w:p>
    <w:p>
      <w:pPr>
        <w:pStyle w:val="ListBullet"/>
        <w:numPr>
          <w:ilvl w:val="0"/>
          <w:numId w:val="1"/>
        </w:numPr>
        <w:rPr/>
      </w:pPr>
      <w:r>
        <w:rPr>
          <w:color w:val="172236"/>
          <w:sz w:val="18"/>
        </w:rPr>
        <w:t>Plugin compromise.</w:t>
      </w:r>
    </w:p>
    <w:p>
      <w:pPr>
        <w:pStyle w:val="ListBullet"/>
        <w:numPr>
          <w:ilvl w:val="0"/>
          <w:numId w:val="1"/>
        </w:numPr>
        <w:rPr/>
      </w:pPr>
      <w:r>
        <w:rPr>
          <w:color w:val="172236"/>
          <w:sz w:val="18"/>
        </w:rPr>
        <w:t>Model rollback.</w:t>
      </w:r>
    </w:p>
    <w:p>
      <w:pPr>
        <w:pStyle w:val="ListBullet"/>
        <w:numPr>
          <w:ilvl w:val="0"/>
          <w:numId w:val="1"/>
        </w:numPr>
        <w:rPr/>
      </w:pPr>
      <w:r>
        <w:rPr>
          <w:color w:val="172236"/>
          <w:sz w:val="18"/>
        </w:rPr>
        <w:t>Emergency execution disablement.</w:t>
      </w:r>
    </w:p>
    <w:p>
      <w:pPr>
        <w:pStyle w:val="ListBullet"/>
        <w:numPr>
          <w:ilvl w:val="0"/>
          <w:numId w:val="1"/>
        </w:numPr>
        <w:rPr/>
      </w:pPr>
      <w:r>
        <w:rPr>
          <w:color w:val="172236"/>
          <w:sz w:val="18"/>
        </w:rPr>
        <w:t>Corrupted cache.</w:t>
      </w:r>
    </w:p>
    <w:p>
      <w:pPr>
        <w:pStyle w:val="ListBullet"/>
        <w:numPr>
          <w:ilvl w:val="0"/>
          <w:numId w:val="1"/>
        </w:numPr>
        <w:rPr/>
      </w:pPr>
      <w:r>
        <w:rPr>
          <w:color w:val="172236"/>
          <w:sz w:val="18"/>
        </w:rPr>
        <w:t>GPU device loss.</w:t>
      </w:r>
    </w:p>
    <w:p>
      <w:pPr>
        <w:pStyle w:val="Heading1"/>
        <w:pBdr>
          <w:bottom w:val="single" w:sz="12" w:space="5" w:color="33C7F2"/>
        </w:pBdr>
        <w:rPr/>
      </w:pPr>
      <w:bookmarkStart w:id="197" w:name="__RefHeading___Toc7114_2150751134"/>
      <w:bookmarkEnd w:id="197"/>
      <w:r>
        <w:rPr>
          <w:rFonts w:ascii="Lato" w:hAnsi="Lato"/>
          <w:color w:val="172236"/>
          <w:sz w:val="42"/>
        </w:rPr>
        <w:t>27. Testing and Quality Engineering</w:t>
      </w:r>
    </w:p>
    <w:p>
      <w:pPr>
        <w:pStyle w:val="Heading2"/>
        <w:pBdr>
          <w:left w:val="single" w:sz="14" w:space="4" w:color="8B5CF6"/>
        </w:pBdr>
        <w:rPr/>
      </w:pPr>
      <w:bookmarkStart w:id="198" w:name="__RefHeading___Toc7116_2150751134"/>
      <w:bookmarkEnd w:id="198"/>
      <w:r>
        <w:rPr>
          <w:rFonts w:ascii="Lato" w:hAnsi="Lato"/>
          <w:color w:val="172236"/>
          <w:sz w:val="29"/>
        </w:rPr>
        <w:t>27.1 Test Layers</w:t>
      </w:r>
    </w:p>
    <w:p>
      <w:pPr>
        <w:pStyle w:val="ListBullet"/>
        <w:numPr>
          <w:ilvl w:val="0"/>
          <w:numId w:val="1"/>
        </w:numPr>
        <w:rPr/>
      </w:pPr>
      <w:r>
        <w:rPr>
          <w:color w:val="172236"/>
          <w:sz w:val="18"/>
        </w:rPr>
        <w:t>Unit.</w:t>
      </w:r>
    </w:p>
    <w:p>
      <w:pPr>
        <w:pStyle w:val="ListBullet"/>
        <w:numPr>
          <w:ilvl w:val="0"/>
          <w:numId w:val="1"/>
        </w:numPr>
        <w:rPr/>
      </w:pPr>
      <w:r>
        <w:rPr>
          <w:color w:val="172236"/>
          <w:sz w:val="18"/>
        </w:rPr>
        <w:t>Property.</w:t>
      </w:r>
    </w:p>
    <w:p>
      <w:pPr>
        <w:pStyle w:val="ListBullet"/>
        <w:numPr>
          <w:ilvl w:val="0"/>
          <w:numId w:val="1"/>
        </w:numPr>
        <w:rPr/>
      </w:pPr>
      <w:r>
        <w:rPr>
          <w:color w:val="172236"/>
          <w:sz w:val="18"/>
        </w:rPr>
        <w:t>Integration.</w:t>
      </w:r>
    </w:p>
    <w:p>
      <w:pPr>
        <w:pStyle w:val="ListBullet"/>
        <w:numPr>
          <w:ilvl w:val="0"/>
          <w:numId w:val="1"/>
        </w:numPr>
        <w:rPr/>
      </w:pPr>
      <w:r>
        <w:rPr>
          <w:color w:val="172236"/>
          <w:sz w:val="18"/>
        </w:rPr>
        <w:t>Contract.</w:t>
      </w:r>
    </w:p>
    <w:p>
      <w:pPr>
        <w:pStyle w:val="ListBullet"/>
        <w:numPr>
          <w:ilvl w:val="0"/>
          <w:numId w:val="1"/>
        </w:numPr>
        <w:rPr/>
      </w:pPr>
      <w:r>
        <w:rPr>
          <w:color w:val="172236"/>
          <w:sz w:val="18"/>
        </w:rPr>
        <w:t>End-to-end.</w:t>
      </w:r>
    </w:p>
    <w:p>
      <w:pPr>
        <w:pStyle w:val="ListBullet"/>
        <w:numPr>
          <w:ilvl w:val="0"/>
          <w:numId w:val="1"/>
        </w:numPr>
        <w:rPr/>
      </w:pPr>
      <w:r>
        <w:rPr>
          <w:color w:val="172236"/>
          <w:sz w:val="18"/>
        </w:rPr>
        <w:t>Golden.</w:t>
      </w:r>
    </w:p>
    <w:p>
      <w:pPr>
        <w:pStyle w:val="ListBullet"/>
        <w:numPr>
          <w:ilvl w:val="0"/>
          <w:numId w:val="1"/>
        </w:numPr>
        <w:rPr/>
      </w:pPr>
      <w:r>
        <w:rPr>
          <w:color w:val="172236"/>
          <w:sz w:val="18"/>
        </w:rPr>
        <w:t>Fuzz.</w:t>
      </w:r>
    </w:p>
    <w:p>
      <w:pPr>
        <w:pStyle w:val="ListBullet"/>
        <w:numPr>
          <w:ilvl w:val="0"/>
          <w:numId w:val="1"/>
        </w:numPr>
        <w:rPr/>
      </w:pPr>
      <w:r>
        <w:rPr>
          <w:color w:val="172236"/>
          <w:sz w:val="18"/>
        </w:rPr>
        <w:t>Performance.</w:t>
      </w:r>
    </w:p>
    <w:p>
      <w:pPr>
        <w:pStyle w:val="ListBullet"/>
        <w:numPr>
          <w:ilvl w:val="0"/>
          <w:numId w:val="1"/>
        </w:numPr>
        <w:rPr/>
      </w:pPr>
      <w:r>
        <w:rPr>
          <w:color w:val="172236"/>
          <w:sz w:val="18"/>
        </w:rPr>
        <w:t>Chaos/failure injection.</w:t>
      </w:r>
    </w:p>
    <w:p>
      <w:pPr>
        <w:pStyle w:val="ListBullet"/>
        <w:numPr>
          <w:ilvl w:val="0"/>
          <w:numId w:val="1"/>
        </w:numPr>
        <w:rPr/>
      </w:pPr>
      <w:r>
        <w:rPr>
          <w:color w:val="172236"/>
          <w:sz w:val="18"/>
        </w:rPr>
        <w:t>Security.</w:t>
      </w:r>
    </w:p>
    <w:p>
      <w:pPr>
        <w:pStyle w:val="ListBullet"/>
        <w:numPr>
          <w:ilvl w:val="0"/>
          <w:numId w:val="1"/>
        </w:numPr>
        <w:rPr/>
      </w:pPr>
      <w:r>
        <w:rPr>
          <w:color w:val="172236"/>
          <w:sz w:val="18"/>
        </w:rPr>
        <w:t>Accessibility.</w:t>
      </w:r>
    </w:p>
    <w:p>
      <w:pPr>
        <w:pStyle w:val="ListBullet"/>
        <w:numPr>
          <w:ilvl w:val="0"/>
          <w:numId w:val="1"/>
        </w:numPr>
        <w:rPr/>
      </w:pPr>
      <w:r>
        <w:rPr>
          <w:color w:val="172236"/>
          <w:sz w:val="18"/>
        </w:rPr>
        <w:t>Visual regression.</w:t>
      </w:r>
    </w:p>
    <w:p>
      <w:pPr>
        <w:pStyle w:val="ListBullet"/>
        <w:numPr>
          <w:ilvl w:val="0"/>
          <w:numId w:val="1"/>
        </w:numPr>
        <w:rPr/>
      </w:pPr>
      <w:r>
        <w:rPr>
          <w:color w:val="172236"/>
          <w:sz w:val="18"/>
        </w:rPr>
        <w:t>Model validation.</w:t>
      </w:r>
    </w:p>
    <w:p>
      <w:pPr>
        <w:pStyle w:val="Heading2"/>
        <w:pBdr>
          <w:left w:val="single" w:sz="14" w:space="4" w:color="8B5CF6"/>
        </w:pBdr>
        <w:rPr/>
      </w:pPr>
      <w:bookmarkStart w:id="199" w:name="__RefHeading___Toc7118_2150751134"/>
      <w:bookmarkEnd w:id="199"/>
      <w:r>
        <w:rPr>
          <w:rFonts w:ascii="Lato" w:hAnsi="Lato"/>
          <w:color w:val="172236"/>
          <w:sz w:val="29"/>
        </w:rPr>
        <w:t>27.2 High-Value Property Tests</w:t>
      </w:r>
    </w:p>
    <w:p>
      <w:pPr>
        <w:pStyle w:val="ListBullet"/>
        <w:numPr>
          <w:ilvl w:val="0"/>
          <w:numId w:val="1"/>
        </w:numPr>
        <w:rPr/>
      </w:pPr>
      <w:r>
        <w:rPr>
          <w:color w:val="172236"/>
          <w:sz w:val="18"/>
        </w:rPr>
        <w:t>Option payoff invariants.</w:t>
      </w:r>
    </w:p>
    <w:p>
      <w:pPr>
        <w:pStyle w:val="ListBullet"/>
        <w:numPr>
          <w:ilvl w:val="0"/>
          <w:numId w:val="1"/>
        </w:numPr>
        <w:rPr/>
      </w:pPr>
      <w:r>
        <w:rPr>
          <w:color w:val="172236"/>
          <w:sz w:val="18"/>
        </w:rPr>
        <w:t>Portfolio accounting conservation.</w:t>
      </w:r>
    </w:p>
    <w:p>
      <w:pPr>
        <w:pStyle w:val="ListBullet"/>
        <w:numPr>
          <w:ilvl w:val="0"/>
          <w:numId w:val="1"/>
        </w:numPr>
        <w:rPr/>
      </w:pPr>
      <w:r>
        <w:rPr>
          <w:color w:val="172236"/>
          <w:sz w:val="18"/>
        </w:rPr>
        <w:t>Corporate-action adjustment.</w:t>
      </w:r>
    </w:p>
    <w:p>
      <w:pPr>
        <w:pStyle w:val="ListBullet"/>
        <w:numPr>
          <w:ilvl w:val="0"/>
          <w:numId w:val="1"/>
        </w:numPr>
        <w:rPr/>
      </w:pPr>
      <w:r>
        <w:rPr>
          <w:color w:val="172236"/>
          <w:sz w:val="18"/>
        </w:rPr>
        <w:t>Order idempotency.</w:t>
      </w:r>
    </w:p>
    <w:p>
      <w:pPr>
        <w:pStyle w:val="ListBullet"/>
        <w:numPr>
          <w:ilvl w:val="0"/>
          <w:numId w:val="1"/>
        </w:numPr>
        <w:rPr/>
      </w:pPr>
      <w:r>
        <w:rPr>
          <w:color w:val="172236"/>
          <w:sz w:val="18"/>
        </w:rPr>
        <w:t>Event deduplication.</w:t>
      </w:r>
    </w:p>
    <w:p>
      <w:pPr>
        <w:pStyle w:val="ListBullet"/>
        <w:numPr>
          <w:ilvl w:val="0"/>
          <w:numId w:val="1"/>
        </w:numPr>
        <w:rPr/>
      </w:pPr>
      <w:r>
        <w:rPr>
          <w:color w:val="172236"/>
          <w:sz w:val="18"/>
        </w:rPr>
        <w:t>Timezone boundaries.</w:t>
      </w:r>
    </w:p>
    <w:p>
      <w:pPr>
        <w:pStyle w:val="ListBullet"/>
        <w:numPr>
          <w:ilvl w:val="0"/>
          <w:numId w:val="1"/>
        </w:numPr>
        <w:rPr/>
      </w:pPr>
      <w:r>
        <w:rPr>
          <w:color w:val="172236"/>
          <w:sz w:val="18"/>
        </w:rPr>
        <w:t>Simulation reproducibility.</w:t>
      </w:r>
    </w:p>
    <w:p>
      <w:pPr>
        <w:pStyle w:val="ListBullet"/>
        <w:numPr>
          <w:ilvl w:val="0"/>
          <w:numId w:val="1"/>
        </w:numPr>
        <w:rPr/>
      </w:pPr>
      <w:r>
        <w:rPr>
          <w:color w:val="172236"/>
          <w:sz w:val="18"/>
        </w:rPr>
        <w:t>Risk-limit monotonicity.</w:t>
      </w:r>
    </w:p>
    <w:p>
      <w:pPr>
        <w:pStyle w:val="ListBullet"/>
        <w:numPr>
          <w:ilvl w:val="0"/>
          <w:numId w:val="1"/>
        </w:numPr>
        <w:rPr/>
      </w:pPr>
      <w:r>
        <w:rPr>
          <w:color w:val="172236"/>
          <w:sz w:val="18"/>
        </w:rPr>
        <w:t>Encryption round-trip.</w:t>
      </w:r>
    </w:p>
    <w:p>
      <w:pPr>
        <w:pStyle w:val="ListBullet"/>
        <w:numPr>
          <w:ilvl w:val="0"/>
          <w:numId w:val="1"/>
        </w:numPr>
        <w:rPr/>
      </w:pPr>
      <w:r>
        <w:rPr>
          <w:color w:val="172236"/>
          <w:sz w:val="18"/>
        </w:rPr>
        <w:t>Parser robustness.</w:t>
      </w:r>
    </w:p>
    <w:p>
      <w:pPr>
        <w:pStyle w:val="ListBullet"/>
        <w:numPr>
          <w:ilvl w:val="0"/>
          <w:numId w:val="1"/>
        </w:numPr>
        <w:rPr/>
      </w:pPr>
      <w:r>
        <w:rPr>
          <w:color w:val="172236"/>
          <w:sz w:val="18"/>
        </w:rPr>
        <w:t>Provider normalization.</w:t>
      </w:r>
    </w:p>
    <w:p>
      <w:pPr>
        <w:pStyle w:val="Heading2"/>
        <w:pBdr>
          <w:left w:val="single" w:sz="14" w:space="4" w:color="8B5CF6"/>
        </w:pBdr>
        <w:rPr/>
      </w:pPr>
      <w:bookmarkStart w:id="200" w:name="__RefHeading___Toc7120_2150751134"/>
      <w:bookmarkEnd w:id="200"/>
      <w:r>
        <w:rPr>
          <w:rFonts w:ascii="Lato" w:hAnsi="Lato"/>
          <w:color w:val="172236"/>
          <w:sz w:val="29"/>
        </w:rPr>
        <w:t>27.3 Provider Contract Tests</w:t>
      </w:r>
    </w:p>
    <w:p>
      <w:pPr>
        <w:pStyle w:val="ListBullet"/>
        <w:numPr>
          <w:ilvl w:val="0"/>
          <w:numId w:val="1"/>
        </w:numPr>
        <w:rPr/>
      </w:pPr>
      <w:r>
        <w:rPr>
          <w:color w:val="172236"/>
          <w:sz w:val="18"/>
        </w:rPr>
        <w:t>Recorded fixtures.</w:t>
      </w:r>
    </w:p>
    <w:p>
      <w:pPr>
        <w:pStyle w:val="ListBullet"/>
        <w:numPr>
          <w:ilvl w:val="0"/>
          <w:numId w:val="1"/>
        </w:numPr>
        <w:rPr/>
      </w:pPr>
      <w:r>
        <w:rPr>
          <w:color w:val="172236"/>
          <w:sz w:val="18"/>
        </w:rPr>
        <w:t>Schema validation.</w:t>
      </w:r>
    </w:p>
    <w:p>
      <w:pPr>
        <w:pStyle w:val="ListBullet"/>
        <w:numPr>
          <w:ilvl w:val="0"/>
          <w:numId w:val="1"/>
        </w:numPr>
        <w:rPr/>
      </w:pPr>
      <w:r>
        <w:rPr>
          <w:color w:val="172236"/>
          <w:sz w:val="18"/>
        </w:rPr>
        <w:t>Pagination.</w:t>
      </w:r>
    </w:p>
    <w:p>
      <w:pPr>
        <w:pStyle w:val="ListBullet"/>
        <w:numPr>
          <w:ilvl w:val="0"/>
          <w:numId w:val="1"/>
        </w:numPr>
        <w:rPr/>
      </w:pPr>
      <w:r>
        <w:rPr>
          <w:color w:val="172236"/>
          <w:sz w:val="18"/>
        </w:rPr>
        <w:t>Rate-limit behavior.</w:t>
      </w:r>
    </w:p>
    <w:p>
      <w:pPr>
        <w:pStyle w:val="ListBullet"/>
        <w:numPr>
          <w:ilvl w:val="0"/>
          <w:numId w:val="1"/>
        </w:numPr>
        <w:rPr/>
      </w:pPr>
      <w:r>
        <w:rPr>
          <w:color w:val="172236"/>
          <w:sz w:val="18"/>
        </w:rPr>
        <w:t>Error mapping.</w:t>
      </w:r>
    </w:p>
    <w:p>
      <w:pPr>
        <w:pStyle w:val="ListBullet"/>
        <w:numPr>
          <w:ilvl w:val="0"/>
          <w:numId w:val="1"/>
        </w:numPr>
        <w:rPr/>
      </w:pPr>
      <w:r>
        <w:rPr>
          <w:color w:val="172236"/>
          <w:sz w:val="18"/>
        </w:rPr>
        <w:t>Missing fields.</w:t>
      </w:r>
    </w:p>
    <w:p>
      <w:pPr>
        <w:pStyle w:val="ListBullet"/>
        <w:numPr>
          <w:ilvl w:val="0"/>
          <w:numId w:val="1"/>
        </w:numPr>
        <w:rPr/>
      </w:pPr>
      <w:r>
        <w:rPr>
          <w:color w:val="172236"/>
          <w:sz w:val="18"/>
        </w:rPr>
        <w:t>Decimal precision.</w:t>
      </w:r>
    </w:p>
    <w:p>
      <w:pPr>
        <w:pStyle w:val="ListBullet"/>
        <w:numPr>
          <w:ilvl w:val="0"/>
          <w:numId w:val="1"/>
        </w:numPr>
        <w:rPr/>
      </w:pPr>
      <w:r>
        <w:rPr>
          <w:color w:val="172236"/>
          <w:sz w:val="18"/>
        </w:rPr>
        <w:t>Timestamp interpretation.</w:t>
      </w:r>
    </w:p>
    <w:p>
      <w:pPr>
        <w:pStyle w:val="ListBullet"/>
        <w:numPr>
          <w:ilvl w:val="0"/>
          <w:numId w:val="1"/>
        </w:numPr>
        <w:rPr/>
      </w:pPr>
      <w:r>
        <w:rPr>
          <w:color w:val="172236"/>
          <w:sz w:val="18"/>
        </w:rPr>
        <w:t>Identifier mapping.</w:t>
      </w:r>
    </w:p>
    <w:p>
      <w:pPr>
        <w:pStyle w:val="ListBullet"/>
        <w:numPr>
          <w:ilvl w:val="0"/>
          <w:numId w:val="1"/>
        </w:numPr>
        <w:rPr/>
      </w:pPr>
      <w:r>
        <w:rPr>
          <w:color w:val="172236"/>
          <w:sz w:val="18"/>
        </w:rPr>
        <w:t>Sandbox/live parity where available.</w:t>
      </w:r>
    </w:p>
    <w:p>
      <w:pPr>
        <w:pStyle w:val="Heading2"/>
        <w:pBdr>
          <w:left w:val="single" w:sz="14" w:space="4" w:color="8B5CF6"/>
        </w:pBdr>
        <w:rPr/>
      </w:pPr>
      <w:bookmarkStart w:id="201" w:name="__RefHeading___Toc7122_2150751134"/>
      <w:bookmarkEnd w:id="201"/>
      <w:r>
        <w:rPr>
          <w:rFonts w:ascii="Lato" w:hAnsi="Lato"/>
          <w:color w:val="172236"/>
          <w:sz w:val="29"/>
        </w:rPr>
        <w:t>27.4 Quant Validation</w:t>
      </w:r>
    </w:p>
    <w:p>
      <w:pPr>
        <w:pStyle w:val="ListBullet"/>
        <w:numPr>
          <w:ilvl w:val="0"/>
          <w:numId w:val="1"/>
        </w:numPr>
        <w:rPr/>
      </w:pPr>
      <w:r>
        <w:rPr>
          <w:color w:val="172236"/>
          <w:sz w:val="18"/>
        </w:rPr>
        <w:t>Known synthetic datasets.</w:t>
      </w:r>
    </w:p>
    <w:p>
      <w:pPr>
        <w:pStyle w:val="ListBullet"/>
        <w:numPr>
          <w:ilvl w:val="0"/>
          <w:numId w:val="1"/>
        </w:numPr>
        <w:rPr/>
      </w:pPr>
      <w:r>
        <w:rPr>
          <w:color w:val="172236"/>
          <w:sz w:val="18"/>
        </w:rPr>
        <w:t>Golden strategy results.</w:t>
      </w:r>
    </w:p>
    <w:p>
      <w:pPr>
        <w:pStyle w:val="ListBullet"/>
        <w:numPr>
          <w:ilvl w:val="0"/>
          <w:numId w:val="1"/>
        </w:numPr>
        <w:rPr/>
      </w:pPr>
      <w:r>
        <w:rPr>
          <w:color w:val="172236"/>
          <w:sz w:val="18"/>
        </w:rPr>
        <w:t>Independent calculation comparisons.</w:t>
      </w:r>
    </w:p>
    <w:p>
      <w:pPr>
        <w:pStyle w:val="ListBullet"/>
        <w:numPr>
          <w:ilvl w:val="0"/>
          <w:numId w:val="1"/>
        </w:numPr>
        <w:rPr/>
      </w:pPr>
      <w:r>
        <w:rPr>
          <w:color w:val="172236"/>
          <w:sz w:val="18"/>
        </w:rPr>
        <w:t>Bias tests.</w:t>
      </w:r>
    </w:p>
    <w:p>
      <w:pPr>
        <w:pStyle w:val="ListBullet"/>
        <w:numPr>
          <w:ilvl w:val="0"/>
          <w:numId w:val="1"/>
        </w:numPr>
        <w:rPr/>
      </w:pPr>
      <w:r>
        <w:rPr>
          <w:color w:val="172236"/>
          <w:sz w:val="18"/>
        </w:rPr>
        <w:t>Leakage tests.</w:t>
      </w:r>
    </w:p>
    <w:p>
      <w:pPr>
        <w:pStyle w:val="ListBullet"/>
        <w:numPr>
          <w:ilvl w:val="0"/>
          <w:numId w:val="1"/>
        </w:numPr>
        <w:rPr/>
      </w:pPr>
      <w:r>
        <w:rPr>
          <w:color w:val="172236"/>
          <w:sz w:val="18"/>
        </w:rPr>
        <w:t>Random-seed reproducibility.</w:t>
      </w:r>
    </w:p>
    <w:p>
      <w:pPr>
        <w:pStyle w:val="ListBullet"/>
        <w:numPr>
          <w:ilvl w:val="0"/>
          <w:numId w:val="1"/>
        </w:numPr>
        <w:rPr/>
      </w:pPr>
      <w:r>
        <w:rPr>
          <w:color w:val="172236"/>
          <w:sz w:val="18"/>
        </w:rPr>
        <w:t>Numeric tolerance policy.</w:t>
      </w:r>
    </w:p>
    <w:p>
      <w:pPr>
        <w:pStyle w:val="ListBullet"/>
        <w:numPr>
          <w:ilvl w:val="0"/>
          <w:numId w:val="1"/>
        </w:numPr>
        <w:rPr/>
      </w:pPr>
      <w:r>
        <w:rPr>
          <w:color w:val="172236"/>
          <w:sz w:val="18"/>
        </w:rPr>
        <w:t>Cross-language parity for critical math.</w:t>
      </w:r>
    </w:p>
    <w:p>
      <w:pPr>
        <w:pStyle w:val="Heading2"/>
        <w:pBdr>
          <w:left w:val="single" w:sz="14" w:space="4" w:color="8B5CF6"/>
        </w:pBdr>
        <w:rPr/>
      </w:pPr>
      <w:bookmarkStart w:id="202" w:name="__RefHeading___Toc7124_2150751134"/>
      <w:bookmarkEnd w:id="202"/>
      <w:r>
        <w:rPr>
          <w:rFonts w:ascii="Lato" w:hAnsi="Lato"/>
          <w:color w:val="172236"/>
          <w:sz w:val="29"/>
        </w:rPr>
        <w:t>27.5 Security Testing</w:t>
      </w:r>
    </w:p>
    <w:p>
      <w:pPr>
        <w:pStyle w:val="ListBullet"/>
        <w:numPr>
          <w:ilvl w:val="0"/>
          <w:numId w:val="1"/>
        </w:numPr>
        <w:rPr/>
      </w:pPr>
      <w:r>
        <w:rPr>
          <w:color w:val="172236"/>
          <w:sz w:val="18"/>
        </w:rPr>
        <w:t>SAST.</w:t>
      </w:r>
    </w:p>
    <w:p>
      <w:pPr>
        <w:pStyle w:val="ListBullet"/>
        <w:numPr>
          <w:ilvl w:val="0"/>
          <w:numId w:val="1"/>
        </w:numPr>
        <w:rPr/>
      </w:pPr>
      <w:r>
        <w:rPr>
          <w:color w:val="172236"/>
          <w:sz w:val="18"/>
        </w:rPr>
        <w:t>Dependency audit.</w:t>
      </w:r>
    </w:p>
    <w:p>
      <w:pPr>
        <w:pStyle w:val="ListBullet"/>
        <w:numPr>
          <w:ilvl w:val="0"/>
          <w:numId w:val="1"/>
        </w:numPr>
        <w:rPr/>
      </w:pPr>
      <w:r>
        <w:rPr>
          <w:color w:val="172236"/>
          <w:sz w:val="18"/>
        </w:rPr>
        <w:t>Secret scanning.</w:t>
      </w:r>
    </w:p>
    <w:p>
      <w:pPr>
        <w:pStyle w:val="ListBullet"/>
        <w:numPr>
          <w:ilvl w:val="0"/>
          <w:numId w:val="1"/>
        </w:numPr>
        <w:rPr/>
      </w:pPr>
      <w:r>
        <w:rPr>
          <w:color w:val="172236"/>
          <w:sz w:val="18"/>
        </w:rPr>
        <w:t>DAST for cloud APIs.</w:t>
      </w:r>
    </w:p>
    <w:p>
      <w:pPr>
        <w:pStyle w:val="ListBullet"/>
        <w:numPr>
          <w:ilvl w:val="0"/>
          <w:numId w:val="1"/>
        </w:numPr>
        <w:rPr/>
      </w:pPr>
      <w:r>
        <w:rPr>
          <w:color w:val="172236"/>
          <w:sz w:val="18"/>
        </w:rPr>
        <w:t>Fuzzing parsers.</w:t>
      </w:r>
    </w:p>
    <w:p>
      <w:pPr>
        <w:pStyle w:val="ListBullet"/>
        <w:numPr>
          <w:ilvl w:val="0"/>
          <w:numId w:val="1"/>
        </w:numPr>
        <w:rPr/>
      </w:pPr>
      <w:r>
        <w:rPr>
          <w:color w:val="172236"/>
          <w:sz w:val="18"/>
        </w:rPr>
        <w:t>IPC abuse tests.</w:t>
      </w:r>
    </w:p>
    <w:p>
      <w:pPr>
        <w:pStyle w:val="ListBullet"/>
        <w:numPr>
          <w:ilvl w:val="0"/>
          <w:numId w:val="1"/>
        </w:numPr>
        <w:rPr/>
      </w:pPr>
      <w:r>
        <w:rPr>
          <w:color w:val="172236"/>
          <w:sz w:val="18"/>
        </w:rPr>
        <w:t>CSP tests.</w:t>
      </w:r>
    </w:p>
    <w:p>
      <w:pPr>
        <w:pStyle w:val="ListBullet"/>
        <w:numPr>
          <w:ilvl w:val="0"/>
          <w:numId w:val="1"/>
        </w:numPr>
        <w:rPr/>
      </w:pPr>
      <w:r>
        <w:rPr>
          <w:color w:val="172236"/>
          <w:sz w:val="18"/>
        </w:rPr>
        <w:t>Plugin sandbox tests.</w:t>
      </w:r>
    </w:p>
    <w:p>
      <w:pPr>
        <w:pStyle w:val="ListBullet"/>
        <w:numPr>
          <w:ilvl w:val="0"/>
          <w:numId w:val="1"/>
        </w:numPr>
        <w:rPr/>
      </w:pPr>
      <w:r>
        <w:rPr>
          <w:color w:val="172236"/>
          <w:sz w:val="18"/>
        </w:rPr>
        <w:t>Update verification tests.</w:t>
      </w:r>
    </w:p>
    <w:p>
      <w:pPr>
        <w:pStyle w:val="ListBullet"/>
        <w:numPr>
          <w:ilvl w:val="0"/>
          <w:numId w:val="1"/>
        </w:numPr>
        <w:rPr/>
      </w:pPr>
      <w:r>
        <w:rPr>
          <w:color w:val="172236"/>
          <w:sz w:val="18"/>
        </w:rPr>
        <w:t>Authz matrix tests.</w:t>
      </w:r>
    </w:p>
    <w:p>
      <w:pPr>
        <w:pStyle w:val="ListBullet"/>
        <w:numPr>
          <w:ilvl w:val="0"/>
          <w:numId w:val="1"/>
        </w:numPr>
        <w:rPr/>
      </w:pPr>
      <w:r>
        <w:rPr>
          <w:color w:val="172236"/>
          <w:sz w:val="18"/>
        </w:rPr>
        <w:t>Replay/idempotency tests.</w:t>
      </w:r>
    </w:p>
    <w:p>
      <w:pPr>
        <w:pStyle w:val="ListBullet"/>
        <w:numPr>
          <w:ilvl w:val="0"/>
          <w:numId w:val="1"/>
        </w:numPr>
        <w:rPr/>
      </w:pPr>
      <w:r>
        <w:rPr>
          <w:color w:val="172236"/>
          <w:sz w:val="18"/>
        </w:rPr>
        <w:t>Threat-model regression tests.</w:t>
      </w:r>
    </w:p>
    <w:p>
      <w:pPr>
        <w:pStyle w:val="Heading1"/>
        <w:pBdr>
          <w:bottom w:val="single" w:sz="12" w:space="5" w:color="33C7F2"/>
        </w:pBdr>
        <w:rPr/>
      </w:pPr>
      <w:bookmarkStart w:id="203" w:name="__RefHeading___Toc7126_2150751134"/>
      <w:bookmarkEnd w:id="203"/>
      <w:r>
        <w:rPr>
          <w:rFonts w:ascii="Lato" w:hAnsi="Lato"/>
          <w:color w:val="172236"/>
          <w:sz w:val="42"/>
        </w:rPr>
        <w:t>28. Supply-Chain and Release Security</w:t>
      </w:r>
    </w:p>
    <w:p>
      <w:pPr>
        <w:pStyle w:val="Normal"/>
        <w:rPr/>
      </w:pPr>
      <w:r>
        <w:rPr>
          <w:color w:val="172236"/>
          <w:sz w:val="19"/>
        </w:rPr>
        <w:t>Required:</w:t>
      </w:r>
    </w:p>
    <w:p>
      <w:pPr>
        <w:pStyle w:val="ListBullet"/>
        <w:numPr>
          <w:ilvl w:val="0"/>
          <w:numId w:val="1"/>
        </w:numPr>
        <w:rPr/>
      </w:pPr>
      <w:r>
        <w:rPr>
          <w:color w:val="172236"/>
          <w:sz w:val="18"/>
        </w:rPr>
        <w:t>Cargo and JavaScript lockfiles.</w:t>
      </w:r>
    </w:p>
    <w:p>
      <w:pPr>
        <w:pStyle w:val="ListBullet"/>
        <w:numPr>
          <w:ilvl w:val="0"/>
          <w:numId w:val="1"/>
        </w:numPr>
        <w:rPr/>
      </w:pPr>
      <w:r>
        <w:rPr>
          <w:color w:val="172236"/>
          <w:sz w:val="18"/>
        </w:rPr>
        <w:t>Dependency pinning policy.</w:t>
      </w:r>
    </w:p>
    <w:p>
      <w:pPr>
        <w:pStyle w:val="ListBullet"/>
        <w:numPr>
          <w:ilvl w:val="0"/>
          <w:numId w:val="1"/>
        </w:numPr>
        <w:rPr/>
      </w:pPr>
      <w:r>
        <w:rPr>
          <w:rFonts w:ascii="Liberation Mono" w:hAnsi="Liberation Mono"/>
          <w:color w:val="8B5CF6"/>
          <w:sz w:val="17"/>
          <w:shd w:fill="F0EDFF" w:val="clear"/>
        </w:rPr>
        <w:t>cargo audit</w:t>
      </w:r>
      <w:r>
        <w:rPr>
          <w:color w:val="172236"/>
          <w:sz w:val="18"/>
        </w:rPr>
        <w:t>.</w:t>
      </w:r>
    </w:p>
    <w:p>
      <w:pPr>
        <w:pStyle w:val="ListBullet"/>
        <w:numPr>
          <w:ilvl w:val="0"/>
          <w:numId w:val="1"/>
        </w:numPr>
        <w:rPr/>
      </w:pPr>
      <w:r>
        <w:rPr>
          <w:rFonts w:ascii="Liberation Mono" w:hAnsi="Liberation Mono"/>
          <w:color w:val="8B5CF6"/>
          <w:sz w:val="17"/>
          <w:shd w:fill="F0EDFF" w:val="clear"/>
        </w:rPr>
        <w:t>cargo deny</w:t>
      </w:r>
      <w:r>
        <w:rPr>
          <w:color w:val="172236"/>
          <w:sz w:val="18"/>
        </w:rPr>
        <w:t>.</w:t>
      </w:r>
    </w:p>
    <w:p>
      <w:pPr>
        <w:pStyle w:val="ListBullet"/>
        <w:numPr>
          <w:ilvl w:val="0"/>
          <w:numId w:val="1"/>
        </w:numPr>
        <w:rPr/>
      </w:pPr>
      <w:r>
        <w:rPr>
          <w:color w:val="172236"/>
          <w:sz w:val="18"/>
        </w:rPr>
        <w:t>npm/pnpm audit strategy.</w:t>
      </w:r>
    </w:p>
    <w:p>
      <w:pPr>
        <w:pStyle w:val="ListBullet"/>
        <w:numPr>
          <w:ilvl w:val="0"/>
          <w:numId w:val="1"/>
        </w:numPr>
        <w:rPr/>
      </w:pPr>
      <w:r>
        <w:rPr>
          <w:color w:val="172236"/>
          <w:sz w:val="18"/>
        </w:rPr>
        <w:t>License scanning.</w:t>
      </w:r>
    </w:p>
    <w:p>
      <w:pPr>
        <w:pStyle w:val="ListBullet"/>
        <w:numPr>
          <w:ilvl w:val="0"/>
          <w:numId w:val="1"/>
        </w:numPr>
        <w:rPr/>
      </w:pPr>
      <w:r>
        <w:rPr>
          <w:color w:val="172236"/>
          <w:sz w:val="18"/>
        </w:rPr>
        <w:t>SBOM: CycloneDX or SPDX.</w:t>
      </w:r>
    </w:p>
    <w:p>
      <w:pPr>
        <w:pStyle w:val="ListBullet"/>
        <w:numPr>
          <w:ilvl w:val="0"/>
          <w:numId w:val="1"/>
        </w:numPr>
        <w:rPr/>
      </w:pPr>
      <w:r>
        <w:rPr>
          <w:color w:val="172236"/>
          <w:sz w:val="18"/>
        </w:rPr>
        <w:t>SLSA-style provenance.</w:t>
      </w:r>
    </w:p>
    <w:p>
      <w:pPr>
        <w:pStyle w:val="ListBullet"/>
        <w:numPr>
          <w:ilvl w:val="0"/>
          <w:numId w:val="1"/>
        </w:numPr>
        <w:rPr/>
      </w:pPr>
      <w:r>
        <w:rPr>
          <w:color w:val="172236"/>
          <w:sz w:val="18"/>
        </w:rPr>
        <w:t>Reproducible release pipeline where feasible.</w:t>
      </w:r>
    </w:p>
    <w:p>
      <w:pPr>
        <w:pStyle w:val="ListBullet"/>
        <w:numPr>
          <w:ilvl w:val="0"/>
          <w:numId w:val="1"/>
        </w:numPr>
        <w:rPr/>
      </w:pPr>
      <w:r>
        <w:rPr>
          <w:color w:val="172236"/>
          <w:sz w:val="18"/>
        </w:rPr>
        <w:t>Sigstore/cosign for containers.</w:t>
      </w:r>
    </w:p>
    <w:p>
      <w:pPr>
        <w:pStyle w:val="ListBullet"/>
        <w:numPr>
          <w:ilvl w:val="0"/>
          <w:numId w:val="1"/>
        </w:numPr>
        <w:rPr/>
      </w:pPr>
      <w:r>
        <w:rPr>
          <w:color w:val="172236"/>
          <w:sz w:val="18"/>
        </w:rPr>
        <w:t>Platform code signing.</w:t>
      </w:r>
    </w:p>
    <w:p>
      <w:pPr>
        <w:pStyle w:val="ListBullet"/>
        <w:numPr>
          <w:ilvl w:val="0"/>
          <w:numId w:val="1"/>
        </w:numPr>
        <w:rPr/>
      </w:pPr>
      <w:r>
        <w:rPr>
          <w:color w:val="172236"/>
          <w:sz w:val="18"/>
        </w:rPr>
        <w:t>Tauri updater signing.</w:t>
      </w:r>
    </w:p>
    <w:p>
      <w:pPr>
        <w:pStyle w:val="ListBullet"/>
        <w:numPr>
          <w:ilvl w:val="0"/>
          <w:numId w:val="1"/>
        </w:numPr>
        <w:rPr/>
      </w:pPr>
      <w:r>
        <w:rPr>
          <w:color w:val="172236"/>
          <w:sz w:val="18"/>
        </w:rPr>
        <w:t>Protected release keys.</w:t>
      </w:r>
    </w:p>
    <w:p>
      <w:pPr>
        <w:pStyle w:val="ListBullet"/>
        <w:numPr>
          <w:ilvl w:val="0"/>
          <w:numId w:val="1"/>
        </w:numPr>
        <w:rPr/>
      </w:pPr>
      <w:r>
        <w:rPr>
          <w:color w:val="172236"/>
          <w:sz w:val="18"/>
        </w:rPr>
        <w:t>Two-person release approval for production.</w:t>
      </w:r>
    </w:p>
    <w:p>
      <w:pPr>
        <w:pStyle w:val="ListBullet"/>
        <w:numPr>
          <w:ilvl w:val="0"/>
          <w:numId w:val="1"/>
        </w:numPr>
        <w:rPr/>
      </w:pPr>
      <w:r>
        <w:rPr>
          <w:color w:val="172236"/>
          <w:sz w:val="18"/>
        </w:rPr>
        <w:t>Signed plugin registry metadata.</w:t>
      </w:r>
    </w:p>
    <w:p>
      <w:pPr>
        <w:pStyle w:val="ListBullet"/>
        <w:numPr>
          <w:ilvl w:val="0"/>
          <w:numId w:val="1"/>
        </w:numPr>
        <w:rPr/>
      </w:pPr>
      <w:r>
        <w:rPr>
          <w:color w:val="172236"/>
          <w:sz w:val="18"/>
        </w:rPr>
        <w:t>Dependency allow/deny list.</w:t>
      </w:r>
    </w:p>
    <w:p>
      <w:pPr>
        <w:pStyle w:val="ListBullet"/>
        <w:numPr>
          <w:ilvl w:val="0"/>
          <w:numId w:val="1"/>
        </w:numPr>
        <w:rPr/>
      </w:pPr>
      <w:r>
        <w:rPr>
          <w:color w:val="172236"/>
          <w:sz w:val="18"/>
        </w:rPr>
        <w:t>Renovation with staged testing.</w:t>
      </w:r>
    </w:p>
    <w:p>
      <w:pPr>
        <w:pStyle w:val="ListBullet"/>
        <w:numPr>
          <w:ilvl w:val="0"/>
          <w:numId w:val="1"/>
        </w:numPr>
        <w:rPr/>
      </w:pPr>
      <w:r>
        <w:rPr>
          <w:color w:val="172236"/>
          <w:sz w:val="18"/>
        </w:rPr>
        <w:t>No AI-added dependency without justification.</w:t>
      </w:r>
    </w:p>
    <w:p>
      <w:pPr>
        <w:pStyle w:val="Heading1"/>
        <w:pBdr>
          <w:bottom w:val="single" w:sz="12" w:space="5" w:color="33C7F2"/>
        </w:pBdr>
        <w:rPr/>
      </w:pPr>
      <w:bookmarkStart w:id="204" w:name="__RefHeading___Toc7128_2150751134"/>
      <w:bookmarkEnd w:id="204"/>
      <w:r>
        <w:rPr>
          <w:rFonts w:ascii="Lato" w:hAnsi="Lato"/>
          <w:color w:val="172236"/>
          <w:sz w:val="42"/>
        </w:rPr>
        <w:t>29. Performance Engineering</w:t>
      </w:r>
    </w:p>
    <w:p>
      <w:pPr>
        <w:pStyle w:val="Heading2"/>
        <w:pBdr>
          <w:left w:val="single" w:sz="14" w:space="4" w:color="8B5CF6"/>
        </w:pBdr>
        <w:rPr/>
      </w:pPr>
      <w:bookmarkStart w:id="205" w:name="__RefHeading___Toc7130_2150751134"/>
      <w:bookmarkEnd w:id="205"/>
      <w:r>
        <w:rPr>
          <w:rFonts w:ascii="Lato" w:hAnsi="Lato"/>
          <w:color w:val="172236"/>
          <w:sz w:val="29"/>
        </w:rPr>
        <w:t>29.1 Performance Budgets</w:t>
      </w:r>
    </w:p>
    <w:p>
      <w:pPr>
        <w:pStyle w:val="Normal"/>
        <w:rPr/>
      </w:pPr>
      <w:r>
        <w:rPr>
          <w:color w:val="172236"/>
          <w:sz w:val="19"/>
        </w:rPr>
        <w:t>Define budgets for:</w:t>
      </w:r>
    </w:p>
    <w:p>
      <w:pPr>
        <w:pStyle w:val="ListBullet"/>
        <w:numPr>
          <w:ilvl w:val="0"/>
          <w:numId w:val="1"/>
        </w:numPr>
        <w:rPr/>
      </w:pPr>
      <w:r>
        <w:rPr>
          <w:color w:val="172236"/>
          <w:sz w:val="18"/>
        </w:rPr>
        <w:t>Cold start.</w:t>
      </w:r>
    </w:p>
    <w:p>
      <w:pPr>
        <w:pStyle w:val="ListBullet"/>
        <w:numPr>
          <w:ilvl w:val="0"/>
          <w:numId w:val="1"/>
        </w:numPr>
        <w:rPr/>
      </w:pPr>
      <w:r>
        <w:rPr>
          <w:color w:val="172236"/>
          <w:sz w:val="18"/>
        </w:rPr>
        <w:t>Warm start.</w:t>
      </w:r>
    </w:p>
    <w:p>
      <w:pPr>
        <w:pStyle w:val="ListBullet"/>
        <w:numPr>
          <w:ilvl w:val="0"/>
          <w:numId w:val="1"/>
        </w:numPr>
        <w:rPr/>
      </w:pPr>
      <w:r>
        <w:rPr>
          <w:color w:val="172236"/>
          <w:sz w:val="18"/>
        </w:rPr>
        <w:t>Workspace restore.</w:t>
      </w:r>
    </w:p>
    <w:p>
      <w:pPr>
        <w:pStyle w:val="ListBullet"/>
        <w:numPr>
          <w:ilvl w:val="0"/>
          <w:numId w:val="1"/>
        </w:numPr>
        <w:rPr/>
      </w:pPr>
      <w:r>
        <w:rPr>
          <w:color w:val="172236"/>
          <w:sz w:val="18"/>
        </w:rPr>
        <w:t>Search.</w:t>
      </w:r>
    </w:p>
    <w:p>
      <w:pPr>
        <w:pStyle w:val="ListBullet"/>
        <w:numPr>
          <w:ilvl w:val="0"/>
          <w:numId w:val="1"/>
        </w:numPr>
        <w:rPr/>
      </w:pPr>
      <w:r>
        <w:rPr>
          <w:color w:val="172236"/>
          <w:sz w:val="18"/>
        </w:rPr>
        <w:t>Chart pan/zoom.</w:t>
      </w:r>
    </w:p>
    <w:p>
      <w:pPr>
        <w:pStyle w:val="ListBullet"/>
        <w:numPr>
          <w:ilvl w:val="0"/>
          <w:numId w:val="1"/>
        </w:numPr>
        <w:rPr/>
      </w:pPr>
      <w:r>
        <w:rPr>
          <w:color w:val="172236"/>
          <w:sz w:val="18"/>
        </w:rPr>
        <w:t>Streaming update.</w:t>
      </w:r>
    </w:p>
    <w:p>
      <w:pPr>
        <w:pStyle w:val="ListBullet"/>
        <w:numPr>
          <w:ilvl w:val="0"/>
          <w:numId w:val="1"/>
        </w:numPr>
        <w:rPr/>
      </w:pPr>
      <w:r>
        <w:rPr>
          <w:color w:val="172236"/>
          <w:sz w:val="18"/>
        </w:rPr>
        <w:t>Scan execution.</w:t>
      </w:r>
    </w:p>
    <w:p>
      <w:pPr>
        <w:pStyle w:val="ListBullet"/>
        <w:numPr>
          <w:ilvl w:val="0"/>
          <w:numId w:val="1"/>
        </w:numPr>
        <w:rPr/>
      </w:pPr>
      <w:r>
        <w:rPr>
          <w:color w:val="172236"/>
          <w:sz w:val="18"/>
        </w:rPr>
        <w:t>Backtest throughput.</w:t>
      </w:r>
    </w:p>
    <w:p>
      <w:pPr>
        <w:pStyle w:val="ListBullet"/>
        <w:numPr>
          <w:ilvl w:val="0"/>
          <w:numId w:val="1"/>
        </w:numPr>
        <w:rPr/>
      </w:pPr>
      <w:r>
        <w:rPr>
          <w:color w:val="172236"/>
          <w:sz w:val="18"/>
        </w:rPr>
        <w:t>Simulation latency.</w:t>
      </w:r>
    </w:p>
    <w:p>
      <w:pPr>
        <w:pStyle w:val="ListBullet"/>
        <w:numPr>
          <w:ilvl w:val="0"/>
          <w:numId w:val="1"/>
        </w:numPr>
        <w:rPr/>
      </w:pPr>
      <w:r>
        <w:rPr>
          <w:color w:val="172236"/>
          <w:sz w:val="18"/>
        </w:rPr>
        <w:t>Memory.</w:t>
      </w:r>
    </w:p>
    <w:p>
      <w:pPr>
        <w:pStyle w:val="ListBullet"/>
        <w:numPr>
          <w:ilvl w:val="0"/>
          <w:numId w:val="1"/>
        </w:numPr>
        <w:rPr/>
      </w:pPr>
      <w:r>
        <w:rPr>
          <w:color w:val="172236"/>
          <w:sz w:val="18"/>
        </w:rPr>
        <w:t>Disk cache.</w:t>
      </w:r>
    </w:p>
    <w:p>
      <w:pPr>
        <w:pStyle w:val="ListBullet"/>
        <w:numPr>
          <w:ilvl w:val="0"/>
          <w:numId w:val="1"/>
        </w:numPr>
        <w:rPr/>
      </w:pPr>
      <w:r>
        <w:rPr>
          <w:color w:val="172236"/>
          <w:sz w:val="18"/>
        </w:rPr>
        <w:t>Network usage.</w:t>
      </w:r>
    </w:p>
    <w:p>
      <w:pPr>
        <w:pStyle w:val="ListBullet"/>
        <w:numPr>
          <w:ilvl w:val="0"/>
          <w:numId w:val="1"/>
        </w:numPr>
        <w:rPr/>
      </w:pPr>
      <w:r>
        <w:rPr>
          <w:color w:val="172236"/>
          <w:sz w:val="18"/>
        </w:rPr>
        <w:t>Battery on laptops.</w:t>
      </w:r>
    </w:p>
    <w:p>
      <w:pPr>
        <w:pStyle w:val="Heading2"/>
        <w:pBdr>
          <w:left w:val="single" w:sz="14" w:space="4" w:color="8B5CF6"/>
        </w:pBdr>
        <w:rPr/>
      </w:pPr>
      <w:bookmarkStart w:id="206" w:name="__RefHeading___Toc7132_2150751134"/>
      <w:bookmarkEnd w:id="206"/>
      <w:r>
        <w:rPr>
          <w:rFonts w:ascii="Lato" w:hAnsi="Lato"/>
          <w:color w:val="172236"/>
          <w:sz w:val="29"/>
        </w:rPr>
        <w:t>29.2 Numeric Computing</w:t>
      </w:r>
    </w:p>
    <w:p>
      <w:pPr>
        <w:pStyle w:val="Normal"/>
        <w:rPr/>
      </w:pPr>
      <w:r>
        <w:rPr>
          <w:color w:val="172236"/>
          <w:sz w:val="19"/>
        </w:rPr>
        <w:t>Recommended:</w:t>
      </w:r>
    </w:p>
    <w:p>
      <w:pPr>
        <w:pStyle w:val="ListBullet"/>
        <w:numPr>
          <w:ilvl w:val="0"/>
          <w:numId w:val="1"/>
        </w:numPr>
        <w:rPr/>
      </w:pPr>
      <w:r>
        <w:rPr>
          <w:color w:val="172236"/>
          <w:sz w:val="18"/>
        </w:rPr>
        <w:t>Polars for dataframe operations.</w:t>
      </w:r>
    </w:p>
    <w:p>
      <w:pPr>
        <w:pStyle w:val="ListBullet"/>
        <w:numPr>
          <w:ilvl w:val="0"/>
          <w:numId w:val="1"/>
        </w:numPr>
        <w:rPr/>
      </w:pPr>
      <w:r>
        <w:rPr>
          <w:color w:val="172236"/>
          <w:sz w:val="18"/>
        </w:rPr>
        <w:t>Arrow for zero-copy interchange.</w:t>
      </w:r>
    </w:p>
    <w:p>
      <w:pPr>
        <w:pStyle w:val="ListBullet"/>
        <w:numPr>
          <w:ilvl w:val="0"/>
          <w:numId w:val="1"/>
        </w:numPr>
        <w:rPr/>
      </w:pPr>
      <w:r>
        <w:rPr>
          <w:color w:val="172236"/>
          <w:sz w:val="18"/>
        </w:rPr>
        <w:t>Rayon for CPU parallelism where appropriate.</w:t>
      </w:r>
    </w:p>
    <w:p>
      <w:pPr>
        <w:pStyle w:val="ListBullet"/>
        <w:numPr>
          <w:ilvl w:val="0"/>
          <w:numId w:val="1"/>
        </w:numPr>
        <w:rPr/>
      </w:pPr>
      <w:r>
        <w:rPr>
          <w:color w:val="172236"/>
          <w:sz w:val="18"/>
        </w:rPr>
        <w:t>Tokio for asynchronous I/O, not CPU work.</w:t>
      </w:r>
    </w:p>
    <w:p>
      <w:pPr>
        <w:pStyle w:val="ListBullet"/>
        <w:numPr>
          <w:ilvl w:val="0"/>
          <w:numId w:val="1"/>
        </w:numPr>
        <w:rPr/>
      </w:pPr>
      <w:r>
        <w:rPr>
          <w:color w:val="172236"/>
          <w:sz w:val="18"/>
        </w:rPr>
        <w:t>Dedicated compute pools.</w:t>
      </w:r>
    </w:p>
    <w:p>
      <w:pPr>
        <w:pStyle w:val="ListBullet"/>
        <w:numPr>
          <w:ilvl w:val="0"/>
          <w:numId w:val="1"/>
        </w:numPr>
        <w:rPr/>
      </w:pPr>
      <w:r>
        <w:rPr>
          <w:color w:val="172236"/>
          <w:sz w:val="18"/>
        </w:rPr>
        <w:t>SIMD through maintained crates where profiling supports it.</w:t>
      </w:r>
    </w:p>
    <w:p>
      <w:pPr>
        <w:pStyle w:val="ListBullet"/>
        <w:numPr>
          <w:ilvl w:val="0"/>
          <w:numId w:val="1"/>
        </w:numPr>
        <w:rPr/>
      </w:pPr>
      <w:r>
        <w:rPr>
          <w:color w:val="172236"/>
          <w:sz w:val="18"/>
        </w:rPr>
        <w:t>GPU compute only after benchmark validation.</w:t>
      </w:r>
    </w:p>
    <w:p>
      <w:pPr>
        <w:pStyle w:val="Heading2"/>
        <w:pBdr>
          <w:left w:val="single" w:sz="14" w:space="4" w:color="8B5CF6"/>
        </w:pBdr>
        <w:rPr/>
      </w:pPr>
      <w:bookmarkStart w:id="207" w:name="__RefHeading___Toc7134_2150751134"/>
      <w:bookmarkEnd w:id="207"/>
      <w:r>
        <w:rPr>
          <w:rFonts w:ascii="Lato" w:hAnsi="Lato"/>
          <w:color w:val="172236"/>
          <w:sz w:val="29"/>
        </w:rPr>
        <w:t>29.3 Decimal Precision</w:t>
      </w:r>
    </w:p>
    <w:p>
      <w:pPr>
        <w:pStyle w:val="Normal"/>
        <w:rPr/>
      </w:pPr>
      <w:r>
        <w:rPr>
          <w:color w:val="172236"/>
          <w:sz w:val="19"/>
        </w:rPr>
        <w:t>Financial quantities MUST use explicit decimal or fixed-point representations where exact monetary arithmetic is required. Floating point is acceptable for statistical models with documented tolerances, not for authoritative cash accounting.</w:t>
      </w:r>
    </w:p>
    <w:p>
      <w:pPr>
        <w:pStyle w:val="Heading2"/>
        <w:pBdr>
          <w:left w:val="single" w:sz="14" w:space="4" w:color="8B5CF6"/>
        </w:pBdr>
        <w:rPr/>
      </w:pPr>
      <w:bookmarkStart w:id="208" w:name="__RefHeading___Toc7136_2150751134"/>
      <w:bookmarkEnd w:id="208"/>
      <w:r>
        <w:rPr>
          <w:rFonts w:ascii="Lato" w:hAnsi="Lato"/>
          <w:color w:val="172236"/>
          <w:sz w:val="29"/>
        </w:rPr>
        <w:t>29.4 UI Performance</w:t>
      </w:r>
    </w:p>
    <w:p>
      <w:pPr>
        <w:pStyle w:val="ListBullet"/>
        <w:numPr>
          <w:ilvl w:val="0"/>
          <w:numId w:val="1"/>
        </w:numPr>
        <w:rPr/>
      </w:pPr>
      <w:r>
        <w:rPr>
          <w:color w:val="172236"/>
          <w:sz w:val="18"/>
        </w:rPr>
        <w:t>Virtualize large lists.</w:t>
      </w:r>
    </w:p>
    <w:p>
      <w:pPr>
        <w:pStyle w:val="ListBullet"/>
        <w:numPr>
          <w:ilvl w:val="0"/>
          <w:numId w:val="1"/>
        </w:numPr>
        <w:rPr/>
      </w:pPr>
      <w:r>
        <w:rPr>
          <w:color w:val="172236"/>
          <w:sz w:val="18"/>
        </w:rPr>
        <w:t>Batch streaming updates.</w:t>
      </w:r>
    </w:p>
    <w:p>
      <w:pPr>
        <w:pStyle w:val="ListBullet"/>
        <w:numPr>
          <w:ilvl w:val="0"/>
          <w:numId w:val="1"/>
        </w:numPr>
        <w:rPr/>
      </w:pPr>
      <w:r>
        <w:rPr>
          <w:color w:val="172236"/>
          <w:sz w:val="18"/>
        </w:rPr>
        <w:t>Avoid global reactive fan-out.</w:t>
      </w:r>
    </w:p>
    <w:p>
      <w:pPr>
        <w:pStyle w:val="ListBullet"/>
        <w:numPr>
          <w:ilvl w:val="0"/>
          <w:numId w:val="1"/>
        </w:numPr>
        <w:rPr/>
      </w:pPr>
      <w:r>
        <w:rPr>
          <w:color w:val="172236"/>
          <w:sz w:val="18"/>
        </w:rPr>
        <w:t>Use derived state.</w:t>
      </w:r>
    </w:p>
    <w:p>
      <w:pPr>
        <w:pStyle w:val="ListBullet"/>
        <w:numPr>
          <w:ilvl w:val="0"/>
          <w:numId w:val="1"/>
        </w:numPr>
        <w:rPr/>
      </w:pPr>
      <w:r>
        <w:rPr>
          <w:color w:val="172236"/>
          <w:sz w:val="18"/>
        </w:rPr>
        <w:t>Keep chart data outside DOM.</w:t>
      </w:r>
    </w:p>
    <w:p>
      <w:pPr>
        <w:pStyle w:val="ListBullet"/>
        <w:numPr>
          <w:ilvl w:val="0"/>
          <w:numId w:val="1"/>
        </w:numPr>
        <w:rPr/>
      </w:pPr>
      <w:r>
        <w:rPr>
          <w:color w:val="172236"/>
          <w:sz w:val="18"/>
        </w:rPr>
        <w:t>Progressive loading.</w:t>
      </w:r>
    </w:p>
    <w:p>
      <w:pPr>
        <w:pStyle w:val="ListBullet"/>
        <w:numPr>
          <w:ilvl w:val="0"/>
          <w:numId w:val="1"/>
        </w:numPr>
        <w:rPr/>
      </w:pPr>
      <w:r>
        <w:rPr>
          <w:color w:val="172236"/>
          <w:sz w:val="18"/>
        </w:rPr>
        <w:t>Worker threads where available.</w:t>
      </w:r>
    </w:p>
    <w:p>
      <w:pPr>
        <w:pStyle w:val="ListBullet"/>
        <w:numPr>
          <w:ilvl w:val="0"/>
          <w:numId w:val="1"/>
        </w:numPr>
        <w:rPr/>
      </w:pPr>
      <w:r>
        <w:rPr>
          <w:color w:val="172236"/>
          <w:sz w:val="18"/>
        </w:rPr>
        <w:t>GPU resource reuse.</w:t>
      </w:r>
    </w:p>
    <w:p>
      <w:pPr>
        <w:pStyle w:val="ListBullet"/>
        <w:numPr>
          <w:ilvl w:val="0"/>
          <w:numId w:val="1"/>
        </w:numPr>
        <w:rPr/>
      </w:pPr>
      <w:r>
        <w:rPr>
          <w:color w:val="172236"/>
          <w:sz w:val="18"/>
        </w:rPr>
        <w:t>Device-loss recovery.</w:t>
      </w:r>
    </w:p>
    <w:p>
      <w:pPr>
        <w:pStyle w:val="Heading1"/>
        <w:pBdr>
          <w:bottom w:val="single" w:sz="12" w:space="5" w:color="33C7F2"/>
        </w:pBdr>
        <w:rPr/>
      </w:pPr>
      <w:bookmarkStart w:id="209" w:name="__RefHeading___Toc7138_2150751134"/>
      <w:bookmarkEnd w:id="209"/>
      <w:r>
        <w:rPr>
          <w:rFonts w:ascii="Lato" w:hAnsi="Lato"/>
          <w:color w:val="172236"/>
          <w:sz w:val="42"/>
        </w:rPr>
        <w:t>30. Accessibility, Localization, and Responsible UX</w:t>
      </w:r>
    </w:p>
    <w:p>
      <w:pPr>
        <w:pStyle w:val="ListBullet"/>
        <w:numPr>
          <w:ilvl w:val="0"/>
          <w:numId w:val="1"/>
        </w:numPr>
        <w:rPr/>
      </w:pPr>
      <w:r>
        <w:rPr>
          <w:color w:val="172236"/>
          <w:sz w:val="18"/>
        </w:rPr>
        <w:t>WCAG 2.2 AA target.</w:t>
      </w:r>
    </w:p>
    <w:p>
      <w:pPr>
        <w:pStyle w:val="ListBullet"/>
        <w:numPr>
          <w:ilvl w:val="0"/>
          <w:numId w:val="1"/>
        </w:numPr>
        <w:rPr/>
      </w:pPr>
      <w:r>
        <w:rPr>
          <w:color w:val="172236"/>
          <w:sz w:val="18"/>
        </w:rPr>
        <w:t>Complete keyboard operation.</w:t>
      </w:r>
    </w:p>
    <w:p>
      <w:pPr>
        <w:pStyle w:val="ListBullet"/>
        <w:numPr>
          <w:ilvl w:val="0"/>
          <w:numId w:val="1"/>
        </w:numPr>
        <w:rPr/>
      </w:pPr>
      <w:r>
        <w:rPr>
          <w:color w:val="172236"/>
          <w:sz w:val="18"/>
        </w:rPr>
        <w:t>Screen-reader semantics.</w:t>
      </w:r>
    </w:p>
    <w:p>
      <w:pPr>
        <w:pStyle w:val="ListBullet"/>
        <w:numPr>
          <w:ilvl w:val="0"/>
          <w:numId w:val="1"/>
        </w:numPr>
        <w:rPr/>
      </w:pPr>
      <w:r>
        <w:rPr>
          <w:color w:val="172236"/>
          <w:sz w:val="18"/>
        </w:rPr>
        <w:t>High contrast.</w:t>
      </w:r>
    </w:p>
    <w:p>
      <w:pPr>
        <w:pStyle w:val="ListBullet"/>
        <w:numPr>
          <w:ilvl w:val="0"/>
          <w:numId w:val="1"/>
        </w:numPr>
        <w:rPr/>
      </w:pPr>
      <w:r>
        <w:rPr>
          <w:color w:val="172236"/>
          <w:sz w:val="18"/>
        </w:rPr>
        <w:t>Reduced motion.</w:t>
      </w:r>
    </w:p>
    <w:p>
      <w:pPr>
        <w:pStyle w:val="ListBullet"/>
        <w:numPr>
          <w:ilvl w:val="0"/>
          <w:numId w:val="1"/>
        </w:numPr>
        <w:rPr/>
      </w:pPr>
      <w:r>
        <w:rPr>
          <w:color w:val="172236"/>
          <w:sz w:val="18"/>
        </w:rPr>
        <w:t>Color-blind-safe modes.</w:t>
      </w:r>
    </w:p>
    <w:p>
      <w:pPr>
        <w:pStyle w:val="ListBullet"/>
        <w:numPr>
          <w:ilvl w:val="0"/>
          <w:numId w:val="1"/>
        </w:numPr>
        <w:rPr/>
      </w:pPr>
      <w:r>
        <w:rPr>
          <w:color w:val="172236"/>
          <w:sz w:val="18"/>
        </w:rPr>
        <w:t>No red/green-only meaning.</w:t>
      </w:r>
    </w:p>
    <w:p>
      <w:pPr>
        <w:pStyle w:val="ListBullet"/>
        <w:numPr>
          <w:ilvl w:val="0"/>
          <w:numId w:val="1"/>
        </w:numPr>
        <w:rPr/>
      </w:pPr>
      <w:r>
        <w:rPr>
          <w:color w:val="172236"/>
          <w:sz w:val="18"/>
        </w:rPr>
        <w:t>Adjustable density.</w:t>
      </w:r>
    </w:p>
    <w:p>
      <w:pPr>
        <w:pStyle w:val="ListBullet"/>
        <w:numPr>
          <w:ilvl w:val="0"/>
          <w:numId w:val="1"/>
        </w:numPr>
        <w:rPr/>
      </w:pPr>
      <w:r>
        <w:rPr>
          <w:color w:val="172236"/>
          <w:sz w:val="18"/>
        </w:rPr>
        <w:t>Local time and UTC views.</w:t>
      </w:r>
    </w:p>
    <w:p>
      <w:pPr>
        <w:pStyle w:val="ListBullet"/>
        <w:numPr>
          <w:ilvl w:val="0"/>
          <w:numId w:val="1"/>
        </w:numPr>
        <w:rPr/>
      </w:pPr>
      <w:r>
        <w:rPr>
          <w:color w:val="172236"/>
          <w:sz w:val="18"/>
        </w:rPr>
        <w:t>Locale-aware numbers.</w:t>
      </w:r>
    </w:p>
    <w:p>
      <w:pPr>
        <w:pStyle w:val="ListBullet"/>
        <w:numPr>
          <w:ilvl w:val="0"/>
          <w:numId w:val="1"/>
        </w:numPr>
        <w:rPr/>
      </w:pPr>
      <w:r>
        <w:rPr>
          <w:color w:val="172236"/>
          <w:sz w:val="18"/>
        </w:rPr>
        <w:t>Explicit currency.</w:t>
      </w:r>
    </w:p>
    <w:p>
      <w:pPr>
        <w:pStyle w:val="ListBullet"/>
        <w:numPr>
          <w:ilvl w:val="0"/>
          <w:numId w:val="1"/>
        </w:numPr>
        <w:rPr/>
      </w:pPr>
      <w:r>
        <w:rPr>
          <w:color w:val="172236"/>
          <w:sz w:val="18"/>
        </w:rPr>
        <w:t>Plain-language risk disclosures.</w:t>
      </w:r>
    </w:p>
    <w:p>
      <w:pPr>
        <w:pStyle w:val="ListBullet"/>
        <w:numPr>
          <w:ilvl w:val="0"/>
          <w:numId w:val="1"/>
        </w:numPr>
        <w:rPr/>
      </w:pPr>
      <w:r>
        <w:rPr>
          <w:color w:val="172236"/>
          <w:sz w:val="18"/>
        </w:rPr>
        <w:t>Confirmation for irreversible actions.</w:t>
      </w:r>
    </w:p>
    <w:p>
      <w:pPr>
        <w:pStyle w:val="ListBullet"/>
        <w:numPr>
          <w:ilvl w:val="0"/>
          <w:numId w:val="1"/>
        </w:numPr>
        <w:rPr/>
      </w:pPr>
      <w:r>
        <w:rPr>
          <w:color w:val="172236"/>
          <w:sz w:val="18"/>
        </w:rPr>
        <w:t>Cooling-off option after large losses.</w:t>
      </w:r>
    </w:p>
    <w:p>
      <w:pPr>
        <w:pStyle w:val="ListBullet"/>
        <w:numPr>
          <w:ilvl w:val="0"/>
          <w:numId w:val="1"/>
        </w:numPr>
        <w:rPr/>
      </w:pPr>
      <w:r>
        <w:rPr>
          <w:color w:val="172236"/>
          <w:sz w:val="18"/>
        </w:rPr>
        <w:t>Configurable daily loss warnings.</w:t>
      </w:r>
    </w:p>
    <w:p>
      <w:pPr>
        <w:pStyle w:val="ListBullet"/>
        <w:numPr>
          <w:ilvl w:val="0"/>
          <w:numId w:val="1"/>
        </w:numPr>
        <w:rPr/>
      </w:pPr>
      <w:r>
        <w:rPr>
          <w:color w:val="172236"/>
          <w:sz w:val="18"/>
        </w:rPr>
        <w:t>No celebratory animation for risky trades.</w:t>
      </w:r>
    </w:p>
    <w:p>
      <w:pPr>
        <w:pStyle w:val="Heading1"/>
        <w:pBdr>
          <w:bottom w:val="single" w:sz="12" w:space="5" w:color="33C7F2"/>
        </w:pBdr>
        <w:rPr/>
      </w:pPr>
      <w:bookmarkStart w:id="210" w:name="__RefHeading___Toc7140_2150751134"/>
      <w:bookmarkEnd w:id="210"/>
      <w:r>
        <w:rPr>
          <w:rFonts w:ascii="Lato" w:hAnsi="Lato"/>
          <w:color w:val="172236"/>
          <w:sz w:val="42"/>
        </w:rPr>
        <w:t>31. API, Plugin, MCP, and SDK Platform</w:t>
      </w:r>
    </w:p>
    <w:p>
      <w:pPr>
        <w:pStyle w:val="Heading2"/>
        <w:pBdr>
          <w:left w:val="single" w:sz="14" w:space="4" w:color="8B5CF6"/>
        </w:pBdr>
        <w:rPr/>
      </w:pPr>
      <w:bookmarkStart w:id="211" w:name="__RefHeading___Toc7142_2150751134"/>
      <w:bookmarkEnd w:id="211"/>
      <w:r>
        <w:rPr>
          <w:rFonts w:ascii="Lato" w:hAnsi="Lato"/>
          <w:color w:val="172236"/>
          <w:sz w:val="29"/>
        </w:rPr>
        <w:t>31.1 Public API</w:t>
      </w:r>
    </w:p>
    <w:p>
      <w:pPr>
        <w:pStyle w:val="ListBullet"/>
        <w:numPr>
          <w:ilvl w:val="0"/>
          <w:numId w:val="1"/>
        </w:numPr>
        <w:rPr/>
      </w:pPr>
      <w:r>
        <w:rPr>
          <w:color w:val="172236"/>
          <w:sz w:val="18"/>
        </w:rPr>
        <w:t>REST/OpenAPI for broad interoperability.</w:t>
      </w:r>
    </w:p>
    <w:p>
      <w:pPr>
        <w:pStyle w:val="ListBullet"/>
        <w:numPr>
          <w:ilvl w:val="0"/>
          <w:numId w:val="1"/>
        </w:numPr>
        <w:rPr/>
      </w:pPr>
      <w:r>
        <w:rPr>
          <w:color w:val="172236"/>
          <w:sz w:val="18"/>
        </w:rPr>
        <w:t>WebSocket for live updates.</w:t>
      </w:r>
    </w:p>
    <w:p>
      <w:pPr>
        <w:pStyle w:val="ListBullet"/>
        <w:numPr>
          <w:ilvl w:val="0"/>
          <w:numId w:val="1"/>
        </w:numPr>
        <w:rPr/>
      </w:pPr>
      <w:r>
        <w:rPr>
          <w:color w:val="172236"/>
          <w:sz w:val="18"/>
        </w:rPr>
        <w:t>gRPC for selected internal services.</w:t>
      </w:r>
    </w:p>
    <w:p>
      <w:pPr>
        <w:pStyle w:val="ListBullet"/>
        <w:numPr>
          <w:ilvl w:val="0"/>
          <w:numId w:val="1"/>
        </w:numPr>
        <w:rPr/>
      </w:pPr>
      <w:r>
        <w:rPr>
          <w:color w:val="172236"/>
          <w:sz w:val="18"/>
        </w:rPr>
        <w:t>Versioned schemas.</w:t>
      </w:r>
    </w:p>
    <w:p>
      <w:pPr>
        <w:pStyle w:val="ListBullet"/>
        <w:numPr>
          <w:ilvl w:val="0"/>
          <w:numId w:val="1"/>
        </w:numPr>
        <w:rPr/>
      </w:pPr>
      <w:r>
        <w:rPr>
          <w:color w:val="172236"/>
          <w:sz w:val="18"/>
        </w:rPr>
        <w:t>OAuth scopes.</w:t>
      </w:r>
    </w:p>
    <w:p>
      <w:pPr>
        <w:pStyle w:val="ListBullet"/>
        <w:numPr>
          <w:ilvl w:val="0"/>
          <w:numId w:val="1"/>
        </w:numPr>
        <w:rPr/>
      </w:pPr>
      <w:r>
        <w:rPr>
          <w:color w:val="172236"/>
          <w:sz w:val="18"/>
        </w:rPr>
        <w:t>Idempotency.</w:t>
      </w:r>
    </w:p>
    <w:p>
      <w:pPr>
        <w:pStyle w:val="ListBullet"/>
        <w:numPr>
          <w:ilvl w:val="0"/>
          <w:numId w:val="1"/>
        </w:numPr>
        <w:rPr/>
      </w:pPr>
      <w:r>
        <w:rPr>
          <w:color w:val="172236"/>
          <w:sz w:val="18"/>
        </w:rPr>
        <w:t>Pagination.</w:t>
      </w:r>
    </w:p>
    <w:p>
      <w:pPr>
        <w:pStyle w:val="ListBullet"/>
        <w:numPr>
          <w:ilvl w:val="0"/>
          <w:numId w:val="1"/>
        </w:numPr>
        <w:rPr/>
      </w:pPr>
      <w:r>
        <w:rPr>
          <w:color w:val="172236"/>
          <w:sz w:val="18"/>
        </w:rPr>
        <w:t>Correlation IDs.</w:t>
      </w:r>
    </w:p>
    <w:p>
      <w:pPr>
        <w:pStyle w:val="ListBullet"/>
        <w:numPr>
          <w:ilvl w:val="0"/>
          <w:numId w:val="1"/>
        </w:numPr>
        <w:rPr/>
      </w:pPr>
      <w:r>
        <w:rPr>
          <w:color w:val="172236"/>
          <w:sz w:val="18"/>
        </w:rPr>
        <w:t>Signed webhooks.</w:t>
      </w:r>
    </w:p>
    <w:p>
      <w:pPr>
        <w:pStyle w:val="Heading2"/>
        <w:pBdr>
          <w:left w:val="single" w:sz="14" w:space="4" w:color="8B5CF6"/>
        </w:pBdr>
        <w:rPr/>
      </w:pPr>
      <w:bookmarkStart w:id="212" w:name="__RefHeading___Toc7144_2150751134"/>
      <w:bookmarkEnd w:id="212"/>
      <w:r>
        <w:rPr>
          <w:rFonts w:ascii="Lato" w:hAnsi="Lato"/>
          <w:color w:val="172236"/>
          <w:sz w:val="29"/>
        </w:rPr>
        <w:t>31.2 Plugin Types</w:t>
      </w:r>
    </w:p>
    <w:p>
      <w:pPr>
        <w:pStyle w:val="ListBullet"/>
        <w:numPr>
          <w:ilvl w:val="0"/>
          <w:numId w:val="1"/>
        </w:numPr>
        <w:rPr/>
      </w:pPr>
      <w:r>
        <w:rPr>
          <w:color w:val="172236"/>
          <w:sz w:val="18"/>
        </w:rPr>
        <w:t>Data provider.</w:t>
      </w:r>
    </w:p>
    <w:p>
      <w:pPr>
        <w:pStyle w:val="ListBullet"/>
        <w:numPr>
          <w:ilvl w:val="0"/>
          <w:numId w:val="1"/>
        </w:numPr>
        <w:rPr/>
      </w:pPr>
      <w:r>
        <w:rPr>
          <w:color w:val="172236"/>
          <w:sz w:val="18"/>
        </w:rPr>
        <w:t>Indicator.</w:t>
      </w:r>
    </w:p>
    <w:p>
      <w:pPr>
        <w:pStyle w:val="ListBullet"/>
        <w:numPr>
          <w:ilvl w:val="0"/>
          <w:numId w:val="1"/>
        </w:numPr>
        <w:rPr/>
      </w:pPr>
      <w:r>
        <w:rPr>
          <w:color w:val="172236"/>
          <w:sz w:val="18"/>
        </w:rPr>
        <w:t>Strategy.</w:t>
      </w:r>
    </w:p>
    <w:p>
      <w:pPr>
        <w:pStyle w:val="ListBullet"/>
        <w:numPr>
          <w:ilvl w:val="0"/>
          <w:numId w:val="1"/>
        </w:numPr>
        <w:rPr/>
      </w:pPr>
      <w:r>
        <w:rPr>
          <w:color w:val="172236"/>
          <w:sz w:val="18"/>
        </w:rPr>
        <w:t>Visualization.</w:t>
      </w:r>
    </w:p>
    <w:p>
      <w:pPr>
        <w:pStyle w:val="ListBullet"/>
        <w:numPr>
          <w:ilvl w:val="0"/>
          <w:numId w:val="1"/>
        </w:numPr>
        <w:rPr/>
      </w:pPr>
      <w:r>
        <w:rPr>
          <w:color w:val="172236"/>
          <w:sz w:val="18"/>
        </w:rPr>
        <w:t>Exporter.</w:t>
      </w:r>
    </w:p>
    <w:p>
      <w:pPr>
        <w:pStyle w:val="ListBullet"/>
        <w:numPr>
          <w:ilvl w:val="0"/>
          <w:numId w:val="1"/>
        </w:numPr>
        <w:rPr/>
      </w:pPr>
      <w:r>
        <w:rPr>
          <w:color w:val="172236"/>
          <w:sz w:val="18"/>
        </w:rPr>
        <w:t>Notification.</w:t>
      </w:r>
    </w:p>
    <w:p>
      <w:pPr>
        <w:pStyle w:val="ListBullet"/>
        <w:numPr>
          <w:ilvl w:val="0"/>
          <w:numId w:val="1"/>
        </w:numPr>
        <w:rPr/>
      </w:pPr>
      <w:r>
        <w:rPr>
          <w:color w:val="172236"/>
          <w:sz w:val="18"/>
        </w:rPr>
        <w:t>Broker/exchange.</w:t>
      </w:r>
    </w:p>
    <w:p>
      <w:pPr>
        <w:pStyle w:val="ListBullet"/>
        <w:numPr>
          <w:ilvl w:val="0"/>
          <w:numId w:val="1"/>
        </w:numPr>
        <w:rPr/>
      </w:pPr>
      <w:r>
        <w:rPr>
          <w:color w:val="172236"/>
          <w:sz w:val="18"/>
        </w:rPr>
        <w:t>AI tool.</w:t>
      </w:r>
    </w:p>
    <w:p>
      <w:pPr>
        <w:pStyle w:val="ListBullet"/>
        <w:numPr>
          <w:ilvl w:val="0"/>
          <w:numId w:val="1"/>
        </w:numPr>
        <w:rPr/>
      </w:pPr>
      <w:r>
        <w:rPr>
          <w:color w:val="172236"/>
          <w:sz w:val="18"/>
        </w:rPr>
        <w:t>Workspace panel.</w:t>
      </w:r>
    </w:p>
    <w:p>
      <w:pPr>
        <w:pStyle w:val="Heading2"/>
        <w:pBdr>
          <w:left w:val="single" w:sz="14" w:space="4" w:color="8B5CF6"/>
        </w:pBdr>
        <w:rPr/>
      </w:pPr>
      <w:bookmarkStart w:id="213" w:name="__RefHeading___Toc7146_2150751134"/>
      <w:bookmarkEnd w:id="213"/>
      <w:r>
        <w:rPr>
          <w:rFonts w:ascii="Lato" w:hAnsi="Lato"/>
          <w:color w:val="172236"/>
          <w:sz w:val="29"/>
        </w:rPr>
        <w:t>31.3 Plugin Security</w:t>
      </w:r>
    </w:p>
    <w:p>
      <w:pPr>
        <w:pStyle w:val="ListBullet"/>
        <w:numPr>
          <w:ilvl w:val="0"/>
          <w:numId w:val="1"/>
        </w:numPr>
        <w:rPr/>
      </w:pPr>
      <w:r>
        <w:rPr>
          <w:color w:val="172236"/>
          <w:sz w:val="18"/>
        </w:rPr>
        <w:t>Signed package.</w:t>
      </w:r>
    </w:p>
    <w:p>
      <w:pPr>
        <w:pStyle w:val="ListBullet"/>
        <w:numPr>
          <w:ilvl w:val="0"/>
          <w:numId w:val="1"/>
        </w:numPr>
        <w:rPr/>
      </w:pPr>
      <w:r>
        <w:rPr>
          <w:color w:val="172236"/>
          <w:sz w:val="18"/>
        </w:rPr>
        <w:t>Manifest.</w:t>
      </w:r>
    </w:p>
    <w:p>
      <w:pPr>
        <w:pStyle w:val="ListBullet"/>
        <w:numPr>
          <w:ilvl w:val="0"/>
          <w:numId w:val="1"/>
        </w:numPr>
        <w:rPr/>
      </w:pPr>
      <w:r>
        <w:rPr>
          <w:color w:val="172236"/>
          <w:sz w:val="18"/>
        </w:rPr>
        <w:t>Declared capabilities.</w:t>
      </w:r>
    </w:p>
    <w:p>
      <w:pPr>
        <w:pStyle w:val="ListBullet"/>
        <w:numPr>
          <w:ilvl w:val="0"/>
          <w:numId w:val="1"/>
        </w:numPr>
        <w:rPr/>
      </w:pPr>
      <w:r>
        <w:rPr>
          <w:color w:val="172236"/>
          <w:sz w:val="18"/>
        </w:rPr>
        <w:t>Version constraints.</w:t>
      </w:r>
    </w:p>
    <w:p>
      <w:pPr>
        <w:pStyle w:val="ListBullet"/>
        <w:numPr>
          <w:ilvl w:val="0"/>
          <w:numId w:val="1"/>
        </w:numPr>
        <w:rPr/>
      </w:pPr>
      <w:r>
        <w:rPr>
          <w:color w:val="172236"/>
          <w:sz w:val="18"/>
        </w:rPr>
        <w:t>Network allowlist.</w:t>
      </w:r>
    </w:p>
    <w:p>
      <w:pPr>
        <w:pStyle w:val="ListBullet"/>
        <w:numPr>
          <w:ilvl w:val="0"/>
          <w:numId w:val="1"/>
        </w:numPr>
        <w:rPr/>
      </w:pPr>
      <w:r>
        <w:rPr>
          <w:color w:val="172236"/>
          <w:sz w:val="18"/>
        </w:rPr>
        <w:t>Filesystem scope.</w:t>
      </w:r>
    </w:p>
    <w:p>
      <w:pPr>
        <w:pStyle w:val="ListBullet"/>
        <w:numPr>
          <w:ilvl w:val="0"/>
          <w:numId w:val="1"/>
        </w:numPr>
        <w:rPr/>
      </w:pPr>
      <w:r>
        <w:rPr>
          <w:color w:val="172236"/>
          <w:sz w:val="18"/>
        </w:rPr>
        <w:t>CPU/memory budget.</w:t>
      </w:r>
    </w:p>
    <w:p>
      <w:pPr>
        <w:pStyle w:val="ListBullet"/>
        <w:numPr>
          <w:ilvl w:val="0"/>
          <w:numId w:val="1"/>
        </w:numPr>
        <w:rPr/>
      </w:pPr>
      <w:r>
        <w:rPr>
          <w:color w:val="172236"/>
          <w:sz w:val="18"/>
        </w:rPr>
        <w:t>Revocation.</w:t>
      </w:r>
    </w:p>
    <w:p>
      <w:pPr>
        <w:pStyle w:val="ListBullet"/>
        <w:numPr>
          <w:ilvl w:val="0"/>
          <w:numId w:val="1"/>
        </w:numPr>
        <w:rPr/>
      </w:pPr>
      <w:r>
        <w:rPr>
          <w:color w:val="172236"/>
          <w:sz w:val="18"/>
        </w:rPr>
        <w:t>Audit.</w:t>
      </w:r>
    </w:p>
    <w:p>
      <w:pPr>
        <w:pStyle w:val="ListBullet"/>
        <w:numPr>
          <w:ilvl w:val="0"/>
          <w:numId w:val="1"/>
        </w:numPr>
        <w:rPr/>
      </w:pPr>
      <w:r>
        <w:rPr>
          <w:color w:val="172236"/>
          <w:sz w:val="18"/>
        </w:rPr>
        <w:t>User/admin approval.</w:t>
      </w:r>
    </w:p>
    <w:p>
      <w:pPr>
        <w:pStyle w:val="ListBullet"/>
        <w:numPr>
          <w:ilvl w:val="0"/>
          <w:numId w:val="1"/>
        </w:numPr>
        <w:rPr/>
      </w:pPr>
      <w:r>
        <w:rPr>
          <w:color w:val="172236"/>
          <w:sz w:val="18"/>
        </w:rPr>
        <w:t>Sandboxed execution, preferably WebAssembly/WASI for untrusted extensions.</w:t>
      </w:r>
    </w:p>
    <w:p>
      <w:pPr>
        <w:pStyle w:val="Heading2"/>
        <w:pBdr>
          <w:left w:val="single" w:sz="14" w:space="4" w:color="8B5CF6"/>
        </w:pBdr>
        <w:rPr/>
      </w:pPr>
      <w:bookmarkStart w:id="214" w:name="__RefHeading___Toc7148_2150751134"/>
      <w:bookmarkEnd w:id="214"/>
      <w:r>
        <w:rPr>
          <w:rFonts w:ascii="Lato" w:hAnsi="Lato"/>
          <w:color w:val="172236"/>
          <w:sz w:val="29"/>
        </w:rPr>
        <w:t>31.4 SDKs</w:t>
      </w:r>
    </w:p>
    <w:p>
      <w:pPr>
        <w:pStyle w:val="ListBullet"/>
        <w:numPr>
          <w:ilvl w:val="0"/>
          <w:numId w:val="1"/>
        </w:numPr>
        <w:rPr/>
      </w:pPr>
      <w:r>
        <w:rPr>
          <w:color w:val="172236"/>
          <w:sz w:val="18"/>
        </w:rPr>
        <w:t>Rust.</w:t>
      </w:r>
    </w:p>
    <w:p>
      <w:pPr>
        <w:pStyle w:val="ListBullet"/>
        <w:numPr>
          <w:ilvl w:val="0"/>
          <w:numId w:val="1"/>
        </w:numPr>
        <w:rPr/>
      </w:pPr>
      <w:r>
        <w:rPr>
          <w:color w:val="172236"/>
          <w:sz w:val="18"/>
        </w:rPr>
        <w:t>Python.</w:t>
      </w:r>
    </w:p>
    <w:p>
      <w:pPr>
        <w:pStyle w:val="ListBullet"/>
        <w:numPr>
          <w:ilvl w:val="0"/>
          <w:numId w:val="1"/>
        </w:numPr>
        <w:rPr/>
      </w:pPr>
      <w:r>
        <w:rPr>
          <w:color w:val="172236"/>
          <w:sz w:val="18"/>
        </w:rPr>
        <w:t>TypeScript.</w:t>
      </w:r>
    </w:p>
    <w:p>
      <w:pPr>
        <w:pStyle w:val="ListBullet"/>
        <w:numPr>
          <w:ilvl w:val="0"/>
          <w:numId w:val="1"/>
        </w:numPr>
        <w:rPr/>
      </w:pPr>
      <w:r>
        <w:rPr>
          <w:color w:val="172236"/>
          <w:sz w:val="18"/>
        </w:rPr>
        <w:t>CLI.</w:t>
      </w:r>
    </w:p>
    <w:p>
      <w:pPr>
        <w:pStyle w:val="ListBullet"/>
        <w:numPr>
          <w:ilvl w:val="0"/>
          <w:numId w:val="1"/>
        </w:numPr>
        <w:rPr/>
      </w:pPr>
      <w:r>
        <w:rPr>
          <w:color w:val="172236"/>
          <w:sz w:val="18"/>
        </w:rPr>
        <w:t>OpenAPI-generated clients.</w:t>
      </w:r>
    </w:p>
    <w:p>
      <w:pPr>
        <w:pStyle w:val="Heading2"/>
        <w:pBdr>
          <w:left w:val="single" w:sz="14" w:space="4" w:color="8B5CF6"/>
        </w:pBdr>
        <w:rPr/>
      </w:pPr>
      <w:bookmarkStart w:id="215" w:name="__RefHeading___Toc7150_2150751134"/>
      <w:bookmarkEnd w:id="215"/>
      <w:r>
        <w:rPr>
          <w:rFonts w:ascii="Lato" w:hAnsi="Lato"/>
          <w:color w:val="172236"/>
          <w:sz w:val="29"/>
        </w:rPr>
        <w:t>31.5 MCP Gateway</w:t>
      </w:r>
    </w:p>
    <w:p>
      <w:pPr>
        <w:pStyle w:val="Normal"/>
        <w:rPr/>
      </w:pPr>
      <w:r>
        <w:rPr>
          <w:color w:val="172236"/>
          <w:sz w:val="19"/>
        </w:rPr>
        <w:t>Instead of letting every MCP server connect directly to the desktop, route approved servers through a gateway that enforces:</w:t>
      </w:r>
    </w:p>
    <w:p>
      <w:pPr>
        <w:pStyle w:val="ListBullet"/>
        <w:numPr>
          <w:ilvl w:val="0"/>
          <w:numId w:val="1"/>
        </w:numPr>
        <w:rPr/>
      </w:pPr>
      <w:r>
        <w:rPr>
          <w:color w:val="172236"/>
          <w:sz w:val="18"/>
        </w:rPr>
        <w:t>Tool allowlist.</w:t>
      </w:r>
    </w:p>
    <w:p>
      <w:pPr>
        <w:pStyle w:val="ListBullet"/>
        <w:numPr>
          <w:ilvl w:val="0"/>
          <w:numId w:val="1"/>
        </w:numPr>
        <w:rPr/>
      </w:pPr>
      <w:r>
        <w:rPr>
          <w:color w:val="172236"/>
          <w:sz w:val="18"/>
        </w:rPr>
        <w:t>Schema validation.</w:t>
      </w:r>
    </w:p>
    <w:p>
      <w:pPr>
        <w:pStyle w:val="ListBullet"/>
        <w:numPr>
          <w:ilvl w:val="0"/>
          <w:numId w:val="1"/>
        </w:numPr>
        <w:rPr/>
      </w:pPr>
      <w:r>
        <w:rPr>
          <w:color w:val="172236"/>
          <w:sz w:val="18"/>
        </w:rPr>
        <w:t>Secret isolation.</w:t>
      </w:r>
    </w:p>
    <w:p>
      <w:pPr>
        <w:pStyle w:val="ListBullet"/>
        <w:numPr>
          <w:ilvl w:val="0"/>
          <w:numId w:val="1"/>
        </w:numPr>
        <w:rPr/>
      </w:pPr>
      <w:r>
        <w:rPr>
          <w:color w:val="172236"/>
          <w:sz w:val="18"/>
        </w:rPr>
        <w:t>Rate limit.</w:t>
      </w:r>
    </w:p>
    <w:p>
      <w:pPr>
        <w:pStyle w:val="ListBullet"/>
        <w:numPr>
          <w:ilvl w:val="0"/>
          <w:numId w:val="1"/>
        </w:numPr>
        <w:rPr/>
      </w:pPr>
      <w:r>
        <w:rPr>
          <w:color w:val="172236"/>
          <w:sz w:val="18"/>
        </w:rPr>
        <w:t>Audit.</w:t>
      </w:r>
    </w:p>
    <w:p>
      <w:pPr>
        <w:pStyle w:val="ListBullet"/>
        <w:numPr>
          <w:ilvl w:val="0"/>
          <w:numId w:val="1"/>
        </w:numPr>
        <w:rPr/>
      </w:pPr>
      <w:r>
        <w:rPr>
          <w:color w:val="172236"/>
          <w:sz w:val="18"/>
        </w:rPr>
        <w:t>Output size limit.</w:t>
      </w:r>
    </w:p>
    <w:p>
      <w:pPr>
        <w:pStyle w:val="ListBullet"/>
        <w:numPr>
          <w:ilvl w:val="0"/>
          <w:numId w:val="1"/>
        </w:numPr>
        <w:rPr/>
      </w:pPr>
      <w:r>
        <w:rPr>
          <w:color w:val="172236"/>
          <w:sz w:val="18"/>
        </w:rPr>
        <w:t>Content filtering.</w:t>
      </w:r>
    </w:p>
    <w:p>
      <w:pPr>
        <w:pStyle w:val="ListBullet"/>
        <w:numPr>
          <w:ilvl w:val="0"/>
          <w:numId w:val="1"/>
        </w:numPr>
        <w:rPr/>
      </w:pPr>
      <w:r>
        <w:rPr>
          <w:color w:val="172236"/>
          <w:sz w:val="18"/>
        </w:rPr>
        <w:t>Timeout.</w:t>
      </w:r>
    </w:p>
    <w:p>
      <w:pPr>
        <w:pStyle w:val="ListBullet"/>
        <w:numPr>
          <w:ilvl w:val="0"/>
          <w:numId w:val="1"/>
        </w:numPr>
        <w:rPr/>
      </w:pPr>
      <w:r>
        <w:rPr>
          <w:color w:val="172236"/>
          <w:sz w:val="18"/>
        </w:rPr>
        <w:t>Network policy.</w:t>
      </w:r>
    </w:p>
    <w:p>
      <w:pPr>
        <w:pStyle w:val="ListBullet"/>
        <w:numPr>
          <w:ilvl w:val="0"/>
          <w:numId w:val="1"/>
        </w:numPr>
        <w:rPr/>
      </w:pPr>
      <w:r>
        <w:rPr>
          <w:color w:val="172236"/>
          <w:sz w:val="18"/>
        </w:rPr>
        <w:t>Human approval for sensitive tools.</w:t>
      </w:r>
    </w:p>
    <w:p>
      <w:pPr>
        <w:pStyle w:val="Normal"/>
        <w:spacing w:before="0" w:after="0"/>
        <w:jc w:val="center"/>
        <w:rPr/>
      </w:pPr>
      <w:r>
        <w:rPr/>
        <w:drawing>
          <wp:inline distT="0" distB="0" distL="0" distR="0">
            <wp:extent cx="6546850" cy="8174990"/>
            <wp:effectExtent l="0" t="0" r="0" b="0"/>
            <wp:docPr id="16" name="Picture 16" descr="Image: image16.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title=""/>
                    <pic:cNvPicPr>
                      <a:picLocks noChangeAspect="1" noChangeArrowheads="1"/>
                    </pic:cNvPicPr>
                  </pic:nvPicPr>
                  <pic:blipFill>
                    <a:blip r:embed="rId53"/>
                    <a:stretch>
                      <a:fillRect/>
                    </a:stretch>
                  </pic:blipFill>
                  <pic:spPr bwMode="auto">
                    <a:xfrm>
                      <a:off x="0" y="0"/>
                      <a:ext cx="6546850" cy="8174990"/>
                    </a:xfrm>
                    <a:prstGeom prst="rect">
                      <a:avLst/>
                    </a:prstGeom>
                    <a:noFill/>
                  </pic:spPr>
                </pic:pic>
              </a:graphicData>
            </a:graphic>
          </wp:inline>
        </w:drawing>
      </w:r>
    </w:p>
    <w:p>
      <w:pPr>
        <w:pStyle w:val="Normal"/>
        <w:rPr/>
      </w:pPr>
      <w:r>
        <w:rPr/>
      </w:r>
    </w:p>
    <w:p>
      <w:pPr>
        <w:sectPr>
          <w:headerReference w:type="even" r:id="rId54"/>
          <w:headerReference w:type="default" r:id="rId55"/>
          <w:headerReference w:type="first" r:id="rId56"/>
          <w:footerReference w:type="even" r:id="rId57"/>
          <w:footerReference w:type="default" r:id="rId58"/>
          <w:footerReference w:type="first" r:id="rId59"/>
          <w:type w:val="nextPage"/>
          <w:pgSz w:w="12240" w:h="15840"/>
          <w:pgMar w:left="965" w:right="965" w:gutter="0" w:header="360" w:top="893" w:footer="360" w:bottom="835"/>
          <w:pgNumType w:fmt="decimal"/>
          <w:formProt w:val="false"/>
          <w:textDirection w:val="lrTb"/>
          <w:docGrid w:type="default" w:linePitch="312" w:charSpace="4096"/>
        </w:sectPr>
      </w:pPr>
      <w:r>
        <w:br w:type="page"/>
      </w:r>
    </w:p>
    <w:p>
      <w:pPr>
        <w:pStyle w:val="Heading1"/>
        <w:pBdr>
          <w:bottom w:val="single" w:sz="12" w:space="5" w:color="33C7F2"/>
        </w:pBdr>
        <w:rPr/>
      </w:pPr>
      <w:bookmarkStart w:id="216" w:name="__RefHeading___Toc7152_2150751134"/>
      <w:bookmarkEnd w:id="216"/>
      <w:r>
        <w:rPr>
          <w:rFonts w:ascii="Lato" w:hAnsi="Lato"/>
          <w:color w:val="172236"/>
          <w:sz w:val="42"/>
        </w:rPr>
        <w:t>32. Phased Implementation Roadmap</w:t>
      </w:r>
    </w:p>
    <w:p>
      <w:pPr>
        <w:pStyle w:val="Normal"/>
        <w:spacing w:before="140" w:after="20"/>
        <w:jc w:val="center"/>
        <w:rPr/>
      </w:pPr>
      <w:r>
        <w:rPr/>
        <w:drawing>
          <wp:inline distT="0" distB="0" distL="0" distR="0">
            <wp:extent cx="6309360" cy="3630295"/>
            <wp:effectExtent l="0" t="0" r="0" b="0"/>
            <wp:docPr id="17" name="Picture 17" descr="Image: image17.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title=""/>
                    <pic:cNvPicPr>
                      <a:picLocks noChangeAspect="1" noChangeArrowheads="1"/>
                    </pic:cNvPicPr>
                  </pic:nvPicPr>
                  <pic:blipFill>
                    <a:blip r:embed="rId60"/>
                    <a:stretch>
                      <a:fillRect/>
                    </a:stretch>
                  </pic:blipFill>
                  <pic:spPr bwMode="auto">
                    <a:xfrm>
                      <a:off x="0" y="0"/>
                      <a:ext cx="6309360" cy="3630295"/>
                    </a:xfrm>
                    <a:prstGeom prst="rect">
                      <a:avLst/>
                    </a:prstGeom>
                    <a:noFill/>
                  </pic:spPr>
                </pic:pic>
              </a:graphicData>
            </a:graphic>
          </wp:inline>
        </w:drawing>
      </w:r>
    </w:p>
    <w:p>
      <w:pPr>
        <w:pStyle w:val="CaptionCustom"/>
        <w:rPr/>
      </w:pPr>
      <w:r>
        <w:rPr/>
        <w:t>Figure 9 - Phase 0 through Phase 9 implementation roadmap.</w:t>
      </w:r>
    </w:p>
    <w:p>
      <w:pPr>
        <w:pStyle w:val="Heading2"/>
        <w:pBdr>
          <w:left w:val="single" w:sz="14" w:space="4" w:color="8B5CF6"/>
        </w:pBdr>
        <w:rPr/>
      </w:pPr>
      <w:bookmarkStart w:id="217" w:name="__RefHeading___Toc7154_2150751134"/>
      <w:bookmarkEnd w:id="217"/>
      <w:r>
        <w:rPr>
          <w:rFonts w:ascii="Lato" w:hAnsi="Lato"/>
          <w:color w:val="172236"/>
          <w:sz w:val="29"/>
        </w:rPr>
        <w:t>Phase 0 — Foundation and Product Proof</w:t>
      </w:r>
    </w:p>
    <w:p>
      <w:pPr>
        <w:pStyle w:val="Normal"/>
        <w:rPr/>
      </w:pPr>
      <w:r>
        <w:rPr>
          <w:b/>
          <w:color w:val="172236"/>
          <w:sz w:val="19"/>
        </w:rPr>
        <w:t>Objective:</w:t>
      </w:r>
      <w:r>
        <w:rPr>
          <w:color w:val="172236"/>
          <w:sz w:val="19"/>
        </w:rPr>
        <w:t xml:space="preserve"> Establish architecture, standards, identity, and a functioning vertical slice.</w:t>
      </w:r>
    </w:p>
    <w:p>
      <w:pPr>
        <w:pStyle w:val="Normal"/>
        <w:rPr/>
      </w:pPr>
      <w:r>
        <w:rPr>
          <w:color w:val="172236"/>
          <w:sz w:val="19"/>
        </w:rPr>
        <w:t>Deliverables:</w:t>
      </w:r>
    </w:p>
    <w:p>
      <w:pPr>
        <w:pStyle w:val="ListBullet"/>
        <w:numPr>
          <w:ilvl w:val="0"/>
          <w:numId w:val="1"/>
        </w:numPr>
        <w:rPr/>
      </w:pPr>
      <w:r>
        <w:rPr>
          <w:color w:val="172236"/>
          <w:sz w:val="18"/>
        </w:rPr>
        <w:t>Confirm working product name and namespace policy.</w:t>
      </w:r>
    </w:p>
    <w:p>
      <w:pPr>
        <w:pStyle w:val="ListBullet"/>
        <w:numPr>
          <w:ilvl w:val="0"/>
          <w:numId w:val="1"/>
        </w:numPr>
        <w:rPr/>
      </w:pPr>
      <w:r>
        <w:rPr>
          <w:color w:val="172236"/>
          <w:sz w:val="18"/>
        </w:rPr>
        <w:t>Repository baseline.</w:t>
      </w:r>
    </w:p>
    <w:p>
      <w:pPr>
        <w:pStyle w:val="ListBullet"/>
        <w:numPr>
          <w:ilvl w:val="0"/>
          <w:numId w:val="1"/>
        </w:numPr>
        <w:rPr/>
      </w:pPr>
      <w:r>
        <w:rPr>
          <w:color w:val="172236"/>
          <w:sz w:val="18"/>
        </w:rPr>
        <w:t>Engineering standards.</w:t>
      </w:r>
    </w:p>
    <w:p>
      <w:pPr>
        <w:pStyle w:val="ListBullet"/>
        <w:numPr>
          <w:ilvl w:val="0"/>
          <w:numId w:val="1"/>
        </w:numPr>
        <w:rPr/>
      </w:pPr>
      <w:r>
        <w:rPr>
          <w:color w:val="172236"/>
          <w:sz w:val="18"/>
        </w:rPr>
        <w:t>ADR process.</w:t>
      </w:r>
    </w:p>
    <w:p>
      <w:pPr>
        <w:pStyle w:val="ListBullet"/>
        <w:numPr>
          <w:ilvl w:val="0"/>
          <w:numId w:val="1"/>
        </w:numPr>
        <w:rPr/>
      </w:pPr>
      <w:r>
        <w:rPr>
          <w:color w:val="172236"/>
          <w:sz w:val="18"/>
        </w:rPr>
        <w:t>Workbook process.</w:t>
      </w:r>
    </w:p>
    <w:p>
      <w:pPr>
        <w:pStyle w:val="ListBullet"/>
        <w:numPr>
          <w:ilvl w:val="0"/>
          <w:numId w:val="1"/>
        </w:numPr>
        <w:rPr/>
      </w:pPr>
      <w:r>
        <w:rPr>
          <w:color w:val="172236"/>
          <w:sz w:val="18"/>
        </w:rPr>
        <w:t>Threat model.</w:t>
      </w:r>
    </w:p>
    <w:p>
      <w:pPr>
        <w:pStyle w:val="ListBullet"/>
        <w:numPr>
          <w:ilvl w:val="0"/>
          <w:numId w:val="1"/>
        </w:numPr>
        <w:rPr/>
      </w:pPr>
      <w:r>
        <w:rPr>
          <w:color w:val="172236"/>
          <w:sz w:val="18"/>
        </w:rPr>
        <w:t>Tauri 2 + SvelteKit shell.</w:t>
      </w:r>
    </w:p>
    <w:p>
      <w:pPr>
        <w:pStyle w:val="ListBullet"/>
        <w:numPr>
          <w:ilvl w:val="0"/>
          <w:numId w:val="1"/>
        </w:numPr>
        <w:rPr/>
      </w:pPr>
      <w:r>
        <w:rPr>
          <w:color w:val="172236"/>
          <w:sz w:val="18"/>
        </w:rPr>
        <w:t>Design tokens and motion system.</w:t>
      </w:r>
    </w:p>
    <w:p>
      <w:pPr>
        <w:pStyle w:val="ListBullet"/>
        <w:numPr>
          <w:ilvl w:val="0"/>
          <w:numId w:val="1"/>
        </w:numPr>
        <w:rPr/>
      </w:pPr>
      <w:r>
        <w:rPr>
          <w:color w:val="172236"/>
          <w:sz w:val="18"/>
        </w:rPr>
        <w:t>Rust domain/application boundaries.</w:t>
      </w:r>
    </w:p>
    <w:p>
      <w:pPr>
        <w:pStyle w:val="ListBullet"/>
        <w:numPr>
          <w:ilvl w:val="0"/>
          <w:numId w:val="1"/>
        </w:numPr>
        <w:rPr/>
      </w:pPr>
      <w:r>
        <w:rPr>
          <w:color w:val="172236"/>
          <w:sz w:val="18"/>
        </w:rPr>
        <w:t>Local encrypted configuration.</w:t>
      </w:r>
    </w:p>
    <w:p>
      <w:pPr>
        <w:pStyle w:val="ListBullet"/>
        <w:numPr>
          <w:ilvl w:val="0"/>
          <w:numId w:val="1"/>
        </w:numPr>
        <w:rPr/>
      </w:pPr>
      <w:r>
        <w:rPr>
          <w:color w:val="172236"/>
          <w:sz w:val="18"/>
        </w:rPr>
        <w:t>CoinGecko demo integration.</w:t>
      </w:r>
    </w:p>
    <w:p>
      <w:pPr>
        <w:pStyle w:val="ListBullet"/>
        <w:numPr>
          <w:ilvl w:val="0"/>
          <w:numId w:val="1"/>
        </w:numPr>
        <w:rPr/>
      </w:pPr>
      <w:r>
        <w:rPr>
          <w:color w:val="172236"/>
          <w:sz w:val="18"/>
        </w:rPr>
        <w:t>Canonical crypto asset identity.</w:t>
      </w:r>
    </w:p>
    <w:p>
      <w:pPr>
        <w:pStyle w:val="ListBullet"/>
        <w:numPr>
          <w:ilvl w:val="0"/>
          <w:numId w:val="1"/>
        </w:numPr>
        <w:rPr/>
      </w:pPr>
      <w:r>
        <w:rPr>
          <w:color w:val="172236"/>
          <w:sz w:val="18"/>
        </w:rPr>
        <w:t>Market overview.</w:t>
      </w:r>
    </w:p>
    <w:p>
      <w:pPr>
        <w:pStyle w:val="ListBullet"/>
        <w:numPr>
          <w:ilvl w:val="0"/>
          <w:numId w:val="1"/>
        </w:numPr>
        <w:rPr/>
      </w:pPr>
      <w:r>
        <w:rPr>
          <w:color w:val="172236"/>
          <w:sz w:val="18"/>
        </w:rPr>
        <w:t>Asset search and detail.</w:t>
      </w:r>
    </w:p>
    <w:p>
      <w:pPr>
        <w:pStyle w:val="ListBullet"/>
        <w:numPr>
          <w:ilvl w:val="0"/>
          <w:numId w:val="1"/>
        </w:numPr>
        <w:rPr/>
      </w:pPr>
      <w:r>
        <w:rPr>
          <w:color w:val="172236"/>
          <w:sz w:val="18"/>
        </w:rPr>
        <w:t>Basic historical chart.</w:t>
      </w:r>
    </w:p>
    <w:p>
      <w:pPr>
        <w:pStyle w:val="ListBullet"/>
        <w:numPr>
          <w:ilvl w:val="0"/>
          <w:numId w:val="1"/>
        </w:numPr>
        <w:rPr/>
      </w:pPr>
      <w:r>
        <w:rPr>
          <w:color w:val="172236"/>
          <w:sz w:val="18"/>
        </w:rPr>
        <w:t>Provider health and rate-budget UI.</w:t>
      </w:r>
    </w:p>
    <w:p>
      <w:pPr>
        <w:pStyle w:val="ListBullet"/>
        <w:numPr>
          <w:ilvl w:val="0"/>
          <w:numId w:val="1"/>
        </w:numPr>
        <w:rPr/>
      </w:pPr>
      <w:r>
        <w:rPr>
          <w:color w:val="172236"/>
          <w:sz w:val="18"/>
        </w:rPr>
        <w:t>OpenTelemetry baseline.</w:t>
      </w:r>
    </w:p>
    <w:p>
      <w:pPr>
        <w:pStyle w:val="ListBullet"/>
        <w:numPr>
          <w:ilvl w:val="0"/>
          <w:numId w:val="1"/>
        </w:numPr>
        <w:rPr/>
      </w:pPr>
      <w:r>
        <w:rPr>
          <w:color w:val="172236"/>
          <w:sz w:val="18"/>
        </w:rPr>
        <w:t>CI gates.</w:t>
      </w:r>
    </w:p>
    <w:p>
      <w:pPr>
        <w:pStyle w:val="ListBullet"/>
        <w:numPr>
          <w:ilvl w:val="0"/>
          <w:numId w:val="1"/>
        </w:numPr>
        <w:rPr/>
      </w:pPr>
      <w:r>
        <w:rPr>
          <w:color w:val="172236"/>
          <w:sz w:val="18"/>
        </w:rPr>
        <w:t>Signed development builds.</w:t>
      </w:r>
    </w:p>
    <w:p>
      <w:pPr>
        <w:pStyle w:val="Normal"/>
        <w:rPr/>
      </w:pPr>
      <w:r>
        <w:rPr>
          <w:color w:val="172236"/>
          <w:sz w:val="19"/>
        </w:rPr>
        <w:t>Exit criteria:</w:t>
      </w:r>
    </w:p>
    <w:p>
      <w:pPr>
        <w:pStyle w:val="ListBullet"/>
        <w:numPr>
          <w:ilvl w:val="0"/>
          <w:numId w:val="1"/>
        </w:numPr>
        <w:rPr/>
      </w:pPr>
      <w:r>
        <w:rPr>
          <w:color w:val="172236"/>
          <w:sz w:val="18"/>
        </w:rPr>
        <w:t>Desktop app starts reliably on Windows.</w:t>
      </w:r>
    </w:p>
    <w:p>
      <w:pPr>
        <w:pStyle w:val="ListBullet"/>
        <w:numPr>
          <w:ilvl w:val="0"/>
          <w:numId w:val="1"/>
        </w:numPr>
        <w:rPr/>
      </w:pPr>
      <w:r>
        <w:rPr>
          <w:color w:val="172236"/>
          <w:sz w:val="18"/>
        </w:rPr>
        <w:t>CoinGecko data is cached, validated, and provenance-marked.</w:t>
      </w:r>
    </w:p>
    <w:p>
      <w:pPr>
        <w:pStyle w:val="ListBullet"/>
        <w:numPr>
          <w:ilvl w:val="0"/>
          <w:numId w:val="1"/>
        </w:numPr>
        <w:rPr/>
      </w:pPr>
      <w:r>
        <w:rPr>
          <w:color w:val="172236"/>
          <w:sz w:val="18"/>
        </w:rPr>
        <w:t>No API key reaches the frontend.</w:t>
      </w:r>
    </w:p>
    <w:p>
      <w:pPr>
        <w:pStyle w:val="ListBullet"/>
        <w:numPr>
          <w:ilvl w:val="0"/>
          <w:numId w:val="1"/>
        </w:numPr>
        <w:rPr/>
      </w:pPr>
      <w:r>
        <w:rPr>
          <w:color w:val="172236"/>
          <w:sz w:val="18"/>
        </w:rPr>
        <w:t>Core contracts have tests.</w:t>
      </w:r>
    </w:p>
    <w:p>
      <w:pPr>
        <w:pStyle w:val="ListBullet"/>
        <w:numPr>
          <w:ilvl w:val="0"/>
          <w:numId w:val="1"/>
        </w:numPr>
        <w:rPr/>
      </w:pPr>
      <w:r>
        <w:rPr>
          <w:color w:val="172236"/>
          <w:sz w:val="18"/>
        </w:rPr>
        <w:t>UI meets initial performance and accessibility budgets.</w:t>
      </w:r>
    </w:p>
    <w:p>
      <w:pPr>
        <w:pStyle w:val="Heading2"/>
        <w:pBdr>
          <w:left w:val="single" w:sz="14" w:space="4" w:color="8B5CF6"/>
        </w:pBdr>
        <w:rPr/>
      </w:pPr>
      <w:bookmarkStart w:id="218" w:name="__RefHeading___Toc7156_2150751134"/>
      <w:bookmarkEnd w:id="218"/>
      <w:r>
        <w:rPr>
          <w:rFonts w:ascii="Lato" w:hAnsi="Lato"/>
          <w:color w:val="172236"/>
          <w:sz w:val="29"/>
        </w:rPr>
        <w:t>Phase 1 — Crypto Intelligence MVP</w:t>
      </w:r>
    </w:p>
    <w:p>
      <w:pPr>
        <w:pStyle w:val="Normal"/>
        <w:rPr/>
      </w:pPr>
      <w:r>
        <w:rPr>
          <w:b/>
          <w:color w:val="172236"/>
          <w:sz w:val="19"/>
        </w:rPr>
        <w:t>Objective:</w:t>
      </w:r>
      <w:r>
        <w:rPr>
          <w:color w:val="172236"/>
          <w:sz w:val="19"/>
        </w:rPr>
        <w:t xml:space="preserve"> Deliver a polished crypto research terminal using CoinGecko.</w:t>
      </w:r>
    </w:p>
    <w:p>
      <w:pPr>
        <w:pStyle w:val="Normal"/>
        <w:rPr/>
      </w:pPr>
      <w:r>
        <w:rPr>
          <w:color w:val="172236"/>
          <w:sz w:val="19"/>
        </w:rPr>
        <w:t>Deliverables:</w:t>
      </w:r>
    </w:p>
    <w:p>
      <w:pPr>
        <w:pStyle w:val="ListBullet"/>
        <w:numPr>
          <w:ilvl w:val="0"/>
          <w:numId w:val="1"/>
        </w:numPr>
        <w:rPr/>
      </w:pPr>
      <w:r>
        <w:rPr>
          <w:color w:val="172236"/>
          <w:sz w:val="18"/>
        </w:rPr>
        <w:t>Global market dashboard.</w:t>
      </w:r>
    </w:p>
    <w:p>
      <w:pPr>
        <w:pStyle w:val="ListBullet"/>
        <w:numPr>
          <w:ilvl w:val="0"/>
          <w:numId w:val="1"/>
        </w:numPr>
        <w:rPr/>
      </w:pPr>
      <w:r>
        <w:rPr>
          <w:color w:val="172236"/>
          <w:sz w:val="18"/>
        </w:rPr>
        <w:t>Watchlists.</w:t>
      </w:r>
    </w:p>
    <w:p>
      <w:pPr>
        <w:pStyle w:val="ListBullet"/>
        <w:numPr>
          <w:ilvl w:val="0"/>
          <w:numId w:val="1"/>
        </w:numPr>
        <w:rPr/>
      </w:pPr>
      <w:r>
        <w:rPr>
          <w:color w:val="172236"/>
          <w:sz w:val="18"/>
        </w:rPr>
        <w:t>Asset profiles.</w:t>
      </w:r>
    </w:p>
    <w:p>
      <w:pPr>
        <w:pStyle w:val="ListBullet"/>
        <w:numPr>
          <w:ilvl w:val="0"/>
          <w:numId w:val="1"/>
        </w:numPr>
        <w:rPr/>
      </w:pPr>
      <w:r>
        <w:rPr>
          <w:color w:val="172236"/>
          <w:sz w:val="18"/>
        </w:rPr>
        <w:t>Categories.</w:t>
      </w:r>
    </w:p>
    <w:p>
      <w:pPr>
        <w:pStyle w:val="ListBullet"/>
        <w:numPr>
          <w:ilvl w:val="0"/>
          <w:numId w:val="1"/>
        </w:numPr>
        <w:rPr/>
      </w:pPr>
      <w:r>
        <w:rPr>
          <w:color w:val="172236"/>
          <w:sz w:val="18"/>
        </w:rPr>
        <w:t>Trending.</w:t>
      </w:r>
    </w:p>
    <w:p>
      <w:pPr>
        <w:pStyle w:val="ListBullet"/>
        <w:numPr>
          <w:ilvl w:val="0"/>
          <w:numId w:val="1"/>
        </w:numPr>
        <w:rPr/>
      </w:pPr>
      <w:r>
        <w:rPr>
          <w:color w:val="172236"/>
          <w:sz w:val="18"/>
        </w:rPr>
        <w:t>Exchanges.</w:t>
      </w:r>
    </w:p>
    <w:p>
      <w:pPr>
        <w:pStyle w:val="ListBullet"/>
        <w:numPr>
          <w:ilvl w:val="0"/>
          <w:numId w:val="1"/>
        </w:numPr>
        <w:rPr/>
      </w:pPr>
      <w:r>
        <w:rPr>
          <w:color w:val="172236"/>
          <w:sz w:val="18"/>
        </w:rPr>
        <w:t>Historical OHLC/market chart.</w:t>
      </w:r>
    </w:p>
    <w:p>
      <w:pPr>
        <w:pStyle w:val="ListBullet"/>
        <w:numPr>
          <w:ilvl w:val="0"/>
          <w:numId w:val="1"/>
        </w:numPr>
        <w:rPr/>
      </w:pPr>
      <w:r>
        <w:rPr>
          <w:color w:val="172236"/>
          <w:sz w:val="18"/>
        </w:rPr>
        <w:t>Market scanner.</w:t>
      </w:r>
    </w:p>
    <w:p>
      <w:pPr>
        <w:pStyle w:val="ListBullet"/>
        <w:numPr>
          <w:ilvl w:val="0"/>
          <w:numId w:val="1"/>
        </w:numPr>
        <w:rPr/>
      </w:pPr>
      <w:r>
        <w:rPr>
          <w:color w:val="172236"/>
          <w:sz w:val="18"/>
        </w:rPr>
        <w:t>Alerts.</w:t>
      </w:r>
    </w:p>
    <w:p>
      <w:pPr>
        <w:pStyle w:val="ListBullet"/>
        <w:numPr>
          <w:ilvl w:val="0"/>
          <w:numId w:val="1"/>
        </w:numPr>
        <w:rPr/>
      </w:pPr>
      <w:r>
        <w:rPr>
          <w:color w:val="172236"/>
          <w:sz w:val="18"/>
        </w:rPr>
        <w:t>Portfolio tracking.</w:t>
      </w:r>
    </w:p>
    <w:p>
      <w:pPr>
        <w:pStyle w:val="ListBullet"/>
        <w:numPr>
          <w:ilvl w:val="0"/>
          <w:numId w:val="1"/>
        </w:numPr>
        <w:rPr/>
      </w:pPr>
      <w:r>
        <w:rPr>
          <w:color w:val="172236"/>
          <w:sz w:val="18"/>
        </w:rPr>
        <w:t>Correlation and volatility.</w:t>
      </w:r>
    </w:p>
    <w:p>
      <w:pPr>
        <w:pStyle w:val="ListBullet"/>
        <w:numPr>
          <w:ilvl w:val="0"/>
          <w:numId w:val="1"/>
        </w:numPr>
        <w:rPr/>
      </w:pPr>
      <w:r>
        <w:rPr>
          <w:color w:val="172236"/>
          <w:sz w:val="18"/>
        </w:rPr>
        <w:t>Crypto news where plan permits.</w:t>
      </w:r>
    </w:p>
    <w:p>
      <w:pPr>
        <w:pStyle w:val="ListBullet"/>
        <w:numPr>
          <w:ilvl w:val="0"/>
          <w:numId w:val="1"/>
        </w:numPr>
        <w:rPr/>
      </w:pPr>
      <w:r>
        <w:rPr>
          <w:color w:val="172236"/>
          <w:sz w:val="18"/>
        </w:rPr>
        <w:t>Local-first workspaces.</w:t>
      </w:r>
    </w:p>
    <w:p>
      <w:pPr>
        <w:pStyle w:val="ListBullet"/>
        <w:numPr>
          <w:ilvl w:val="0"/>
          <w:numId w:val="1"/>
        </w:numPr>
        <w:rPr/>
      </w:pPr>
      <w:r>
        <w:rPr>
          <w:color w:val="172236"/>
          <w:sz w:val="18"/>
        </w:rPr>
        <w:t>Data-quality inspector.</w:t>
      </w:r>
    </w:p>
    <w:p>
      <w:pPr>
        <w:pStyle w:val="ListBullet"/>
        <w:numPr>
          <w:ilvl w:val="0"/>
          <w:numId w:val="1"/>
        </w:numPr>
        <w:rPr/>
      </w:pPr>
      <w:r>
        <w:rPr>
          <w:color w:val="172236"/>
          <w:sz w:val="18"/>
        </w:rPr>
        <w:t>Export to CSV/Parquet.</w:t>
      </w:r>
    </w:p>
    <w:p>
      <w:pPr>
        <w:pStyle w:val="ListBullet"/>
        <w:numPr>
          <w:ilvl w:val="0"/>
          <w:numId w:val="1"/>
        </w:numPr>
        <w:rPr/>
      </w:pPr>
      <w:r>
        <w:rPr>
          <w:color w:val="172236"/>
          <w:sz w:val="18"/>
        </w:rPr>
        <w:t>AI read-only crypto analyst.</w:t>
      </w:r>
    </w:p>
    <w:p>
      <w:pPr>
        <w:pStyle w:val="Normal"/>
        <w:rPr/>
      </w:pPr>
      <w:r>
        <w:rPr>
          <w:color w:val="172236"/>
          <w:sz w:val="19"/>
        </w:rPr>
        <w:t>Advanced additions:</w:t>
      </w:r>
    </w:p>
    <w:p>
      <w:pPr>
        <w:pStyle w:val="ListBullet"/>
        <w:numPr>
          <w:ilvl w:val="0"/>
          <w:numId w:val="1"/>
        </w:numPr>
        <w:rPr/>
      </w:pPr>
      <w:r>
        <w:rPr>
          <w:color w:val="172236"/>
          <w:sz w:val="18"/>
        </w:rPr>
        <w:t>Narrative rotation map.</w:t>
      </w:r>
    </w:p>
    <w:p>
      <w:pPr>
        <w:pStyle w:val="ListBullet"/>
        <w:numPr>
          <w:ilvl w:val="0"/>
          <w:numId w:val="1"/>
        </w:numPr>
        <w:rPr/>
      </w:pPr>
      <w:r>
        <w:rPr>
          <w:color w:val="172236"/>
          <w:sz w:val="18"/>
        </w:rPr>
        <w:t>Category breadth.</w:t>
      </w:r>
    </w:p>
    <w:p>
      <w:pPr>
        <w:pStyle w:val="ListBullet"/>
        <w:numPr>
          <w:ilvl w:val="0"/>
          <w:numId w:val="1"/>
        </w:numPr>
        <w:rPr/>
      </w:pPr>
      <w:r>
        <w:rPr>
          <w:color w:val="172236"/>
          <w:sz w:val="18"/>
        </w:rPr>
        <w:t>Liquidity-risk scoring.</w:t>
      </w:r>
    </w:p>
    <w:p>
      <w:pPr>
        <w:pStyle w:val="ListBullet"/>
        <w:numPr>
          <w:ilvl w:val="0"/>
          <w:numId w:val="1"/>
        </w:numPr>
        <w:rPr/>
      </w:pPr>
      <w:r>
        <w:rPr>
          <w:color w:val="172236"/>
          <w:sz w:val="18"/>
        </w:rPr>
        <w:t>Regime classifier.</w:t>
      </w:r>
    </w:p>
    <w:p>
      <w:pPr>
        <w:pStyle w:val="ListBullet"/>
        <w:numPr>
          <w:ilvl w:val="0"/>
          <w:numId w:val="1"/>
        </w:numPr>
        <w:rPr/>
      </w:pPr>
      <w:r>
        <w:rPr>
          <w:color w:val="172236"/>
          <w:sz w:val="18"/>
        </w:rPr>
        <w:t>Historical analogs.</w:t>
      </w:r>
    </w:p>
    <w:p>
      <w:pPr>
        <w:pStyle w:val="Normal"/>
        <w:rPr/>
      </w:pPr>
      <w:r>
        <w:rPr>
          <w:color w:val="172236"/>
          <w:sz w:val="19"/>
        </w:rPr>
        <w:t>Exit criteria:</w:t>
      </w:r>
    </w:p>
    <w:p>
      <w:pPr>
        <w:pStyle w:val="ListBullet"/>
        <w:numPr>
          <w:ilvl w:val="0"/>
          <w:numId w:val="1"/>
        </w:numPr>
        <w:rPr/>
      </w:pPr>
      <w:r>
        <w:rPr>
          <w:color w:val="172236"/>
          <w:sz w:val="18"/>
        </w:rPr>
        <w:t>Product is genuinely useful without equity/options features.</w:t>
      </w:r>
    </w:p>
    <w:p>
      <w:pPr>
        <w:pStyle w:val="ListBullet"/>
        <w:numPr>
          <w:ilvl w:val="0"/>
          <w:numId w:val="1"/>
        </w:numPr>
        <w:rPr/>
      </w:pPr>
      <w:r>
        <w:rPr>
          <w:color w:val="172236"/>
          <w:sz w:val="18"/>
        </w:rPr>
        <w:t>Rate limits and cache operate under realistic load.</w:t>
      </w:r>
    </w:p>
    <w:p>
      <w:pPr>
        <w:pStyle w:val="ListBullet"/>
        <w:numPr>
          <w:ilvl w:val="0"/>
          <w:numId w:val="1"/>
        </w:numPr>
        <w:rPr/>
      </w:pPr>
      <w:r>
        <w:rPr>
          <w:color w:val="172236"/>
          <w:sz w:val="18"/>
        </w:rPr>
        <w:t>AI answers show sources, freshness, and uncertainty.</w:t>
      </w:r>
    </w:p>
    <w:p>
      <w:pPr>
        <w:pStyle w:val="ListBullet"/>
        <w:numPr>
          <w:ilvl w:val="0"/>
          <w:numId w:val="1"/>
        </w:numPr>
        <w:rPr/>
      </w:pPr>
      <w:r>
        <w:rPr>
          <w:color w:val="172236"/>
          <w:sz w:val="18"/>
        </w:rPr>
        <w:t>Offline workspace remains functional with cached data.</w:t>
      </w:r>
    </w:p>
    <w:p>
      <w:pPr>
        <w:pStyle w:val="Heading2"/>
        <w:pBdr>
          <w:left w:val="single" w:sz="14" w:space="4" w:color="8B5CF6"/>
        </w:pBdr>
        <w:rPr/>
      </w:pPr>
      <w:bookmarkStart w:id="219" w:name="__RefHeading___Toc7158_2150751134"/>
      <w:bookmarkEnd w:id="219"/>
      <w:r>
        <w:rPr>
          <w:rFonts w:ascii="Lato" w:hAnsi="Lato"/>
          <w:color w:val="172236"/>
          <w:sz w:val="29"/>
        </w:rPr>
        <w:t>Phase 2 — U.S. Equity, Filing, and Macro Foundation</w:t>
      </w:r>
    </w:p>
    <w:p>
      <w:pPr>
        <w:pStyle w:val="Normal"/>
        <w:rPr/>
      </w:pPr>
      <w:r>
        <w:rPr>
          <w:b/>
          <w:color w:val="172236"/>
          <w:sz w:val="19"/>
        </w:rPr>
        <w:t>Objective:</w:t>
      </w:r>
      <w:r>
        <w:rPr>
          <w:color w:val="172236"/>
          <w:sz w:val="19"/>
        </w:rPr>
        <w:t xml:space="preserve"> Add the context needed for institutional and event-driven research.</w:t>
      </w:r>
    </w:p>
    <w:p>
      <w:pPr>
        <w:pStyle w:val="Normal"/>
        <w:rPr/>
      </w:pPr>
      <w:r>
        <w:rPr>
          <w:color w:val="172236"/>
          <w:sz w:val="19"/>
        </w:rPr>
        <w:t>Deliverables:</w:t>
      </w:r>
    </w:p>
    <w:p>
      <w:pPr>
        <w:pStyle w:val="ListBullet"/>
        <w:numPr>
          <w:ilvl w:val="0"/>
          <w:numId w:val="1"/>
        </w:numPr>
        <w:rPr/>
      </w:pPr>
      <w:r>
        <w:rPr>
          <w:color w:val="172236"/>
          <w:sz w:val="18"/>
        </w:rPr>
        <w:t>Equity instrument registry.</w:t>
      </w:r>
    </w:p>
    <w:p>
      <w:pPr>
        <w:pStyle w:val="ListBullet"/>
        <w:numPr>
          <w:ilvl w:val="0"/>
          <w:numId w:val="1"/>
        </w:numPr>
        <w:rPr/>
      </w:pPr>
      <w:r>
        <w:rPr>
          <w:color w:val="172236"/>
          <w:sz w:val="18"/>
        </w:rPr>
        <w:t>SEC EDGAR ingestion.</w:t>
      </w:r>
    </w:p>
    <w:p>
      <w:pPr>
        <w:pStyle w:val="ListBullet"/>
        <w:numPr>
          <w:ilvl w:val="0"/>
          <w:numId w:val="1"/>
        </w:numPr>
        <w:rPr/>
      </w:pPr>
      <w:r>
        <w:rPr>
          <w:color w:val="172236"/>
          <w:sz w:val="18"/>
        </w:rPr>
        <w:t>Company filings.</w:t>
      </w:r>
    </w:p>
    <w:p>
      <w:pPr>
        <w:pStyle w:val="ListBullet"/>
        <w:numPr>
          <w:ilvl w:val="0"/>
          <w:numId w:val="1"/>
        </w:numPr>
        <w:rPr/>
      </w:pPr>
      <w:r>
        <w:rPr>
          <w:color w:val="172236"/>
          <w:sz w:val="18"/>
        </w:rPr>
        <w:t>8-K event extraction.</w:t>
      </w:r>
    </w:p>
    <w:p>
      <w:pPr>
        <w:pStyle w:val="ListBullet"/>
        <w:numPr>
          <w:ilvl w:val="0"/>
          <w:numId w:val="1"/>
        </w:numPr>
        <w:rPr/>
      </w:pPr>
      <w:r>
        <w:rPr>
          <w:color w:val="172236"/>
          <w:sz w:val="18"/>
        </w:rPr>
        <w:t>13F holdings.</w:t>
      </w:r>
    </w:p>
    <w:p>
      <w:pPr>
        <w:pStyle w:val="ListBullet"/>
        <w:numPr>
          <w:ilvl w:val="0"/>
          <w:numId w:val="1"/>
        </w:numPr>
        <w:rPr/>
      </w:pPr>
      <w:r>
        <w:rPr>
          <w:color w:val="172236"/>
          <w:sz w:val="18"/>
        </w:rPr>
        <w:t>13D/13G.</w:t>
      </w:r>
    </w:p>
    <w:p>
      <w:pPr>
        <w:pStyle w:val="ListBullet"/>
        <w:numPr>
          <w:ilvl w:val="0"/>
          <w:numId w:val="1"/>
        </w:numPr>
        <w:rPr/>
      </w:pPr>
      <w:r>
        <w:rPr>
          <w:color w:val="172236"/>
          <w:sz w:val="18"/>
        </w:rPr>
        <w:t>Form 4.</w:t>
      </w:r>
    </w:p>
    <w:p>
      <w:pPr>
        <w:pStyle w:val="ListBullet"/>
        <w:numPr>
          <w:ilvl w:val="0"/>
          <w:numId w:val="1"/>
        </w:numPr>
        <w:rPr/>
      </w:pPr>
      <w:r>
        <w:rPr>
          <w:color w:val="172236"/>
          <w:sz w:val="18"/>
        </w:rPr>
        <w:t>CFTC COT.</w:t>
      </w:r>
    </w:p>
    <w:p>
      <w:pPr>
        <w:pStyle w:val="ListBullet"/>
        <w:numPr>
          <w:ilvl w:val="0"/>
          <w:numId w:val="1"/>
        </w:numPr>
        <w:rPr/>
      </w:pPr>
      <w:r>
        <w:rPr>
          <w:color w:val="172236"/>
          <w:sz w:val="18"/>
        </w:rPr>
        <w:t>FRED macro.</w:t>
      </w:r>
    </w:p>
    <w:p>
      <w:pPr>
        <w:pStyle w:val="ListBullet"/>
        <w:numPr>
          <w:ilvl w:val="0"/>
          <w:numId w:val="1"/>
        </w:numPr>
        <w:rPr/>
      </w:pPr>
      <w:r>
        <w:rPr>
          <w:color w:val="172236"/>
          <w:sz w:val="18"/>
        </w:rPr>
        <w:t>Event calendar.</w:t>
      </w:r>
    </w:p>
    <w:p>
      <w:pPr>
        <w:pStyle w:val="ListBullet"/>
        <w:numPr>
          <w:ilvl w:val="0"/>
          <w:numId w:val="1"/>
        </w:numPr>
        <w:rPr/>
      </w:pPr>
      <w:r>
        <w:rPr>
          <w:color w:val="172236"/>
          <w:sz w:val="18"/>
        </w:rPr>
        <w:t>Filing diff and summary.</w:t>
      </w:r>
    </w:p>
    <w:p>
      <w:pPr>
        <w:pStyle w:val="ListBullet"/>
        <w:numPr>
          <w:ilvl w:val="0"/>
          <w:numId w:val="1"/>
        </w:numPr>
        <w:rPr/>
      </w:pPr>
      <w:r>
        <w:rPr>
          <w:color w:val="172236"/>
          <w:sz w:val="18"/>
        </w:rPr>
        <w:t>Institutional graph.</w:t>
      </w:r>
    </w:p>
    <w:p>
      <w:pPr>
        <w:pStyle w:val="ListBullet"/>
        <w:numPr>
          <w:ilvl w:val="0"/>
          <w:numId w:val="1"/>
        </w:numPr>
        <w:rPr/>
      </w:pPr>
      <w:r>
        <w:rPr>
          <w:color w:val="172236"/>
          <w:sz w:val="18"/>
        </w:rPr>
        <w:t>Market regime.</w:t>
      </w:r>
    </w:p>
    <w:p>
      <w:pPr>
        <w:pStyle w:val="ListBullet"/>
        <w:numPr>
          <w:ilvl w:val="0"/>
          <w:numId w:val="1"/>
        </w:numPr>
        <w:rPr/>
      </w:pPr>
      <w:r>
        <w:rPr>
          <w:color w:val="172236"/>
          <w:sz w:val="18"/>
        </w:rPr>
        <w:t>Equity watchlists and scanner.</w:t>
      </w:r>
    </w:p>
    <w:p>
      <w:pPr>
        <w:pStyle w:val="ListBullet"/>
        <w:numPr>
          <w:ilvl w:val="0"/>
          <w:numId w:val="1"/>
        </w:numPr>
        <w:rPr/>
      </w:pPr>
      <w:r>
        <w:rPr>
          <w:color w:val="172236"/>
          <w:sz w:val="18"/>
        </w:rPr>
        <w:t>Licensed quote provider evaluation/integration.</w:t>
      </w:r>
    </w:p>
    <w:p>
      <w:pPr>
        <w:pStyle w:val="Normal"/>
        <w:rPr/>
      </w:pPr>
      <w:r>
        <w:rPr>
          <w:color w:val="172236"/>
          <w:sz w:val="19"/>
        </w:rPr>
        <w:t>Exit criteria:</w:t>
      </w:r>
    </w:p>
    <w:p>
      <w:pPr>
        <w:pStyle w:val="ListBullet"/>
        <w:numPr>
          <w:ilvl w:val="0"/>
          <w:numId w:val="1"/>
        </w:numPr>
        <w:rPr/>
      </w:pPr>
      <w:r>
        <w:rPr>
          <w:color w:val="172236"/>
          <w:sz w:val="18"/>
        </w:rPr>
        <w:t>Filing records are reproducible and linked to originals.</w:t>
      </w:r>
    </w:p>
    <w:p>
      <w:pPr>
        <w:pStyle w:val="ListBullet"/>
        <w:numPr>
          <w:ilvl w:val="0"/>
          <w:numId w:val="1"/>
        </w:numPr>
        <w:rPr/>
      </w:pPr>
      <w:r>
        <w:rPr>
          <w:color w:val="172236"/>
          <w:sz w:val="18"/>
        </w:rPr>
        <w:t>COT timing and limitations are clearly shown.</w:t>
      </w:r>
    </w:p>
    <w:p>
      <w:pPr>
        <w:pStyle w:val="ListBullet"/>
        <w:numPr>
          <w:ilvl w:val="0"/>
          <w:numId w:val="1"/>
        </w:numPr>
        <w:rPr/>
      </w:pPr>
      <w:r>
        <w:rPr>
          <w:color w:val="172236"/>
          <w:sz w:val="18"/>
        </w:rPr>
        <w:t>Event engine supports revisions.</w:t>
      </w:r>
    </w:p>
    <w:p>
      <w:pPr>
        <w:pStyle w:val="ListBullet"/>
        <w:numPr>
          <w:ilvl w:val="0"/>
          <w:numId w:val="1"/>
        </w:numPr>
        <w:rPr/>
      </w:pPr>
      <w:r>
        <w:rPr>
          <w:color w:val="172236"/>
          <w:sz w:val="18"/>
        </w:rPr>
        <w:t>No model uses data before it was publicly available.</w:t>
      </w:r>
    </w:p>
    <w:p>
      <w:pPr>
        <w:pStyle w:val="Heading2"/>
        <w:pBdr>
          <w:left w:val="single" w:sz="14" w:space="4" w:color="8B5CF6"/>
        </w:pBdr>
        <w:rPr/>
      </w:pPr>
      <w:bookmarkStart w:id="220" w:name="__RefHeading___Toc7160_2150751134"/>
      <w:bookmarkEnd w:id="220"/>
      <w:r>
        <w:rPr>
          <w:rFonts w:ascii="Lato" w:hAnsi="Lato"/>
          <w:color w:val="172236"/>
          <w:sz w:val="29"/>
        </w:rPr>
        <w:t>Phase 3 — Options Intelligence MVP</w:t>
      </w:r>
    </w:p>
    <w:p>
      <w:pPr>
        <w:pStyle w:val="Normal"/>
        <w:rPr/>
      </w:pPr>
      <w:r>
        <w:rPr>
          <w:b/>
          <w:color w:val="172236"/>
          <w:sz w:val="19"/>
        </w:rPr>
        <w:t>Objective:</w:t>
      </w:r>
      <w:r>
        <w:rPr>
          <w:color w:val="172236"/>
          <w:sz w:val="19"/>
        </w:rPr>
        <w:t xml:space="preserve"> Establish the primary product wedge.</w:t>
      </w:r>
    </w:p>
    <w:p>
      <w:pPr>
        <w:pStyle w:val="Normal"/>
        <w:rPr/>
      </w:pPr>
      <w:r>
        <w:rPr>
          <w:color w:val="172236"/>
          <w:sz w:val="19"/>
        </w:rPr>
        <w:t>Deliverables:</w:t>
      </w:r>
    </w:p>
    <w:p>
      <w:pPr>
        <w:pStyle w:val="ListBullet"/>
        <w:numPr>
          <w:ilvl w:val="0"/>
          <w:numId w:val="1"/>
        </w:numPr>
        <w:rPr/>
      </w:pPr>
      <w:r>
        <w:rPr>
          <w:color w:val="172236"/>
          <w:sz w:val="18"/>
        </w:rPr>
        <w:t>Unusual Whales integration.</w:t>
      </w:r>
    </w:p>
    <w:p>
      <w:pPr>
        <w:pStyle w:val="ListBullet"/>
        <w:numPr>
          <w:ilvl w:val="0"/>
          <w:numId w:val="1"/>
        </w:numPr>
        <w:rPr/>
      </w:pPr>
      <w:r>
        <w:rPr>
          <w:color w:val="172236"/>
          <w:sz w:val="18"/>
        </w:rPr>
        <w:t>Option chain.</w:t>
      </w:r>
    </w:p>
    <w:p>
      <w:pPr>
        <w:pStyle w:val="ListBullet"/>
        <w:numPr>
          <w:ilvl w:val="0"/>
          <w:numId w:val="1"/>
        </w:numPr>
        <w:rPr/>
      </w:pPr>
      <w:r>
        <w:rPr>
          <w:color w:val="172236"/>
          <w:sz w:val="18"/>
        </w:rPr>
        <w:t>Flow feed.</w:t>
      </w:r>
    </w:p>
    <w:p>
      <w:pPr>
        <w:pStyle w:val="ListBullet"/>
        <w:numPr>
          <w:ilvl w:val="0"/>
          <w:numId w:val="1"/>
        </w:numPr>
        <w:rPr/>
      </w:pPr>
      <w:r>
        <w:rPr>
          <w:color w:val="172236"/>
          <w:sz w:val="18"/>
        </w:rPr>
        <w:t>Sweep/block clustering.</w:t>
      </w:r>
    </w:p>
    <w:p>
      <w:pPr>
        <w:pStyle w:val="ListBullet"/>
        <w:numPr>
          <w:ilvl w:val="0"/>
          <w:numId w:val="1"/>
        </w:numPr>
        <w:rPr/>
      </w:pPr>
      <w:r>
        <w:rPr>
          <w:color w:val="172236"/>
          <w:sz w:val="18"/>
        </w:rPr>
        <w:t>Open interest.</w:t>
      </w:r>
    </w:p>
    <w:p>
      <w:pPr>
        <w:pStyle w:val="ListBullet"/>
        <w:numPr>
          <w:ilvl w:val="0"/>
          <w:numId w:val="1"/>
        </w:numPr>
        <w:rPr/>
      </w:pPr>
      <w:r>
        <w:rPr>
          <w:color w:val="172236"/>
          <w:sz w:val="18"/>
        </w:rPr>
        <w:t>Volatility lab.</w:t>
      </w:r>
    </w:p>
    <w:p>
      <w:pPr>
        <w:pStyle w:val="ListBullet"/>
        <w:numPr>
          <w:ilvl w:val="0"/>
          <w:numId w:val="1"/>
        </w:numPr>
        <w:rPr/>
      </w:pPr>
      <w:r>
        <w:rPr>
          <w:color w:val="172236"/>
          <w:sz w:val="18"/>
        </w:rPr>
        <w:t>Implied move.</w:t>
      </w:r>
    </w:p>
    <w:p>
      <w:pPr>
        <w:pStyle w:val="ListBullet"/>
        <w:numPr>
          <w:ilvl w:val="0"/>
          <w:numId w:val="1"/>
        </w:numPr>
        <w:rPr/>
      </w:pPr>
      <w:r>
        <w:rPr>
          <w:color w:val="172236"/>
          <w:sz w:val="18"/>
        </w:rPr>
        <w:t>Strategy constructor.</w:t>
      </w:r>
    </w:p>
    <w:p>
      <w:pPr>
        <w:pStyle w:val="ListBullet"/>
        <w:numPr>
          <w:ilvl w:val="0"/>
          <w:numId w:val="1"/>
        </w:numPr>
        <w:rPr/>
      </w:pPr>
      <w:r>
        <w:rPr>
          <w:color w:val="172236"/>
          <w:sz w:val="18"/>
        </w:rPr>
        <w:t>Payoff diagrams.</w:t>
      </w:r>
    </w:p>
    <w:p>
      <w:pPr>
        <w:pStyle w:val="ListBullet"/>
        <w:numPr>
          <w:ilvl w:val="0"/>
          <w:numId w:val="1"/>
        </w:numPr>
        <w:rPr/>
      </w:pPr>
      <w:r>
        <w:rPr>
          <w:color w:val="172236"/>
          <w:sz w:val="18"/>
        </w:rPr>
        <w:t>Liquidity score.</w:t>
      </w:r>
    </w:p>
    <w:p>
      <w:pPr>
        <w:pStyle w:val="ListBullet"/>
        <w:numPr>
          <w:ilvl w:val="0"/>
          <w:numId w:val="1"/>
        </w:numPr>
        <w:rPr/>
      </w:pPr>
      <w:r>
        <w:rPr>
          <w:color w:val="172236"/>
          <w:sz w:val="18"/>
        </w:rPr>
        <w:t>Event-aware option ranking.</w:t>
      </w:r>
    </w:p>
    <w:p>
      <w:pPr>
        <w:pStyle w:val="ListBullet"/>
        <w:numPr>
          <w:ilvl w:val="0"/>
          <w:numId w:val="1"/>
        </w:numPr>
        <w:rPr/>
      </w:pPr>
      <w:r>
        <w:rPr>
          <w:color w:val="172236"/>
          <w:sz w:val="18"/>
        </w:rPr>
        <w:t>Opportunity cards.</w:t>
      </w:r>
    </w:p>
    <w:p>
      <w:pPr>
        <w:pStyle w:val="ListBullet"/>
        <w:numPr>
          <w:ilvl w:val="0"/>
          <w:numId w:val="1"/>
        </w:numPr>
        <w:rPr/>
      </w:pPr>
      <w:r>
        <w:rPr>
          <w:color w:val="172236"/>
          <w:sz w:val="18"/>
        </w:rPr>
        <w:t>Alert rules.</w:t>
      </w:r>
    </w:p>
    <w:p>
      <w:pPr>
        <w:pStyle w:val="ListBullet"/>
        <w:numPr>
          <w:ilvl w:val="0"/>
          <w:numId w:val="1"/>
        </w:numPr>
        <w:rPr/>
      </w:pPr>
      <w:r>
        <w:rPr>
          <w:color w:val="172236"/>
          <w:sz w:val="18"/>
        </w:rPr>
        <w:t>Provider entitlement registry.</w:t>
      </w:r>
    </w:p>
    <w:p>
      <w:pPr>
        <w:pStyle w:val="Normal"/>
        <w:rPr/>
      </w:pPr>
      <w:r>
        <w:rPr>
          <w:color w:val="172236"/>
          <w:sz w:val="19"/>
        </w:rPr>
        <w:t>Exit criteria:</w:t>
      </w:r>
    </w:p>
    <w:p>
      <w:pPr>
        <w:pStyle w:val="ListBullet"/>
        <w:numPr>
          <w:ilvl w:val="0"/>
          <w:numId w:val="1"/>
        </w:numPr>
        <w:rPr/>
      </w:pPr>
      <w:r>
        <w:rPr>
          <w:color w:val="172236"/>
          <w:sz w:val="18"/>
        </w:rPr>
        <w:t>Every option opportunity is explainable.</w:t>
      </w:r>
    </w:p>
    <w:p>
      <w:pPr>
        <w:pStyle w:val="ListBullet"/>
        <w:numPr>
          <w:ilvl w:val="0"/>
          <w:numId w:val="1"/>
        </w:numPr>
        <w:rPr/>
      </w:pPr>
      <w:r>
        <w:rPr>
          <w:color w:val="172236"/>
          <w:sz w:val="18"/>
        </w:rPr>
        <w:t>Flow inference is confidence-scored.</w:t>
      </w:r>
    </w:p>
    <w:p>
      <w:pPr>
        <w:pStyle w:val="ListBullet"/>
        <w:numPr>
          <w:ilvl w:val="0"/>
          <w:numId w:val="1"/>
        </w:numPr>
        <w:rPr/>
      </w:pPr>
      <w:r>
        <w:rPr>
          <w:color w:val="172236"/>
          <w:sz w:val="18"/>
        </w:rPr>
        <w:t>Strategy P/L math passes independent golden tests.</w:t>
      </w:r>
    </w:p>
    <w:p>
      <w:pPr>
        <w:pStyle w:val="ListBullet"/>
        <w:numPr>
          <w:ilvl w:val="0"/>
          <w:numId w:val="1"/>
        </w:numPr>
        <w:rPr/>
      </w:pPr>
      <w:r>
        <w:rPr>
          <w:color w:val="172236"/>
          <w:sz w:val="18"/>
        </w:rPr>
        <w:t>Delayed/stale data cannot trigger live workflows.</w:t>
      </w:r>
    </w:p>
    <w:p>
      <w:pPr>
        <w:pStyle w:val="Heading2"/>
        <w:pBdr>
          <w:left w:val="single" w:sz="14" w:space="4" w:color="8B5CF6"/>
        </w:pBdr>
        <w:rPr/>
      </w:pPr>
      <w:bookmarkStart w:id="221" w:name="__RefHeading___Toc7162_2150751134"/>
      <w:bookmarkEnd w:id="221"/>
      <w:r>
        <w:rPr>
          <w:rFonts w:ascii="Lato" w:hAnsi="Lato"/>
          <w:color w:val="172236"/>
          <w:sz w:val="29"/>
        </w:rPr>
        <w:t>Phase 4 — Quant Research and Backtesting</w:t>
      </w:r>
    </w:p>
    <w:p>
      <w:pPr>
        <w:pStyle w:val="Normal"/>
        <w:rPr/>
      </w:pPr>
      <w:r>
        <w:rPr>
          <w:b/>
          <w:color w:val="172236"/>
          <w:sz w:val="19"/>
        </w:rPr>
        <w:t>Objective:</w:t>
      </w:r>
      <w:r>
        <w:rPr>
          <w:color w:val="172236"/>
          <w:sz w:val="19"/>
        </w:rPr>
        <w:t xml:space="preserve"> Allow users to test ideas credibly.</w:t>
      </w:r>
    </w:p>
    <w:p>
      <w:pPr>
        <w:pStyle w:val="Normal"/>
        <w:rPr/>
      </w:pPr>
      <w:r>
        <w:rPr>
          <w:color w:val="172236"/>
          <w:sz w:val="19"/>
        </w:rPr>
        <w:t>Deliverables:</w:t>
      </w:r>
    </w:p>
    <w:p>
      <w:pPr>
        <w:pStyle w:val="ListBullet"/>
        <w:numPr>
          <w:ilvl w:val="0"/>
          <w:numId w:val="1"/>
        </w:numPr>
        <w:rPr/>
      </w:pPr>
      <w:r>
        <w:rPr>
          <w:color w:val="172236"/>
          <w:sz w:val="18"/>
        </w:rPr>
        <w:t>Strategy DSL.</w:t>
      </w:r>
    </w:p>
    <w:p>
      <w:pPr>
        <w:pStyle w:val="ListBullet"/>
        <w:numPr>
          <w:ilvl w:val="0"/>
          <w:numId w:val="1"/>
        </w:numPr>
        <w:rPr/>
      </w:pPr>
      <w:r>
        <w:rPr>
          <w:color w:val="172236"/>
          <w:sz w:val="18"/>
        </w:rPr>
        <w:t>Visual strategy builder.</w:t>
      </w:r>
    </w:p>
    <w:p>
      <w:pPr>
        <w:pStyle w:val="ListBullet"/>
        <w:numPr>
          <w:ilvl w:val="0"/>
          <w:numId w:val="1"/>
        </w:numPr>
        <w:rPr/>
      </w:pPr>
      <w:r>
        <w:rPr>
          <w:color w:val="172236"/>
          <w:sz w:val="18"/>
        </w:rPr>
        <w:t>Dataset snapshots.</w:t>
      </w:r>
    </w:p>
    <w:p>
      <w:pPr>
        <w:pStyle w:val="ListBullet"/>
        <w:numPr>
          <w:ilvl w:val="0"/>
          <w:numId w:val="1"/>
        </w:numPr>
        <w:rPr/>
      </w:pPr>
      <w:r>
        <w:rPr>
          <w:color w:val="172236"/>
          <w:sz w:val="18"/>
        </w:rPr>
        <w:t>Backtest engine.</w:t>
      </w:r>
    </w:p>
    <w:p>
      <w:pPr>
        <w:pStyle w:val="ListBullet"/>
        <w:numPr>
          <w:ilvl w:val="0"/>
          <w:numId w:val="1"/>
        </w:numPr>
        <w:rPr/>
      </w:pPr>
      <w:r>
        <w:rPr>
          <w:color w:val="172236"/>
          <w:sz w:val="18"/>
        </w:rPr>
        <w:t>Execution simulation.</w:t>
      </w:r>
    </w:p>
    <w:p>
      <w:pPr>
        <w:pStyle w:val="ListBullet"/>
        <w:numPr>
          <w:ilvl w:val="0"/>
          <w:numId w:val="1"/>
        </w:numPr>
        <w:rPr/>
      </w:pPr>
      <w:r>
        <w:rPr>
          <w:color w:val="172236"/>
          <w:sz w:val="18"/>
        </w:rPr>
        <w:t>Walk-forward validation.</w:t>
      </w:r>
    </w:p>
    <w:p>
      <w:pPr>
        <w:pStyle w:val="ListBullet"/>
        <w:numPr>
          <w:ilvl w:val="0"/>
          <w:numId w:val="1"/>
        </w:numPr>
        <w:rPr/>
      </w:pPr>
      <w:r>
        <w:rPr>
          <w:color w:val="172236"/>
          <w:sz w:val="18"/>
        </w:rPr>
        <w:t>Parameter analysis.</w:t>
      </w:r>
    </w:p>
    <w:p>
      <w:pPr>
        <w:pStyle w:val="ListBullet"/>
        <w:numPr>
          <w:ilvl w:val="0"/>
          <w:numId w:val="1"/>
        </w:numPr>
        <w:rPr/>
      </w:pPr>
      <w:r>
        <w:rPr>
          <w:color w:val="172236"/>
          <w:sz w:val="18"/>
        </w:rPr>
        <w:t>Regime testing.</w:t>
      </w:r>
    </w:p>
    <w:p>
      <w:pPr>
        <w:pStyle w:val="ListBullet"/>
        <w:numPr>
          <w:ilvl w:val="0"/>
          <w:numId w:val="1"/>
        </w:numPr>
        <w:rPr/>
      </w:pPr>
      <w:r>
        <w:rPr>
          <w:color w:val="172236"/>
          <w:sz w:val="18"/>
        </w:rPr>
        <w:t>Reproducibility manifests.</w:t>
      </w:r>
    </w:p>
    <w:p>
      <w:pPr>
        <w:pStyle w:val="ListBullet"/>
        <w:numPr>
          <w:ilvl w:val="0"/>
          <w:numId w:val="1"/>
        </w:numPr>
        <w:rPr/>
      </w:pPr>
      <w:r>
        <w:rPr>
          <w:color w:val="172236"/>
          <w:sz w:val="18"/>
        </w:rPr>
        <w:t>Python research bridge.</w:t>
      </w:r>
    </w:p>
    <w:p>
      <w:pPr>
        <w:pStyle w:val="ListBullet"/>
        <w:numPr>
          <w:ilvl w:val="0"/>
          <w:numId w:val="1"/>
        </w:numPr>
        <w:rPr/>
      </w:pPr>
      <w:r>
        <w:rPr>
          <w:color w:val="172236"/>
          <w:sz w:val="18"/>
        </w:rPr>
        <w:t>Rust production strategy SDK.</w:t>
      </w:r>
    </w:p>
    <w:p>
      <w:pPr>
        <w:pStyle w:val="ListBullet"/>
        <w:numPr>
          <w:ilvl w:val="0"/>
          <w:numId w:val="1"/>
        </w:numPr>
        <w:rPr/>
      </w:pPr>
      <w:r>
        <w:rPr>
          <w:color w:val="172236"/>
          <w:sz w:val="18"/>
        </w:rPr>
        <w:t>Research report generator.</w:t>
      </w:r>
    </w:p>
    <w:p>
      <w:pPr>
        <w:pStyle w:val="Normal"/>
        <w:rPr/>
      </w:pPr>
      <w:r>
        <w:rPr>
          <w:color w:val="172236"/>
          <w:sz w:val="19"/>
        </w:rPr>
        <w:t>Exit criteria:</w:t>
      </w:r>
    </w:p>
    <w:p>
      <w:pPr>
        <w:pStyle w:val="ListBullet"/>
        <w:numPr>
          <w:ilvl w:val="0"/>
          <w:numId w:val="1"/>
        </w:numPr>
        <w:rPr/>
      </w:pPr>
      <w:r>
        <w:rPr>
          <w:color w:val="172236"/>
          <w:sz w:val="18"/>
        </w:rPr>
        <w:t>Bias and leakage test suite passes.</w:t>
      </w:r>
    </w:p>
    <w:p>
      <w:pPr>
        <w:pStyle w:val="ListBullet"/>
        <w:numPr>
          <w:ilvl w:val="0"/>
          <w:numId w:val="1"/>
        </w:numPr>
        <w:rPr/>
      </w:pPr>
      <w:r>
        <w:rPr>
          <w:color w:val="172236"/>
          <w:sz w:val="18"/>
        </w:rPr>
        <w:t>Results reproduce from manifest.</w:t>
      </w:r>
    </w:p>
    <w:p>
      <w:pPr>
        <w:pStyle w:val="ListBullet"/>
        <w:numPr>
          <w:ilvl w:val="0"/>
          <w:numId w:val="1"/>
        </w:numPr>
        <w:rPr/>
      </w:pPr>
      <w:r>
        <w:rPr>
          <w:color w:val="172236"/>
          <w:sz w:val="18"/>
        </w:rPr>
        <w:t>Corporate actions and event timestamps are handled.</w:t>
      </w:r>
    </w:p>
    <w:p>
      <w:pPr>
        <w:pStyle w:val="ListBullet"/>
        <w:numPr>
          <w:ilvl w:val="0"/>
          <w:numId w:val="1"/>
        </w:numPr>
        <w:rPr/>
      </w:pPr>
      <w:r>
        <w:rPr>
          <w:color w:val="172236"/>
          <w:sz w:val="18"/>
        </w:rPr>
        <w:t>Baseline performance is competitive for target workloads.</w:t>
      </w:r>
    </w:p>
    <w:p>
      <w:pPr>
        <w:pStyle w:val="Heading2"/>
        <w:pBdr>
          <w:left w:val="single" w:sz="14" w:space="4" w:color="8B5CF6"/>
        </w:pBdr>
        <w:rPr/>
      </w:pPr>
      <w:bookmarkStart w:id="222" w:name="__RefHeading___Toc7164_2150751134"/>
      <w:bookmarkEnd w:id="222"/>
      <w:r>
        <w:rPr>
          <w:rFonts w:ascii="Lato" w:hAnsi="Lato"/>
          <w:color w:val="172236"/>
          <w:sz w:val="29"/>
        </w:rPr>
        <w:t>Phase 5 — Monte Carlo and Predictive Intelligence</w:t>
      </w:r>
    </w:p>
    <w:p>
      <w:pPr>
        <w:pStyle w:val="Normal"/>
        <w:rPr/>
      </w:pPr>
      <w:r>
        <w:rPr>
          <w:b/>
          <w:color w:val="172236"/>
          <w:sz w:val="19"/>
        </w:rPr>
        <w:t>Objective:</w:t>
      </w:r>
      <w:r>
        <w:rPr>
          <w:color w:val="172236"/>
          <w:sz w:val="19"/>
        </w:rPr>
        <w:t xml:space="preserve"> Quantify uncertainty and rank opportunities probabilistically.</w:t>
      </w:r>
    </w:p>
    <w:p>
      <w:pPr>
        <w:pStyle w:val="Normal"/>
        <w:rPr/>
      </w:pPr>
      <w:r>
        <w:rPr>
          <w:color w:val="172236"/>
          <w:sz w:val="19"/>
        </w:rPr>
        <w:t>Deliverables:</w:t>
      </w:r>
    </w:p>
    <w:p>
      <w:pPr>
        <w:pStyle w:val="ListBullet"/>
        <w:numPr>
          <w:ilvl w:val="0"/>
          <w:numId w:val="1"/>
        </w:numPr>
        <w:rPr/>
      </w:pPr>
      <w:r>
        <w:rPr>
          <w:color w:val="172236"/>
          <w:sz w:val="18"/>
        </w:rPr>
        <w:t>Monte Carlo lab.</w:t>
      </w:r>
    </w:p>
    <w:p>
      <w:pPr>
        <w:pStyle w:val="ListBullet"/>
        <w:numPr>
          <w:ilvl w:val="0"/>
          <w:numId w:val="1"/>
        </w:numPr>
        <w:rPr/>
      </w:pPr>
      <w:r>
        <w:rPr>
          <w:color w:val="172236"/>
          <w:sz w:val="18"/>
        </w:rPr>
        <w:t>Historical/bootstrap simulation.</w:t>
      </w:r>
    </w:p>
    <w:p>
      <w:pPr>
        <w:pStyle w:val="ListBullet"/>
        <w:numPr>
          <w:ilvl w:val="0"/>
          <w:numId w:val="1"/>
        </w:numPr>
        <w:rPr/>
      </w:pPr>
      <w:r>
        <w:rPr>
          <w:color w:val="172236"/>
          <w:sz w:val="18"/>
        </w:rPr>
        <w:t>Stochastic models.</w:t>
      </w:r>
    </w:p>
    <w:p>
      <w:pPr>
        <w:pStyle w:val="ListBullet"/>
        <w:numPr>
          <w:ilvl w:val="0"/>
          <w:numId w:val="1"/>
        </w:numPr>
        <w:rPr/>
      </w:pPr>
      <w:r>
        <w:rPr>
          <w:color w:val="172236"/>
          <w:sz w:val="18"/>
        </w:rPr>
        <w:t>Portfolio simulations.</w:t>
      </w:r>
    </w:p>
    <w:p>
      <w:pPr>
        <w:pStyle w:val="ListBullet"/>
        <w:numPr>
          <w:ilvl w:val="0"/>
          <w:numId w:val="1"/>
        </w:numPr>
        <w:rPr/>
      </w:pPr>
      <w:r>
        <w:rPr>
          <w:color w:val="172236"/>
          <w:sz w:val="18"/>
        </w:rPr>
        <w:t>Forecast registry.</w:t>
      </w:r>
    </w:p>
    <w:p>
      <w:pPr>
        <w:pStyle w:val="ListBullet"/>
        <w:numPr>
          <w:ilvl w:val="0"/>
          <w:numId w:val="1"/>
        </w:numPr>
        <w:rPr/>
      </w:pPr>
      <w:r>
        <w:rPr>
          <w:color w:val="172236"/>
          <w:sz w:val="18"/>
        </w:rPr>
        <w:t>Model cards.</w:t>
      </w:r>
    </w:p>
    <w:p>
      <w:pPr>
        <w:pStyle w:val="ListBullet"/>
        <w:numPr>
          <w:ilvl w:val="0"/>
          <w:numId w:val="1"/>
        </w:numPr>
        <w:rPr/>
      </w:pPr>
      <w:r>
        <w:rPr>
          <w:color w:val="172236"/>
          <w:sz w:val="18"/>
        </w:rPr>
        <w:t>Calibration.</w:t>
      </w:r>
    </w:p>
    <w:p>
      <w:pPr>
        <w:pStyle w:val="ListBullet"/>
        <w:numPr>
          <w:ilvl w:val="0"/>
          <w:numId w:val="1"/>
        </w:numPr>
        <w:rPr/>
      </w:pPr>
      <w:r>
        <w:rPr>
          <w:color w:val="172236"/>
          <w:sz w:val="18"/>
        </w:rPr>
        <w:t>Drift monitoring.</w:t>
      </w:r>
    </w:p>
    <w:p>
      <w:pPr>
        <w:pStyle w:val="ListBullet"/>
        <w:numPr>
          <w:ilvl w:val="0"/>
          <w:numId w:val="1"/>
        </w:numPr>
        <w:rPr/>
      </w:pPr>
      <w:r>
        <w:rPr>
          <w:color w:val="172236"/>
          <w:sz w:val="18"/>
        </w:rPr>
        <w:t>Explainability.</w:t>
      </w:r>
    </w:p>
    <w:p>
      <w:pPr>
        <w:pStyle w:val="ListBullet"/>
        <w:numPr>
          <w:ilvl w:val="0"/>
          <w:numId w:val="1"/>
        </w:numPr>
        <w:rPr/>
      </w:pPr>
      <w:r>
        <w:rPr>
          <w:color w:val="172236"/>
          <w:sz w:val="18"/>
        </w:rPr>
        <w:t>Opportunity fusion.</w:t>
      </w:r>
    </w:p>
    <w:p>
      <w:pPr>
        <w:pStyle w:val="ListBullet"/>
        <w:numPr>
          <w:ilvl w:val="0"/>
          <w:numId w:val="1"/>
        </w:numPr>
        <w:rPr/>
      </w:pPr>
      <w:r>
        <w:rPr>
          <w:color w:val="172236"/>
          <w:sz w:val="18"/>
        </w:rPr>
        <w:t>Contradiction detection.</w:t>
      </w:r>
    </w:p>
    <w:p>
      <w:pPr>
        <w:pStyle w:val="ListBullet"/>
        <w:numPr>
          <w:ilvl w:val="0"/>
          <w:numId w:val="1"/>
        </w:numPr>
        <w:rPr/>
      </w:pPr>
      <w:r>
        <w:rPr>
          <w:color w:val="172236"/>
          <w:sz w:val="18"/>
        </w:rPr>
        <w:t>Historical analog engine.</w:t>
      </w:r>
    </w:p>
    <w:p>
      <w:pPr>
        <w:pStyle w:val="Normal"/>
        <w:rPr/>
      </w:pPr>
      <w:r>
        <w:rPr>
          <w:color w:val="172236"/>
          <w:sz w:val="19"/>
        </w:rPr>
        <w:t>Exit criteria:</w:t>
      </w:r>
    </w:p>
    <w:p>
      <w:pPr>
        <w:pStyle w:val="ListBullet"/>
        <w:numPr>
          <w:ilvl w:val="0"/>
          <w:numId w:val="1"/>
        </w:numPr>
        <w:rPr/>
      </w:pPr>
      <w:r>
        <w:rPr>
          <w:color w:val="172236"/>
          <w:sz w:val="18"/>
        </w:rPr>
        <w:t>Probabilities are calibrated on held-out data.</w:t>
      </w:r>
    </w:p>
    <w:p>
      <w:pPr>
        <w:pStyle w:val="ListBullet"/>
        <w:numPr>
          <w:ilvl w:val="0"/>
          <w:numId w:val="1"/>
        </w:numPr>
        <w:rPr/>
      </w:pPr>
      <w:r>
        <w:rPr>
          <w:color w:val="172236"/>
          <w:sz w:val="18"/>
        </w:rPr>
        <w:t>Every model has an owner and rollback.</w:t>
      </w:r>
    </w:p>
    <w:p>
      <w:pPr>
        <w:pStyle w:val="ListBullet"/>
        <w:numPr>
          <w:ilvl w:val="0"/>
          <w:numId w:val="1"/>
        </w:numPr>
        <w:rPr/>
      </w:pPr>
      <w:r>
        <w:rPr>
          <w:color w:val="172236"/>
          <w:sz w:val="18"/>
        </w:rPr>
        <w:t>Out-of-domain conditions widen uncertainty or suppress output.</w:t>
      </w:r>
    </w:p>
    <w:p>
      <w:pPr>
        <w:pStyle w:val="ListBullet"/>
        <w:numPr>
          <w:ilvl w:val="0"/>
          <w:numId w:val="1"/>
        </w:numPr>
        <w:rPr/>
      </w:pPr>
      <w:r>
        <w:rPr>
          <w:color w:val="172236"/>
          <w:sz w:val="18"/>
        </w:rPr>
        <w:t>Simulation assumptions are transparent.</w:t>
      </w:r>
    </w:p>
    <w:p>
      <w:pPr>
        <w:pStyle w:val="Heading2"/>
        <w:pBdr>
          <w:left w:val="single" w:sz="14" w:space="4" w:color="8B5CF6"/>
        </w:pBdr>
        <w:rPr/>
      </w:pPr>
      <w:bookmarkStart w:id="223" w:name="__RefHeading___Toc7166_2150751134"/>
      <w:bookmarkEnd w:id="223"/>
      <w:r>
        <w:rPr>
          <w:rFonts w:ascii="Lato" w:hAnsi="Lato"/>
          <w:color w:val="172236"/>
          <w:sz w:val="29"/>
        </w:rPr>
        <w:t>Phase 6 — Portfolio, Journal, and Paper Trading</w:t>
      </w:r>
    </w:p>
    <w:p>
      <w:pPr>
        <w:pStyle w:val="Normal"/>
        <w:rPr/>
      </w:pPr>
      <w:r>
        <w:rPr>
          <w:b/>
          <w:color w:val="172236"/>
          <w:sz w:val="19"/>
        </w:rPr>
        <w:t>Objective:</w:t>
      </w:r>
      <w:r>
        <w:rPr>
          <w:color w:val="172236"/>
          <w:sz w:val="19"/>
        </w:rPr>
        <w:t xml:space="preserve"> Close the learning loop.</w:t>
      </w:r>
    </w:p>
    <w:p>
      <w:pPr>
        <w:pStyle w:val="Normal"/>
        <w:rPr/>
      </w:pPr>
      <w:r>
        <w:rPr>
          <w:color w:val="172236"/>
          <w:sz w:val="19"/>
        </w:rPr>
        <w:t>Deliverables:</w:t>
      </w:r>
    </w:p>
    <w:p>
      <w:pPr>
        <w:pStyle w:val="ListBullet"/>
        <w:numPr>
          <w:ilvl w:val="0"/>
          <w:numId w:val="1"/>
        </w:numPr>
        <w:rPr/>
      </w:pPr>
      <w:r>
        <w:rPr>
          <w:color w:val="172236"/>
          <w:sz w:val="18"/>
        </w:rPr>
        <w:t>Multi-account portfolio.</w:t>
      </w:r>
    </w:p>
    <w:p>
      <w:pPr>
        <w:pStyle w:val="ListBullet"/>
        <w:numPr>
          <w:ilvl w:val="0"/>
          <w:numId w:val="1"/>
        </w:numPr>
        <w:rPr/>
      </w:pPr>
      <w:r>
        <w:rPr>
          <w:color w:val="172236"/>
          <w:sz w:val="18"/>
        </w:rPr>
        <w:t>Position ingestion.</w:t>
      </w:r>
    </w:p>
    <w:p>
      <w:pPr>
        <w:pStyle w:val="ListBullet"/>
        <w:numPr>
          <w:ilvl w:val="0"/>
          <w:numId w:val="1"/>
        </w:numPr>
        <w:rPr/>
      </w:pPr>
      <w:r>
        <w:rPr>
          <w:color w:val="172236"/>
          <w:sz w:val="18"/>
        </w:rPr>
        <w:t>Risk dashboard.</w:t>
      </w:r>
    </w:p>
    <w:p>
      <w:pPr>
        <w:pStyle w:val="ListBullet"/>
        <w:numPr>
          <w:ilvl w:val="0"/>
          <w:numId w:val="1"/>
        </w:numPr>
        <w:rPr/>
      </w:pPr>
      <w:r>
        <w:rPr>
          <w:color w:val="172236"/>
          <w:sz w:val="18"/>
        </w:rPr>
        <w:t>Greeks.</w:t>
      </w:r>
    </w:p>
    <w:p>
      <w:pPr>
        <w:pStyle w:val="ListBullet"/>
        <w:numPr>
          <w:ilvl w:val="0"/>
          <w:numId w:val="1"/>
        </w:numPr>
        <w:rPr/>
      </w:pPr>
      <w:r>
        <w:rPr>
          <w:color w:val="172236"/>
          <w:sz w:val="18"/>
        </w:rPr>
        <w:t>Scenario stress.</w:t>
      </w:r>
    </w:p>
    <w:p>
      <w:pPr>
        <w:pStyle w:val="ListBullet"/>
        <w:numPr>
          <w:ilvl w:val="0"/>
          <w:numId w:val="1"/>
        </w:numPr>
        <w:rPr/>
      </w:pPr>
      <w:r>
        <w:rPr>
          <w:color w:val="172236"/>
          <w:sz w:val="18"/>
        </w:rPr>
        <w:t>Journal.</w:t>
      </w:r>
    </w:p>
    <w:p>
      <w:pPr>
        <w:pStyle w:val="ListBullet"/>
        <w:numPr>
          <w:ilvl w:val="0"/>
          <w:numId w:val="1"/>
        </w:numPr>
        <w:rPr/>
      </w:pPr>
      <w:r>
        <w:rPr>
          <w:color w:val="172236"/>
          <w:sz w:val="18"/>
        </w:rPr>
        <w:t>Automatic context snapshots.</w:t>
      </w:r>
    </w:p>
    <w:p>
      <w:pPr>
        <w:pStyle w:val="ListBullet"/>
        <w:numPr>
          <w:ilvl w:val="0"/>
          <w:numId w:val="1"/>
        </w:numPr>
        <w:rPr/>
      </w:pPr>
      <w:r>
        <w:rPr>
          <w:color w:val="172236"/>
          <w:sz w:val="18"/>
        </w:rPr>
        <w:t>Paper broker.</w:t>
      </w:r>
    </w:p>
    <w:p>
      <w:pPr>
        <w:pStyle w:val="ListBullet"/>
        <w:numPr>
          <w:ilvl w:val="0"/>
          <w:numId w:val="1"/>
        </w:numPr>
        <w:rPr/>
      </w:pPr>
      <w:r>
        <w:rPr>
          <w:color w:val="172236"/>
          <w:sz w:val="18"/>
        </w:rPr>
        <w:t>Simulated fills.</w:t>
      </w:r>
    </w:p>
    <w:p>
      <w:pPr>
        <w:pStyle w:val="ListBullet"/>
        <w:numPr>
          <w:ilvl w:val="0"/>
          <w:numId w:val="1"/>
        </w:numPr>
        <w:rPr/>
      </w:pPr>
      <w:r>
        <w:rPr>
          <w:color w:val="172236"/>
          <w:sz w:val="18"/>
        </w:rPr>
        <w:t>Pre-trade guardrails.</w:t>
      </w:r>
    </w:p>
    <w:p>
      <w:pPr>
        <w:pStyle w:val="ListBullet"/>
        <w:numPr>
          <w:ilvl w:val="0"/>
          <w:numId w:val="1"/>
        </w:numPr>
        <w:rPr/>
      </w:pPr>
      <w:r>
        <w:rPr>
          <w:color w:val="172236"/>
          <w:sz w:val="18"/>
        </w:rPr>
        <w:t>Strategy attribution.</w:t>
      </w:r>
    </w:p>
    <w:p>
      <w:pPr>
        <w:pStyle w:val="ListBullet"/>
        <w:numPr>
          <w:ilvl w:val="0"/>
          <w:numId w:val="1"/>
        </w:numPr>
        <w:rPr/>
      </w:pPr>
      <w:r>
        <w:rPr>
          <w:color w:val="172236"/>
          <w:sz w:val="18"/>
        </w:rPr>
        <w:t>Behavioral pattern analysis.</w:t>
      </w:r>
    </w:p>
    <w:p>
      <w:pPr>
        <w:pStyle w:val="Normal"/>
        <w:rPr/>
      </w:pPr>
      <w:r>
        <w:rPr>
          <w:color w:val="172236"/>
          <w:sz w:val="19"/>
        </w:rPr>
        <w:t>Exit criteria:</w:t>
      </w:r>
    </w:p>
    <w:p>
      <w:pPr>
        <w:pStyle w:val="ListBullet"/>
        <w:numPr>
          <w:ilvl w:val="0"/>
          <w:numId w:val="1"/>
        </w:numPr>
        <w:rPr/>
      </w:pPr>
      <w:r>
        <w:rPr>
          <w:color w:val="172236"/>
          <w:sz w:val="18"/>
        </w:rPr>
        <w:t>Accounting reconciles.</w:t>
      </w:r>
    </w:p>
    <w:p>
      <w:pPr>
        <w:pStyle w:val="ListBullet"/>
        <w:numPr>
          <w:ilvl w:val="0"/>
          <w:numId w:val="1"/>
        </w:numPr>
        <w:rPr/>
      </w:pPr>
      <w:r>
        <w:rPr>
          <w:color w:val="172236"/>
          <w:sz w:val="18"/>
        </w:rPr>
        <w:t>Duplicate events/orders are safe.</w:t>
      </w:r>
    </w:p>
    <w:p>
      <w:pPr>
        <w:pStyle w:val="ListBullet"/>
        <w:numPr>
          <w:ilvl w:val="0"/>
          <w:numId w:val="1"/>
        </w:numPr>
        <w:rPr/>
      </w:pPr>
      <w:r>
        <w:rPr>
          <w:color w:val="172236"/>
          <w:sz w:val="18"/>
        </w:rPr>
        <w:t>Risk limits are enforced in the backend.</w:t>
      </w:r>
    </w:p>
    <w:p>
      <w:pPr>
        <w:pStyle w:val="ListBullet"/>
        <w:numPr>
          <w:ilvl w:val="0"/>
          <w:numId w:val="1"/>
        </w:numPr>
        <w:rPr/>
      </w:pPr>
      <w:r>
        <w:rPr>
          <w:color w:val="172236"/>
          <w:sz w:val="18"/>
        </w:rPr>
        <w:t>Journal can reconstruct the full trade context.</w:t>
      </w:r>
    </w:p>
    <w:p>
      <w:pPr>
        <w:pStyle w:val="Heading2"/>
        <w:pBdr>
          <w:left w:val="single" w:sz="14" w:space="4" w:color="8B5CF6"/>
        </w:pBdr>
        <w:rPr/>
      </w:pPr>
      <w:bookmarkStart w:id="224" w:name="__RefHeading___Toc7168_2150751134"/>
      <w:bookmarkEnd w:id="224"/>
      <w:r>
        <w:rPr>
          <w:rFonts w:ascii="Lato" w:hAnsi="Lato"/>
          <w:color w:val="172236"/>
          <w:sz w:val="29"/>
        </w:rPr>
        <w:t>Phase 7 — Broker/Exchange Connectivity and Controlled Execution</w:t>
      </w:r>
    </w:p>
    <w:p>
      <w:pPr>
        <w:pStyle w:val="Normal"/>
        <w:rPr/>
      </w:pPr>
      <w:r>
        <w:rPr>
          <w:b/>
          <w:color w:val="172236"/>
          <w:sz w:val="19"/>
        </w:rPr>
        <w:t>Objective:</w:t>
      </w:r>
      <w:r>
        <w:rPr>
          <w:color w:val="172236"/>
          <w:sz w:val="19"/>
        </w:rPr>
        <w:t xml:space="preserve"> Add secure, governed execution.</w:t>
      </w:r>
    </w:p>
    <w:p>
      <w:pPr>
        <w:pStyle w:val="Normal"/>
        <w:rPr/>
      </w:pPr>
      <w:r>
        <w:rPr>
          <w:color w:val="172236"/>
          <w:sz w:val="19"/>
        </w:rPr>
        <w:t>Deliverables:</w:t>
      </w:r>
    </w:p>
    <w:p>
      <w:pPr>
        <w:pStyle w:val="ListBullet"/>
        <w:numPr>
          <w:ilvl w:val="0"/>
          <w:numId w:val="1"/>
        </w:numPr>
        <w:rPr/>
      </w:pPr>
      <w:r>
        <w:rPr>
          <w:color w:val="172236"/>
          <w:sz w:val="18"/>
        </w:rPr>
        <w:t>Read-only broker sync.</w:t>
      </w:r>
    </w:p>
    <w:p>
      <w:pPr>
        <w:pStyle w:val="ListBullet"/>
        <w:numPr>
          <w:ilvl w:val="0"/>
          <w:numId w:val="1"/>
        </w:numPr>
        <w:rPr/>
      </w:pPr>
      <w:r>
        <w:rPr>
          <w:color w:val="172236"/>
          <w:sz w:val="18"/>
        </w:rPr>
        <w:t>Draft orders.</w:t>
      </w:r>
    </w:p>
    <w:p>
      <w:pPr>
        <w:pStyle w:val="ListBullet"/>
        <w:numPr>
          <w:ilvl w:val="0"/>
          <w:numId w:val="1"/>
        </w:numPr>
        <w:rPr/>
      </w:pPr>
      <w:r>
        <w:rPr>
          <w:color w:val="172236"/>
          <w:sz w:val="18"/>
        </w:rPr>
        <w:t>User-approved live orders.</w:t>
      </w:r>
    </w:p>
    <w:p>
      <w:pPr>
        <w:pStyle w:val="ListBullet"/>
        <w:numPr>
          <w:ilvl w:val="0"/>
          <w:numId w:val="1"/>
        </w:numPr>
        <w:rPr/>
      </w:pPr>
      <w:r>
        <w:rPr>
          <w:color w:val="172236"/>
          <w:sz w:val="18"/>
        </w:rPr>
        <w:t>Reconciliation.</w:t>
      </w:r>
    </w:p>
    <w:p>
      <w:pPr>
        <w:pStyle w:val="ListBullet"/>
        <w:numPr>
          <w:ilvl w:val="0"/>
          <w:numId w:val="1"/>
        </w:numPr>
        <w:rPr/>
      </w:pPr>
      <w:r>
        <w:rPr>
          <w:color w:val="172236"/>
          <w:sz w:val="18"/>
        </w:rPr>
        <w:t>Partial-fill handling.</w:t>
      </w:r>
    </w:p>
    <w:p>
      <w:pPr>
        <w:pStyle w:val="ListBullet"/>
        <w:numPr>
          <w:ilvl w:val="0"/>
          <w:numId w:val="1"/>
        </w:numPr>
        <w:rPr/>
      </w:pPr>
      <w:r>
        <w:rPr>
          <w:color w:val="172236"/>
          <w:sz w:val="18"/>
        </w:rPr>
        <w:t>Idempotency.</w:t>
      </w:r>
    </w:p>
    <w:p>
      <w:pPr>
        <w:pStyle w:val="ListBullet"/>
        <w:numPr>
          <w:ilvl w:val="0"/>
          <w:numId w:val="1"/>
        </w:numPr>
        <w:rPr/>
      </w:pPr>
      <w:r>
        <w:rPr>
          <w:color w:val="172236"/>
          <w:sz w:val="18"/>
        </w:rPr>
        <w:t>Step-up auth.</w:t>
      </w:r>
    </w:p>
    <w:p>
      <w:pPr>
        <w:pStyle w:val="ListBullet"/>
        <w:numPr>
          <w:ilvl w:val="0"/>
          <w:numId w:val="1"/>
        </w:numPr>
        <w:rPr/>
      </w:pPr>
      <w:r>
        <w:rPr>
          <w:color w:val="172236"/>
          <w:sz w:val="18"/>
        </w:rPr>
        <w:t>Kill switch.</w:t>
      </w:r>
    </w:p>
    <w:p>
      <w:pPr>
        <w:pStyle w:val="ListBullet"/>
        <w:numPr>
          <w:ilvl w:val="0"/>
          <w:numId w:val="1"/>
        </w:numPr>
        <w:rPr/>
      </w:pPr>
      <w:r>
        <w:rPr>
          <w:color w:val="172236"/>
          <w:sz w:val="18"/>
        </w:rPr>
        <w:t>Daily loss limits.</w:t>
      </w:r>
    </w:p>
    <w:p>
      <w:pPr>
        <w:pStyle w:val="ListBullet"/>
        <w:numPr>
          <w:ilvl w:val="0"/>
          <w:numId w:val="1"/>
        </w:numPr>
        <w:rPr/>
      </w:pPr>
      <w:r>
        <w:rPr>
          <w:color w:val="172236"/>
          <w:sz w:val="18"/>
        </w:rPr>
        <w:t>Approval workflow.</w:t>
      </w:r>
    </w:p>
    <w:p>
      <w:pPr>
        <w:pStyle w:val="ListBullet"/>
        <w:numPr>
          <w:ilvl w:val="0"/>
          <w:numId w:val="1"/>
        </w:numPr>
        <w:rPr/>
      </w:pPr>
      <w:r>
        <w:rPr>
          <w:color w:val="172236"/>
          <w:sz w:val="18"/>
        </w:rPr>
        <w:t>Exchange adapter sandbox.</w:t>
      </w:r>
    </w:p>
    <w:p>
      <w:pPr>
        <w:pStyle w:val="ListBullet"/>
        <w:numPr>
          <w:ilvl w:val="0"/>
          <w:numId w:val="1"/>
        </w:numPr>
        <w:rPr/>
      </w:pPr>
      <w:r>
        <w:rPr>
          <w:color w:val="172236"/>
          <w:sz w:val="18"/>
        </w:rPr>
        <w:t>Incident runbooks.</w:t>
      </w:r>
    </w:p>
    <w:p>
      <w:pPr>
        <w:pStyle w:val="Normal"/>
        <w:rPr/>
      </w:pPr>
      <w:r>
        <w:rPr>
          <w:color w:val="172236"/>
          <w:sz w:val="19"/>
        </w:rPr>
        <w:t>Exit criteria:</w:t>
      </w:r>
    </w:p>
    <w:p>
      <w:pPr>
        <w:pStyle w:val="ListBullet"/>
        <w:numPr>
          <w:ilvl w:val="0"/>
          <w:numId w:val="1"/>
        </w:numPr>
        <w:rPr/>
      </w:pPr>
      <w:r>
        <w:rPr>
          <w:color w:val="172236"/>
          <w:sz w:val="18"/>
        </w:rPr>
        <w:t>Independent security review.</w:t>
      </w:r>
    </w:p>
    <w:p>
      <w:pPr>
        <w:pStyle w:val="ListBullet"/>
        <w:numPr>
          <w:ilvl w:val="0"/>
          <w:numId w:val="1"/>
        </w:numPr>
        <w:rPr/>
      </w:pPr>
      <w:r>
        <w:rPr>
          <w:color w:val="172236"/>
          <w:sz w:val="18"/>
        </w:rPr>
        <w:t>Chaos tests for timeout/unknown order state.</w:t>
      </w:r>
    </w:p>
    <w:p>
      <w:pPr>
        <w:pStyle w:val="ListBullet"/>
        <w:numPr>
          <w:ilvl w:val="0"/>
          <w:numId w:val="1"/>
        </w:numPr>
        <w:rPr/>
      </w:pPr>
      <w:r>
        <w:rPr>
          <w:color w:val="172236"/>
          <w:sz w:val="18"/>
        </w:rPr>
        <w:t>Audit completeness.</w:t>
      </w:r>
    </w:p>
    <w:p>
      <w:pPr>
        <w:pStyle w:val="ListBullet"/>
        <w:numPr>
          <w:ilvl w:val="0"/>
          <w:numId w:val="1"/>
        </w:numPr>
        <w:rPr/>
      </w:pPr>
      <w:r>
        <w:rPr>
          <w:color w:val="172236"/>
          <w:sz w:val="18"/>
        </w:rPr>
        <w:t>Emergency disablement tested.</w:t>
      </w:r>
    </w:p>
    <w:p>
      <w:pPr>
        <w:pStyle w:val="ListBullet"/>
        <w:numPr>
          <w:ilvl w:val="0"/>
          <w:numId w:val="1"/>
        </w:numPr>
        <w:rPr/>
      </w:pPr>
      <w:r>
        <w:rPr>
          <w:color w:val="172236"/>
          <w:sz w:val="18"/>
        </w:rPr>
        <w:t>No conversational AI direct-submit path.</w:t>
      </w:r>
    </w:p>
    <w:p>
      <w:pPr>
        <w:pStyle w:val="Heading2"/>
        <w:pBdr>
          <w:left w:val="single" w:sz="14" w:space="4" w:color="8B5CF6"/>
        </w:pBdr>
        <w:rPr/>
      </w:pPr>
      <w:bookmarkStart w:id="225" w:name="__RefHeading___Toc7170_2150751134"/>
      <w:bookmarkEnd w:id="225"/>
      <w:r>
        <w:rPr>
          <w:rFonts w:ascii="Lato" w:hAnsi="Lato"/>
          <w:color w:val="172236"/>
          <w:sz w:val="29"/>
        </w:rPr>
        <w:t>Phase 8 — Enterprise, On-Prem, and Team Collaboration</w:t>
      </w:r>
    </w:p>
    <w:p>
      <w:pPr>
        <w:pStyle w:val="Normal"/>
        <w:rPr/>
      </w:pPr>
      <w:r>
        <w:rPr>
          <w:b/>
          <w:color w:val="172236"/>
          <w:sz w:val="19"/>
        </w:rPr>
        <w:t>Objective:</w:t>
      </w:r>
      <w:r>
        <w:rPr>
          <w:color w:val="172236"/>
          <w:sz w:val="19"/>
        </w:rPr>
        <w:t xml:space="preserve"> Support professional teams.</w:t>
      </w:r>
    </w:p>
    <w:p>
      <w:pPr>
        <w:pStyle w:val="Normal"/>
        <w:rPr/>
      </w:pPr>
      <w:r>
        <w:rPr>
          <w:color w:val="172236"/>
          <w:sz w:val="19"/>
        </w:rPr>
        <w:t>Deliverables:</w:t>
      </w:r>
    </w:p>
    <w:p>
      <w:pPr>
        <w:pStyle w:val="ListBullet"/>
        <w:numPr>
          <w:ilvl w:val="0"/>
          <w:numId w:val="1"/>
        </w:numPr>
        <w:rPr/>
      </w:pPr>
      <w:r>
        <w:rPr>
          <w:color w:val="172236"/>
          <w:sz w:val="18"/>
        </w:rPr>
        <w:t>Organizations.</w:t>
      </w:r>
    </w:p>
    <w:p>
      <w:pPr>
        <w:pStyle w:val="ListBullet"/>
        <w:numPr>
          <w:ilvl w:val="0"/>
          <w:numId w:val="1"/>
        </w:numPr>
        <w:rPr/>
      </w:pPr>
      <w:r>
        <w:rPr>
          <w:color w:val="172236"/>
          <w:sz w:val="18"/>
        </w:rPr>
        <w:t>RBAC/ABAC.</w:t>
      </w:r>
    </w:p>
    <w:p>
      <w:pPr>
        <w:pStyle w:val="ListBullet"/>
        <w:numPr>
          <w:ilvl w:val="0"/>
          <w:numId w:val="1"/>
        </w:numPr>
        <w:rPr/>
      </w:pPr>
      <w:r>
        <w:rPr>
          <w:color w:val="172236"/>
          <w:sz w:val="18"/>
        </w:rPr>
        <w:t>SSO.</w:t>
      </w:r>
    </w:p>
    <w:p>
      <w:pPr>
        <w:pStyle w:val="ListBullet"/>
        <w:numPr>
          <w:ilvl w:val="0"/>
          <w:numId w:val="1"/>
        </w:numPr>
        <w:rPr/>
      </w:pPr>
      <w:r>
        <w:rPr>
          <w:color w:val="172236"/>
          <w:sz w:val="18"/>
        </w:rPr>
        <w:t>Team workspaces.</w:t>
      </w:r>
    </w:p>
    <w:p>
      <w:pPr>
        <w:pStyle w:val="ListBullet"/>
        <w:numPr>
          <w:ilvl w:val="0"/>
          <w:numId w:val="1"/>
        </w:numPr>
        <w:rPr/>
      </w:pPr>
      <w:r>
        <w:rPr>
          <w:color w:val="172236"/>
          <w:sz w:val="18"/>
        </w:rPr>
        <w:t>Review/approval.</w:t>
      </w:r>
    </w:p>
    <w:p>
      <w:pPr>
        <w:pStyle w:val="ListBullet"/>
        <w:numPr>
          <w:ilvl w:val="0"/>
          <w:numId w:val="1"/>
        </w:numPr>
        <w:rPr/>
      </w:pPr>
      <w:r>
        <w:rPr>
          <w:color w:val="172236"/>
          <w:sz w:val="18"/>
        </w:rPr>
        <w:t>Central data services.</w:t>
      </w:r>
    </w:p>
    <w:p>
      <w:pPr>
        <w:pStyle w:val="ListBullet"/>
        <w:numPr>
          <w:ilvl w:val="0"/>
          <w:numId w:val="1"/>
        </w:numPr>
        <w:rPr/>
      </w:pPr>
      <w:r>
        <w:rPr>
          <w:color w:val="172236"/>
          <w:sz w:val="18"/>
        </w:rPr>
        <w:t>On-prem deployment.</w:t>
      </w:r>
    </w:p>
    <w:p>
      <w:pPr>
        <w:pStyle w:val="ListBullet"/>
        <w:numPr>
          <w:ilvl w:val="0"/>
          <w:numId w:val="1"/>
        </w:numPr>
        <w:rPr/>
      </w:pPr>
      <w:r>
        <w:rPr>
          <w:color w:val="172236"/>
          <w:sz w:val="18"/>
        </w:rPr>
        <w:t>HSM/Vault.</w:t>
      </w:r>
    </w:p>
    <w:p>
      <w:pPr>
        <w:pStyle w:val="ListBullet"/>
        <w:numPr>
          <w:ilvl w:val="0"/>
          <w:numId w:val="1"/>
        </w:numPr>
        <w:rPr/>
      </w:pPr>
      <w:r>
        <w:rPr>
          <w:color w:val="172236"/>
          <w:sz w:val="18"/>
        </w:rPr>
        <w:t>SIEM integration.</w:t>
      </w:r>
    </w:p>
    <w:p>
      <w:pPr>
        <w:pStyle w:val="ListBullet"/>
        <w:numPr>
          <w:ilvl w:val="0"/>
          <w:numId w:val="1"/>
        </w:numPr>
        <w:rPr/>
      </w:pPr>
      <w:r>
        <w:rPr>
          <w:color w:val="172236"/>
          <w:sz w:val="18"/>
        </w:rPr>
        <w:t>Retention policy.</w:t>
      </w:r>
    </w:p>
    <w:p>
      <w:pPr>
        <w:pStyle w:val="ListBullet"/>
        <w:numPr>
          <w:ilvl w:val="0"/>
          <w:numId w:val="1"/>
        </w:numPr>
        <w:rPr/>
      </w:pPr>
      <w:r>
        <w:rPr>
          <w:color w:val="172236"/>
          <w:sz w:val="18"/>
        </w:rPr>
        <w:t>Dedicated tenant options.</w:t>
      </w:r>
    </w:p>
    <w:p>
      <w:pPr>
        <w:pStyle w:val="ListBullet"/>
        <w:numPr>
          <w:ilvl w:val="0"/>
          <w:numId w:val="1"/>
        </w:numPr>
        <w:rPr/>
      </w:pPr>
      <w:r>
        <w:rPr>
          <w:color w:val="172236"/>
          <w:sz w:val="18"/>
        </w:rPr>
        <w:t>Compliance exports.</w:t>
      </w:r>
    </w:p>
    <w:p>
      <w:pPr>
        <w:pStyle w:val="ListBullet"/>
        <w:numPr>
          <w:ilvl w:val="0"/>
          <w:numId w:val="1"/>
        </w:numPr>
        <w:rPr/>
      </w:pPr>
      <w:r>
        <w:rPr>
          <w:color w:val="172236"/>
          <w:sz w:val="18"/>
        </w:rPr>
        <w:t>Enterprise support tooling.</w:t>
      </w:r>
    </w:p>
    <w:p>
      <w:pPr>
        <w:pStyle w:val="Heading2"/>
        <w:pBdr>
          <w:left w:val="single" w:sz="14" w:space="4" w:color="8B5CF6"/>
        </w:pBdr>
        <w:rPr/>
      </w:pPr>
      <w:bookmarkStart w:id="226" w:name="__RefHeading___Toc7172_2150751134"/>
      <w:bookmarkEnd w:id="226"/>
      <w:r>
        <w:rPr>
          <w:rFonts w:ascii="Lato" w:hAnsi="Lato"/>
          <w:color w:val="172236"/>
          <w:sz w:val="29"/>
        </w:rPr>
        <w:t>Phase 9 — Ecosystem and Marketplace</w:t>
      </w:r>
    </w:p>
    <w:p>
      <w:pPr>
        <w:pStyle w:val="Normal"/>
        <w:rPr/>
      </w:pPr>
      <w:r>
        <w:rPr>
          <w:b/>
          <w:color w:val="172236"/>
          <w:sz w:val="19"/>
        </w:rPr>
        <w:t>Objective:</w:t>
      </w:r>
      <w:r>
        <w:rPr>
          <w:color w:val="172236"/>
          <w:sz w:val="19"/>
        </w:rPr>
        <w:t xml:space="preserve"> Become an extensible platform.</w:t>
      </w:r>
    </w:p>
    <w:p>
      <w:pPr>
        <w:pStyle w:val="Normal"/>
        <w:rPr/>
      </w:pPr>
      <w:r>
        <w:rPr>
          <w:color w:val="172236"/>
          <w:sz w:val="19"/>
        </w:rPr>
        <w:t>Deliverables:</w:t>
      </w:r>
    </w:p>
    <w:p>
      <w:pPr>
        <w:pStyle w:val="ListBullet"/>
        <w:numPr>
          <w:ilvl w:val="0"/>
          <w:numId w:val="1"/>
        </w:numPr>
        <w:rPr/>
      </w:pPr>
      <w:r>
        <w:rPr>
          <w:color w:val="172236"/>
          <w:sz w:val="18"/>
        </w:rPr>
        <w:t>Signed plugin SDK.</w:t>
      </w:r>
    </w:p>
    <w:p>
      <w:pPr>
        <w:pStyle w:val="ListBullet"/>
        <w:numPr>
          <w:ilvl w:val="0"/>
          <w:numId w:val="1"/>
        </w:numPr>
        <w:rPr/>
      </w:pPr>
      <w:r>
        <w:rPr>
          <w:color w:val="172236"/>
          <w:sz w:val="18"/>
        </w:rPr>
        <w:t>Strategy packages.</w:t>
      </w:r>
    </w:p>
    <w:p>
      <w:pPr>
        <w:pStyle w:val="ListBullet"/>
        <w:numPr>
          <w:ilvl w:val="0"/>
          <w:numId w:val="1"/>
        </w:numPr>
        <w:rPr/>
      </w:pPr>
      <w:r>
        <w:rPr>
          <w:color w:val="172236"/>
          <w:sz w:val="18"/>
        </w:rPr>
        <w:t>Indicator packages.</w:t>
      </w:r>
    </w:p>
    <w:p>
      <w:pPr>
        <w:pStyle w:val="ListBullet"/>
        <w:numPr>
          <w:ilvl w:val="0"/>
          <w:numId w:val="1"/>
        </w:numPr>
        <w:rPr/>
      </w:pPr>
      <w:r>
        <w:rPr>
          <w:color w:val="172236"/>
          <w:sz w:val="18"/>
        </w:rPr>
        <w:t>MCP registry.</w:t>
      </w:r>
    </w:p>
    <w:p>
      <w:pPr>
        <w:pStyle w:val="ListBullet"/>
        <w:numPr>
          <w:ilvl w:val="0"/>
          <w:numId w:val="1"/>
        </w:numPr>
        <w:rPr/>
      </w:pPr>
      <w:r>
        <w:rPr>
          <w:color w:val="172236"/>
          <w:sz w:val="18"/>
        </w:rPr>
        <w:t>Extension review.</w:t>
      </w:r>
    </w:p>
    <w:p>
      <w:pPr>
        <w:pStyle w:val="ListBullet"/>
        <w:numPr>
          <w:ilvl w:val="0"/>
          <w:numId w:val="1"/>
        </w:numPr>
        <w:rPr/>
      </w:pPr>
      <w:r>
        <w:rPr>
          <w:color w:val="172236"/>
          <w:sz w:val="18"/>
        </w:rPr>
        <w:t>WASM sandbox.</w:t>
      </w:r>
    </w:p>
    <w:p>
      <w:pPr>
        <w:pStyle w:val="ListBullet"/>
        <w:numPr>
          <w:ilvl w:val="0"/>
          <w:numId w:val="1"/>
        </w:numPr>
        <w:rPr/>
      </w:pPr>
      <w:r>
        <w:rPr>
          <w:color w:val="172236"/>
          <w:sz w:val="18"/>
        </w:rPr>
        <w:t>Marketplace governance.</w:t>
      </w:r>
    </w:p>
    <w:p>
      <w:pPr>
        <w:pStyle w:val="ListBullet"/>
        <w:numPr>
          <w:ilvl w:val="0"/>
          <w:numId w:val="1"/>
        </w:numPr>
        <w:rPr/>
      </w:pPr>
      <w:r>
        <w:rPr>
          <w:color w:val="172236"/>
          <w:sz w:val="18"/>
        </w:rPr>
        <w:t>Revenue sharing.</w:t>
      </w:r>
    </w:p>
    <w:p>
      <w:pPr>
        <w:pStyle w:val="ListBullet"/>
        <w:numPr>
          <w:ilvl w:val="0"/>
          <w:numId w:val="1"/>
        </w:numPr>
        <w:rPr/>
      </w:pPr>
      <w:r>
        <w:rPr>
          <w:color w:val="172236"/>
          <w:sz w:val="18"/>
        </w:rPr>
        <w:t>Reproducible package builds.</w:t>
      </w:r>
    </w:p>
    <w:p>
      <w:pPr>
        <w:pStyle w:val="ListBullet"/>
        <w:numPr>
          <w:ilvl w:val="0"/>
          <w:numId w:val="1"/>
        </w:numPr>
        <w:rPr/>
      </w:pPr>
      <w:r>
        <w:rPr>
          <w:color w:val="172236"/>
          <w:sz w:val="18"/>
        </w:rPr>
        <w:t>Revocation and emergency disablement.</w:t>
      </w:r>
    </w:p>
    <w:p>
      <w:pPr>
        <w:pStyle w:val="Heading1"/>
        <w:pBdr>
          <w:bottom w:val="single" w:sz="12" w:space="5" w:color="33C7F2"/>
        </w:pBdr>
        <w:rPr/>
      </w:pPr>
      <w:bookmarkStart w:id="227" w:name="__RefHeading___Toc7174_2150751134"/>
      <w:bookmarkEnd w:id="227"/>
      <w:r>
        <w:rPr>
          <w:rFonts w:ascii="Lato" w:hAnsi="Lato"/>
          <w:color w:val="172236"/>
          <w:sz w:val="42"/>
        </w:rPr>
        <w:t>33. Team Model and Delivery Workstreams</w:t>
      </w:r>
    </w:p>
    <w:p>
      <w:pPr>
        <w:pStyle w:val="Normal"/>
        <w:rPr/>
      </w:pPr>
      <w:r>
        <w:rPr>
          <w:color w:val="172236"/>
          <w:sz w:val="19"/>
        </w:rPr>
        <w:t>Recommended workstreams:</w:t>
      </w:r>
    </w:p>
    <w:p>
      <w:pPr>
        <w:pStyle w:val="ListNumber"/>
        <w:numPr>
          <w:ilvl w:val="0"/>
          <w:numId w:val="4"/>
        </w:numPr>
        <w:rPr/>
      </w:pPr>
      <w:r>
        <w:rPr>
          <w:color w:val="172236"/>
          <w:sz w:val="18"/>
        </w:rPr>
        <w:t>Product and market domain.</w:t>
      </w:r>
    </w:p>
    <w:p>
      <w:pPr>
        <w:pStyle w:val="ListNumber"/>
        <w:numPr>
          <w:ilvl w:val="0"/>
          <w:numId w:val="4"/>
        </w:numPr>
        <w:rPr/>
      </w:pPr>
      <w:r>
        <w:rPr>
          <w:color w:val="172236"/>
          <w:sz w:val="18"/>
        </w:rPr>
        <w:t>Rust platform/core.</w:t>
      </w:r>
    </w:p>
    <w:p>
      <w:pPr>
        <w:pStyle w:val="ListNumber"/>
        <w:numPr>
          <w:ilvl w:val="0"/>
          <w:numId w:val="4"/>
        </w:numPr>
        <w:rPr/>
      </w:pPr>
      <w:r>
        <w:rPr>
          <w:color w:val="172236"/>
          <w:sz w:val="18"/>
        </w:rPr>
        <w:t>Market data and provider integrations.</w:t>
      </w:r>
    </w:p>
    <w:p>
      <w:pPr>
        <w:pStyle w:val="ListNumber"/>
        <w:numPr>
          <w:ilvl w:val="0"/>
          <w:numId w:val="4"/>
        </w:numPr>
        <w:rPr/>
      </w:pPr>
      <w:r>
        <w:rPr>
          <w:color w:val="172236"/>
          <w:sz w:val="18"/>
        </w:rPr>
        <w:t>Quantitative research.</w:t>
      </w:r>
    </w:p>
    <w:p>
      <w:pPr>
        <w:pStyle w:val="ListNumber"/>
        <w:numPr>
          <w:ilvl w:val="0"/>
          <w:numId w:val="4"/>
        </w:numPr>
        <w:rPr/>
      </w:pPr>
      <w:r>
        <w:rPr>
          <w:color w:val="172236"/>
          <w:sz w:val="18"/>
        </w:rPr>
        <w:t>Options analytics.</w:t>
      </w:r>
    </w:p>
    <w:p>
      <w:pPr>
        <w:pStyle w:val="ListNumber"/>
        <w:numPr>
          <w:ilvl w:val="0"/>
          <w:numId w:val="4"/>
        </w:numPr>
        <w:rPr/>
      </w:pPr>
      <w:r>
        <w:rPr>
          <w:color w:val="172236"/>
          <w:sz w:val="18"/>
        </w:rPr>
        <w:t>Frontend/design system.</w:t>
      </w:r>
    </w:p>
    <w:p>
      <w:pPr>
        <w:pStyle w:val="ListNumber"/>
        <w:numPr>
          <w:ilvl w:val="0"/>
          <w:numId w:val="4"/>
        </w:numPr>
        <w:rPr/>
      </w:pPr>
      <w:r>
        <w:rPr>
          <w:color w:val="172236"/>
          <w:sz w:val="18"/>
        </w:rPr>
        <w:t>GPU visualization.</w:t>
      </w:r>
    </w:p>
    <w:p>
      <w:pPr>
        <w:pStyle w:val="ListNumber"/>
        <w:numPr>
          <w:ilvl w:val="0"/>
          <w:numId w:val="4"/>
        </w:numPr>
        <w:rPr/>
      </w:pPr>
      <w:r>
        <w:rPr>
          <w:color w:val="172236"/>
          <w:sz w:val="18"/>
        </w:rPr>
        <w:t>AI/tooling.</w:t>
      </w:r>
    </w:p>
    <w:p>
      <w:pPr>
        <w:pStyle w:val="ListNumber"/>
        <w:numPr>
          <w:ilvl w:val="0"/>
          <w:numId w:val="4"/>
        </w:numPr>
        <w:rPr/>
      </w:pPr>
      <w:r>
        <w:rPr>
          <w:color w:val="172236"/>
          <w:sz w:val="18"/>
        </w:rPr>
        <w:t>Security/identity.</w:t>
      </w:r>
    </w:p>
    <w:p>
      <w:pPr>
        <w:pStyle w:val="ListNumber"/>
        <w:numPr>
          <w:ilvl w:val="0"/>
          <w:numId w:val="4"/>
        </w:numPr>
        <w:rPr/>
      </w:pPr>
      <w:r>
        <w:rPr>
          <w:color w:val="172236"/>
          <w:sz w:val="18"/>
        </w:rPr>
        <w:t>SRE/data operations.</w:t>
      </w:r>
    </w:p>
    <w:p>
      <w:pPr>
        <w:pStyle w:val="ListNumber"/>
        <w:numPr>
          <w:ilvl w:val="0"/>
          <w:numId w:val="4"/>
        </w:numPr>
        <w:rPr/>
      </w:pPr>
      <w:r>
        <w:rPr>
          <w:color w:val="172236"/>
          <w:sz w:val="18"/>
        </w:rPr>
        <w:t>QA/model validation.</w:t>
      </w:r>
    </w:p>
    <w:p>
      <w:pPr>
        <w:pStyle w:val="ListNumber"/>
        <w:numPr>
          <w:ilvl w:val="0"/>
          <w:numId w:val="4"/>
        </w:numPr>
        <w:rPr/>
      </w:pPr>
      <w:r>
        <w:rPr>
          <w:color w:val="172236"/>
          <w:sz w:val="18"/>
        </w:rPr>
        <w:t>Compliance/licensing.</w:t>
      </w:r>
    </w:p>
    <w:p>
      <w:pPr>
        <w:pStyle w:val="Normal"/>
        <w:rPr/>
      </w:pPr>
      <w:r>
        <w:rPr>
          <w:color w:val="172236"/>
          <w:sz w:val="19"/>
        </w:rPr>
        <w:t>For a small founding team, combine roles but preserve review separation for execution, cryptography, and model validation.</w:t>
      </w:r>
    </w:p>
    <w:p>
      <w:pPr>
        <w:pStyle w:val="Heading1"/>
        <w:pBdr>
          <w:bottom w:val="single" w:sz="12" w:space="5" w:color="33C7F2"/>
        </w:pBdr>
        <w:rPr/>
      </w:pPr>
      <w:bookmarkStart w:id="228" w:name="__RefHeading___Toc7176_2150751134"/>
      <w:bookmarkEnd w:id="228"/>
      <w:r>
        <w:rPr>
          <w:rFonts w:ascii="Lato" w:hAnsi="Lato"/>
          <w:color w:val="172236"/>
          <w:sz w:val="42"/>
        </w:rPr>
        <w:t>34. Acceptance Criteria and Product Metrics</w:t>
      </w:r>
    </w:p>
    <w:p>
      <w:pPr>
        <w:pStyle w:val="Heading2"/>
        <w:pBdr>
          <w:left w:val="single" w:sz="14" w:space="4" w:color="8B5CF6"/>
        </w:pBdr>
        <w:rPr/>
      </w:pPr>
      <w:bookmarkStart w:id="229" w:name="__RefHeading___Toc7178_2150751134"/>
      <w:bookmarkEnd w:id="229"/>
      <w:r>
        <w:rPr>
          <w:rFonts w:ascii="Lato" w:hAnsi="Lato"/>
          <w:color w:val="172236"/>
          <w:sz w:val="29"/>
        </w:rPr>
        <w:t>34.1 User Value</w:t>
      </w:r>
    </w:p>
    <w:p>
      <w:pPr>
        <w:pStyle w:val="ListBullet"/>
        <w:numPr>
          <w:ilvl w:val="0"/>
          <w:numId w:val="1"/>
        </w:numPr>
        <w:rPr/>
      </w:pPr>
      <w:r>
        <w:rPr>
          <w:color w:val="172236"/>
          <w:sz w:val="18"/>
        </w:rPr>
        <w:t>Time from question to evidence-backed answer.</w:t>
      </w:r>
    </w:p>
    <w:p>
      <w:pPr>
        <w:pStyle w:val="ListBullet"/>
        <w:numPr>
          <w:ilvl w:val="0"/>
          <w:numId w:val="1"/>
        </w:numPr>
        <w:rPr/>
      </w:pPr>
      <w:r>
        <w:rPr>
          <w:color w:val="172236"/>
          <w:sz w:val="18"/>
        </w:rPr>
        <w:t>Opportunity review completion.</w:t>
      </w:r>
    </w:p>
    <w:p>
      <w:pPr>
        <w:pStyle w:val="ListBullet"/>
        <w:numPr>
          <w:ilvl w:val="0"/>
          <w:numId w:val="1"/>
        </w:numPr>
        <w:rPr/>
      </w:pPr>
      <w:r>
        <w:rPr>
          <w:color w:val="172236"/>
          <w:sz w:val="18"/>
        </w:rPr>
        <w:t>Alert usefulness.</w:t>
      </w:r>
    </w:p>
    <w:p>
      <w:pPr>
        <w:pStyle w:val="ListBullet"/>
        <w:numPr>
          <w:ilvl w:val="0"/>
          <w:numId w:val="1"/>
        </w:numPr>
        <w:rPr/>
      </w:pPr>
      <w:r>
        <w:rPr>
          <w:color w:val="172236"/>
          <w:sz w:val="18"/>
        </w:rPr>
        <w:t>Backtest-to-paper-trade conversion.</w:t>
      </w:r>
    </w:p>
    <w:p>
      <w:pPr>
        <w:pStyle w:val="ListBullet"/>
        <w:numPr>
          <w:ilvl w:val="0"/>
          <w:numId w:val="1"/>
        </w:numPr>
        <w:rPr/>
      </w:pPr>
      <w:r>
        <w:rPr>
          <w:color w:val="172236"/>
          <w:sz w:val="18"/>
        </w:rPr>
        <w:t>Journal completion.</w:t>
      </w:r>
    </w:p>
    <w:p>
      <w:pPr>
        <w:pStyle w:val="ListBullet"/>
        <w:numPr>
          <w:ilvl w:val="0"/>
          <w:numId w:val="1"/>
        </w:numPr>
        <w:rPr/>
      </w:pPr>
      <w:r>
        <w:rPr>
          <w:color w:val="172236"/>
          <w:sz w:val="18"/>
        </w:rPr>
        <w:t>Reduction in repeated mistakes.</w:t>
      </w:r>
    </w:p>
    <w:p>
      <w:pPr>
        <w:pStyle w:val="ListBullet"/>
        <w:numPr>
          <w:ilvl w:val="0"/>
          <w:numId w:val="1"/>
        </w:numPr>
        <w:rPr/>
      </w:pPr>
      <w:r>
        <w:rPr>
          <w:color w:val="172236"/>
          <w:sz w:val="18"/>
        </w:rPr>
        <w:t>User trust in provenance.</w:t>
      </w:r>
    </w:p>
    <w:p>
      <w:pPr>
        <w:pStyle w:val="ListBullet"/>
        <w:numPr>
          <w:ilvl w:val="0"/>
          <w:numId w:val="1"/>
        </w:numPr>
        <w:rPr/>
      </w:pPr>
      <w:r>
        <w:rPr>
          <w:color w:val="172236"/>
          <w:sz w:val="18"/>
        </w:rPr>
        <w:t>Workspace retention.</w:t>
      </w:r>
    </w:p>
    <w:p>
      <w:pPr>
        <w:pStyle w:val="Heading2"/>
        <w:pBdr>
          <w:left w:val="single" w:sz="14" w:space="4" w:color="8B5CF6"/>
        </w:pBdr>
        <w:rPr/>
      </w:pPr>
      <w:bookmarkStart w:id="230" w:name="__RefHeading___Toc7180_2150751134"/>
      <w:bookmarkEnd w:id="230"/>
      <w:r>
        <w:rPr>
          <w:rFonts w:ascii="Lato" w:hAnsi="Lato"/>
          <w:color w:val="172236"/>
          <w:sz w:val="29"/>
        </w:rPr>
        <w:t>34.2 Data Quality</w:t>
      </w:r>
    </w:p>
    <w:p>
      <w:pPr>
        <w:pStyle w:val="ListBullet"/>
        <w:numPr>
          <w:ilvl w:val="0"/>
          <w:numId w:val="1"/>
        </w:numPr>
        <w:rPr/>
      </w:pPr>
      <w:r>
        <w:rPr>
          <w:color w:val="172236"/>
          <w:sz w:val="18"/>
        </w:rPr>
        <w:t>Freshness.</w:t>
      </w:r>
    </w:p>
    <w:p>
      <w:pPr>
        <w:pStyle w:val="ListBullet"/>
        <w:numPr>
          <w:ilvl w:val="0"/>
          <w:numId w:val="1"/>
        </w:numPr>
        <w:rPr/>
      </w:pPr>
      <w:r>
        <w:rPr>
          <w:color w:val="172236"/>
          <w:sz w:val="18"/>
        </w:rPr>
        <w:t>Completeness.</w:t>
      </w:r>
    </w:p>
    <w:p>
      <w:pPr>
        <w:pStyle w:val="ListBullet"/>
        <w:numPr>
          <w:ilvl w:val="0"/>
          <w:numId w:val="1"/>
        </w:numPr>
        <w:rPr/>
      </w:pPr>
      <w:r>
        <w:rPr>
          <w:color w:val="172236"/>
          <w:sz w:val="18"/>
        </w:rPr>
        <w:t>Provider agreement.</w:t>
      </w:r>
    </w:p>
    <w:p>
      <w:pPr>
        <w:pStyle w:val="ListBullet"/>
        <w:numPr>
          <w:ilvl w:val="0"/>
          <w:numId w:val="1"/>
        </w:numPr>
        <w:rPr/>
      </w:pPr>
      <w:r>
        <w:rPr>
          <w:color w:val="172236"/>
          <w:sz w:val="18"/>
        </w:rPr>
        <w:t>Schema failure.</w:t>
      </w:r>
    </w:p>
    <w:p>
      <w:pPr>
        <w:pStyle w:val="ListBullet"/>
        <w:numPr>
          <w:ilvl w:val="0"/>
          <w:numId w:val="1"/>
        </w:numPr>
        <w:rPr/>
      </w:pPr>
      <w:r>
        <w:rPr>
          <w:color w:val="172236"/>
          <w:sz w:val="18"/>
        </w:rPr>
        <w:t>Identifier resolution.</w:t>
      </w:r>
    </w:p>
    <w:p>
      <w:pPr>
        <w:pStyle w:val="ListBullet"/>
        <w:numPr>
          <w:ilvl w:val="0"/>
          <w:numId w:val="1"/>
        </w:numPr>
        <w:rPr/>
      </w:pPr>
      <w:r>
        <w:rPr>
          <w:color w:val="172236"/>
          <w:sz w:val="18"/>
        </w:rPr>
        <w:t>Event deduplication.</w:t>
      </w:r>
    </w:p>
    <w:p>
      <w:pPr>
        <w:pStyle w:val="ListBullet"/>
        <w:numPr>
          <w:ilvl w:val="0"/>
          <w:numId w:val="1"/>
        </w:numPr>
        <w:rPr/>
      </w:pPr>
      <w:r>
        <w:rPr>
          <w:color w:val="172236"/>
          <w:sz w:val="18"/>
        </w:rPr>
        <w:t>Filing parsing accuracy.</w:t>
      </w:r>
    </w:p>
    <w:p>
      <w:pPr>
        <w:pStyle w:val="Heading2"/>
        <w:pBdr>
          <w:left w:val="single" w:sz="14" w:space="4" w:color="8B5CF6"/>
        </w:pBdr>
        <w:rPr/>
      </w:pPr>
      <w:bookmarkStart w:id="231" w:name="__RefHeading___Toc7182_2150751134"/>
      <w:bookmarkEnd w:id="231"/>
      <w:r>
        <w:rPr>
          <w:rFonts w:ascii="Lato" w:hAnsi="Lato"/>
          <w:color w:val="172236"/>
          <w:sz w:val="29"/>
        </w:rPr>
        <w:t>34.3 Quant Quality</w:t>
      </w:r>
    </w:p>
    <w:p>
      <w:pPr>
        <w:pStyle w:val="ListBullet"/>
        <w:numPr>
          <w:ilvl w:val="0"/>
          <w:numId w:val="1"/>
        </w:numPr>
        <w:rPr/>
      </w:pPr>
      <w:r>
        <w:rPr>
          <w:color w:val="172236"/>
          <w:sz w:val="18"/>
        </w:rPr>
        <w:t>Reproducibility.</w:t>
      </w:r>
    </w:p>
    <w:p>
      <w:pPr>
        <w:pStyle w:val="ListBullet"/>
        <w:numPr>
          <w:ilvl w:val="0"/>
          <w:numId w:val="1"/>
        </w:numPr>
        <w:rPr/>
      </w:pPr>
      <w:r>
        <w:rPr>
          <w:color w:val="172236"/>
          <w:sz w:val="18"/>
        </w:rPr>
        <w:t>Calibration.</w:t>
      </w:r>
    </w:p>
    <w:p>
      <w:pPr>
        <w:pStyle w:val="ListBullet"/>
        <w:numPr>
          <w:ilvl w:val="0"/>
          <w:numId w:val="1"/>
        </w:numPr>
        <w:rPr/>
      </w:pPr>
      <w:r>
        <w:rPr>
          <w:color w:val="172236"/>
          <w:sz w:val="18"/>
        </w:rPr>
        <w:t>Drift.</w:t>
      </w:r>
    </w:p>
    <w:p>
      <w:pPr>
        <w:pStyle w:val="ListBullet"/>
        <w:numPr>
          <w:ilvl w:val="0"/>
          <w:numId w:val="1"/>
        </w:numPr>
        <w:rPr/>
      </w:pPr>
      <w:r>
        <w:rPr>
          <w:color w:val="172236"/>
          <w:sz w:val="18"/>
        </w:rPr>
        <w:t>False discovery.</w:t>
      </w:r>
    </w:p>
    <w:p>
      <w:pPr>
        <w:pStyle w:val="ListBullet"/>
        <w:numPr>
          <w:ilvl w:val="0"/>
          <w:numId w:val="1"/>
        </w:numPr>
        <w:rPr/>
      </w:pPr>
      <w:r>
        <w:rPr>
          <w:color w:val="172236"/>
          <w:sz w:val="18"/>
        </w:rPr>
        <w:t>Slippage sensitivity.</w:t>
      </w:r>
    </w:p>
    <w:p>
      <w:pPr>
        <w:pStyle w:val="ListBullet"/>
        <w:numPr>
          <w:ilvl w:val="0"/>
          <w:numId w:val="1"/>
        </w:numPr>
        <w:rPr/>
      </w:pPr>
      <w:r>
        <w:rPr>
          <w:color w:val="172236"/>
          <w:sz w:val="18"/>
        </w:rPr>
        <w:t>Out-of-sample performance.</w:t>
      </w:r>
    </w:p>
    <w:p>
      <w:pPr>
        <w:pStyle w:val="ListBullet"/>
        <w:numPr>
          <w:ilvl w:val="0"/>
          <w:numId w:val="1"/>
        </w:numPr>
        <w:rPr/>
      </w:pPr>
      <w:r>
        <w:rPr>
          <w:color w:val="172236"/>
          <w:sz w:val="18"/>
        </w:rPr>
        <w:t>Strategy stability.</w:t>
      </w:r>
    </w:p>
    <w:p>
      <w:pPr>
        <w:pStyle w:val="Heading2"/>
        <w:pBdr>
          <w:left w:val="single" w:sz="14" w:space="4" w:color="8B5CF6"/>
        </w:pBdr>
        <w:rPr/>
      </w:pPr>
      <w:bookmarkStart w:id="232" w:name="__RefHeading___Toc7184_2150751134"/>
      <w:bookmarkEnd w:id="232"/>
      <w:r>
        <w:rPr>
          <w:rFonts w:ascii="Lato" w:hAnsi="Lato"/>
          <w:color w:val="172236"/>
          <w:sz w:val="29"/>
        </w:rPr>
        <w:t>34.4 Reliability</w:t>
      </w:r>
    </w:p>
    <w:p>
      <w:pPr>
        <w:pStyle w:val="ListBullet"/>
        <w:numPr>
          <w:ilvl w:val="0"/>
          <w:numId w:val="1"/>
        </w:numPr>
        <w:rPr/>
      </w:pPr>
      <w:r>
        <w:rPr>
          <w:color w:val="172236"/>
          <w:sz w:val="18"/>
        </w:rPr>
        <w:t>Crash-free sessions.</w:t>
      </w:r>
    </w:p>
    <w:p>
      <w:pPr>
        <w:pStyle w:val="ListBullet"/>
        <w:numPr>
          <w:ilvl w:val="0"/>
          <w:numId w:val="1"/>
        </w:numPr>
        <w:rPr/>
      </w:pPr>
      <w:r>
        <w:rPr>
          <w:color w:val="172236"/>
          <w:sz w:val="18"/>
        </w:rPr>
        <w:t>API success.</w:t>
      </w:r>
    </w:p>
    <w:p>
      <w:pPr>
        <w:pStyle w:val="ListBullet"/>
        <w:numPr>
          <w:ilvl w:val="0"/>
          <w:numId w:val="1"/>
        </w:numPr>
        <w:rPr/>
      </w:pPr>
      <w:r>
        <w:rPr>
          <w:color w:val="172236"/>
          <w:sz w:val="18"/>
        </w:rPr>
        <w:t>Alert delivery.</w:t>
      </w:r>
    </w:p>
    <w:p>
      <w:pPr>
        <w:pStyle w:val="ListBullet"/>
        <w:numPr>
          <w:ilvl w:val="0"/>
          <w:numId w:val="1"/>
        </w:numPr>
        <w:rPr/>
      </w:pPr>
      <w:r>
        <w:rPr>
          <w:color w:val="172236"/>
          <w:sz w:val="18"/>
        </w:rPr>
        <w:t>Queue lag.</w:t>
      </w:r>
    </w:p>
    <w:p>
      <w:pPr>
        <w:pStyle w:val="ListBullet"/>
        <w:numPr>
          <w:ilvl w:val="0"/>
          <w:numId w:val="1"/>
        </w:numPr>
        <w:rPr/>
      </w:pPr>
      <w:r>
        <w:rPr>
          <w:color w:val="172236"/>
          <w:sz w:val="18"/>
        </w:rPr>
        <w:t>Restore success.</w:t>
      </w:r>
    </w:p>
    <w:p>
      <w:pPr>
        <w:pStyle w:val="ListBullet"/>
        <w:numPr>
          <w:ilvl w:val="0"/>
          <w:numId w:val="1"/>
        </w:numPr>
        <w:rPr/>
      </w:pPr>
      <w:r>
        <w:rPr>
          <w:color w:val="172236"/>
          <w:sz w:val="18"/>
        </w:rPr>
        <w:t>Update success.</w:t>
      </w:r>
    </w:p>
    <w:p>
      <w:pPr>
        <w:pStyle w:val="ListBullet"/>
        <w:numPr>
          <w:ilvl w:val="0"/>
          <w:numId w:val="1"/>
        </w:numPr>
        <w:rPr/>
      </w:pPr>
      <w:r>
        <w:rPr>
          <w:color w:val="172236"/>
          <w:sz w:val="18"/>
        </w:rPr>
        <w:t>Order reconciliation.</w:t>
      </w:r>
    </w:p>
    <w:p>
      <w:pPr>
        <w:pStyle w:val="Heading2"/>
        <w:pBdr>
          <w:left w:val="single" w:sz="14" w:space="4" w:color="8B5CF6"/>
        </w:pBdr>
        <w:rPr/>
      </w:pPr>
      <w:bookmarkStart w:id="233" w:name="__RefHeading___Toc7186_2150751134"/>
      <w:bookmarkEnd w:id="233"/>
      <w:r>
        <w:rPr>
          <w:rFonts w:ascii="Lato" w:hAnsi="Lato"/>
          <w:color w:val="172236"/>
          <w:sz w:val="29"/>
        </w:rPr>
        <w:t>34.5 Security</w:t>
      </w:r>
    </w:p>
    <w:p>
      <w:pPr>
        <w:pStyle w:val="ListBullet"/>
        <w:numPr>
          <w:ilvl w:val="0"/>
          <w:numId w:val="1"/>
        </w:numPr>
        <w:rPr/>
      </w:pPr>
      <w:r>
        <w:rPr>
          <w:color w:val="172236"/>
          <w:sz w:val="18"/>
        </w:rPr>
        <w:t>Secrets leaked: zero.</w:t>
      </w:r>
    </w:p>
    <w:p>
      <w:pPr>
        <w:pStyle w:val="ListBullet"/>
        <w:numPr>
          <w:ilvl w:val="0"/>
          <w:numId w:val="1"/>
        </w:numPr>
        <w:rPr/>
      </w:pPr>
      <w:r>
        <w:rPr>
          <w:color w:val="172236"/>
          <w:sz w:val="18"/>
        </w:rPr>
        <w:t>Unauthorized execution: zero.</w:t>
      </w:r>
    </w:p>
    <w:p>
      <w:pPr>
        <w:pStyle w:val="ListBullet"/>
        <w:numPr>
          <w:ilvl w:val="0"/>
          <w:numId w:val="1"/>
        </w:numPr>
        <w:rPr/>
      </w:pPr>
      <w:r>
        <w:rPr>
          <w:color w:val="172236"/>
          <w:sz w:val="18"/>
        </w:rPr>
        <w:t>Critical unpatched vulnerabilities.</w:t>
      </w:r>
    </w:p>
    <w:p>
      <w:pPr>
        <w:pStyle w:val="ListBullet"/>
        <w:numPr>
          <w:ilvl w:val="0"/>
          <w:numId w:val="1"/>
        </w:numPr>
        <w:rPr/>
      </w:pPr>
      <w:r>
        <w:rPr>
          <w:color w:val="172236"/>
          <w:sz w:val="18"/>
        </w:rPr>
        <w:t>Key rotation compliance.</w:t>
      </w:r>
    </w:p>
    <w:p>
      <w:pPr>
        <w:pStyle w:val="ListBullet"/>
        <w:numPr>
          <w:ilvl w:val="0"/>
          <w:numId w:val="1"/>
        </w:numPr>
        <w:rPr/>
      </w:pPr>
      <w:r>
        <w:rPr>
          <w:color w:val="172236"/>
          <w:sz w:val="18"/>
        </w:rPr>
        <w:t>Signed artifact coverage.</w:t>
      </w:r>
    </w:p>
    <w:p>
      <w:pPr>
        <w:pStyle w:val="ListBullet"/>
        <w:numPr>
          <w:ilvl w:val="0"/>
          <w:numId w:val="1"/>
        </w:numPr>
        <w:rPr/>
      </w:pPr>
      <w:r>
        <w:rPr>
          <w:color w:val="172236"/>
          <w:sz w:val="18"/>
        </w:rPr>
        <w:t>Plugin violations.</w:t>
      </w:r>
    </w:p>
    <w:p>
      <w:pPr>
        <w:pStyle w:val="ListBullet"/>
        <w:numPr>
          <w:ilvl w:val="0"/>
          <w:numId w:val="1"/>
        </w:numPr>
        <w:rPr/>
      </w:pPr>
      <w:r>
        <w:rPr>
          <w:color w:val="172236"/>
          <w:sz w:val="18"/>
        </w:rPr>
        <w:t>Audit completeness.</w:t>
      </w:r>
    </w:p>
    <w:p>
      <w:pPr>
        <w:pStyle w:val="Heading1"/>
        <w:pBdr>
          <w:bottom w:val="single" w:sz="12" w:space="5" w:color="33C7F2"/>
        </w:pBdr>
        <w:rPr/>
      </w:pPr>
      <w:bookmarkStart w:id="234" w:name="__RefHeading___Toc7188_2150751134"/>
      <w:bookmarkEnd w:id="234"/>
      <w:r>
        <w:rPr>
          <w:rFonts w:ascii="Lato" w:hAnsi="Lato"/>
          <w:color w:val="172236"/>
          <w:sz w:val="42"/>
        </w:rPr>
        <w:t>35. Risk Register and Mitigations</w:t>
      </w:r>
    </w:p>
    <w:p>
      <w:pPr>
        <w:pStyle w:val="Heading2"/>
        <w:pBdr>
          <w:left w:val="single" w:sz="14" w:space="4" w:color="8B5CF6"/>
        </w:pBdr>
        <w:rPr/>
      </w:pPr>
      <w:bookmarkStart w:id="235" w:name="__RefHeading___Toc7190_2150751134"/>
      <w:bookmarkEnd w:id="235"/>
      <w:r>
        <w:rPr>
          <w:rFonts w:ascii="Lato" w:hAnsi="Lato"/>
          <w:color w:val="172236"/>
          <w:sz w:val="29"/>
        </w:rPr>
        <w:t>35.1 Market Data Licensing</w:t>
      </w:r>
    </w:p>
    <w:p>
      <w:pPr>
        <w:pStyle w:val="Normal"/>
        <w:rPr/>
      </w:pPr>
      <w:r>
        <w:rPr>
          <w:b/>
          <w:color w:val="172236"/>
          <w:sz w:val="19"/>
        </w:rPr>
        <w:t>Risk:</w:t>
      </w:r>
      <w:r>
        <w:rPr>
          <w:color w:val="172236"/>
          <w:sz w:val="19"/>
        </w:rPr>
        <w:t xml:space="preserve"> Data cannot legally be stored, displayed, or redistributed as assumed.</w:t>
      </w:r>
      <w:r>
        <w:rPr/>
        <w:br/>
      </w:r>
      <w:r>
        <w:rPr>
          <w:b/>
          <w:color w:val="172236"/>
          <w:sz w:val="19"/>
        </w:rPr>
        <w:t>Mitigation:</w:t>
      </w:r>
      <w:r>
        <w:rPr>
          <w:color w:val="172236"/>
          <w:sz w:val="19"/>
        </w:rPr>
        <w:t xml:space="preserve"> Entitlement registry, legal review, adapter-specific retention rules.</w:t>
      </w:r>
    </w:p>
    <w:p>
      <w:pPr>
        <w:pStyle w:val="Heading2"/>
        <w:pBdr>
          <w:left w:val="single" w:sz="14" w:space="4" w:color="8B5CF6"/>
        </w:pBdr>
        <w:rPr/>
      </w:pPr>
      <w:bookmarkStart w:id="236" w:name="__RefHeading___Toc7192_2150751134"/>
      <w:bookmarkEnd w:id="236"/>
      <w:r>
        <w:rPr>
          <w:rFonts w:ascii="Lato" w:hAnsi="Lato"/>
          <w:color w:val="172236"/>
          <w:sz w:val="29"/>
        </w:rPr>
        <w:t>35.2 Free-Tier Dependency</w:t>
      </w:r>
    </w:p>
    <w:p>
      <w:pPr>
        <w:pStyle w:val="Normal"/>
        <w:rPr/>
      </w:pPr>
      <w:r>
        <w:rPr>
          <w:b/>
          <w:color w:val="172236"/>
          <w:sz w:val="19"/>
        </w:rPr>
        <w:t>Risk:</w:t>
      </w:r>
      <w:r>
        <w:rPr>
          <w:color w:val="172236"/>
          <w:sz w:val="19"/>
        </w:rPr>
        <w:t xml:space="preserve"> Demo/free APIs are rate-limited or changed.</w:t>
      </w:r>
      <w:r>
        <w:rPr/>
        <w:br/>
      </w:r>
      <w:r>
        <w:rPr>
          <w:b/>
          <w:color w:val="172236"/>
          <w:sz w:val="19"/>
        </w:rPr>
        <w:t>Mitigation:</w:t>
      </w:r>
      <w:r>
        <w:rPr>
          <w:color w:val="172236"/>
          <w:sz w:val="19"/>
        </w:rPr>
        <w:t xml:space="preserve"> Cache, budget governor, paid upgrade path, provider abstraction.</w:t>
      </w:r>
    </w:p>
    <w:p>
      <w:pPr>
        <w:pStyle w:val="Heading2"/>
        <w:pBdr>
          <w:left w:val="single" w:sz="14" w:space="4" w:color="8B5CF6"/>
        </w:pBdr>
        <w:rPr/>
      </w:pPr>
      <w:bookmarkStart w:id="237" w:name="__RefHeading___Toc7194_2150751134"/>
      <w:bookmarkEnd w:id="237"/>
      <w:r>
        <w:rPr>
          <w:rFonts w:ascii="Lato" w:hAnsi="Lato"/>
          <w:color w:val="172236"/>
          <w:sz w:val="29"/>
        </w:rPr>
        <w:t>35.3 False Predictive Confidence</w:t>
      </w:r>
    </w:p>
    <w:p>
      <w:pPr>
        <w:pStyle w:val="Normal"/>
        <w:rPr/>
      </w:pPr>
      <w:r>
        <w:rPr>
          <w:b/>
          <w:color w:val="172236"/>
          <w:sz w:val="19"/>
        </w:rPr>
        <w:t>Risk:</w:t>
      </w:r>
      <w:r>
        <w:rPr>
          <w:color w:val="172236"/>
          <w:sz w:val="19"/>
        </w:rPr>
        <w:t xml:space="preserve"> Users interpret estimates as guarantees.</w:t>
      </w:r>
      <w:r>
        <w:rPr/>
        <w:br/>
      </w:r>
      <w:r>
        <w:rPr>
          <w:b/>
          <w:color w:val="172236"/>
          <w:sz w:val="19"/>
        </w:rPr>
        <w:t>Mitigation:</w:t>
      </w:r>
      <w:r>
        <w:rPr>
          <w:color w:val="172236"/>
          <w:sz w:val="19"/>
        </w:rPr>
        <w:t xml:space="preserve"> Calibration, intervals, evidence, warnings, model governance.</w:t>
      </w:r>
    </w:p>
    <w:p>
      <w:pPr>
        <w:pStyle w:val="Heading2"/>
        <w:pBdr>
          <w:left w:val="single" w:sz="14" w:space="4" w:color="8B5CF6"/>
        </w:pBdr>
        <w:rPr/>
      </w:pPr>
      <w:bookmarkStart w:id="238" w:name="__RefHeading___Toc7196_2150751134"/>
      <w:bookmarkEnd w:id="238"/>
      <w:r>
        <w:rPr>
          <w:rFonts w:ascii="Lato" w:hAnsi="Lato"/>
          <w:color w:val="172236"/>
          <w:sz w:val="29"/>
        </w:rPr>
        <w:t>35.4 Backtest Overfitting</w:t>
      </w:r>
    </w:p>
    <w:p>
      <w:pPr>
        <w:pStyle w:val="Normal"/>
        <w:rPr/>
      </w:pPr>
      <w:r>
        <w:rPr>
          <w:b/>
          <w:color w:val="172236"/>
          <w:sz w:val="19"/>
        </w:rPr>
        <w:t>Risk:</w:t>
      </w:r>
      <w:r>
        <w:rPr>
          <w:color w:val="172236"/>
          <w:sz w:val="19"/>
        </w:rPr>
        <w:t xml:space="preserve"> Strategies appear profitable due to leakage or repeated experimentation.</w:t>
      </w:r>
      <w:r>
        <w:rPr/>
        <w:br/>
      </w:r>
      <w:r>
        <w:rPr>
          <w:b/>
          <w:color w:val="172236"/>
          <w:sz w:val="19"/>
        </w:rPr>
        <w:t>Mitigation:</w:t>
      </w:r>
      <w:r>
        <w:rPr>
          <w:color w:val="172236"/>
          <w:sz w:val="19"/>
        </w:rPr>
        <w:t xml:space="preserve"> Holdouts, walk-forward, purging, multiple-hypothesis controls, immutable manifests.</w:t>
      </w:r>
    </w:p>
    <w:p>
      <w:pPr>
        <w:pStyle w:val="Heading2"/>
        <w:pBdr>
          <w:left w:val="single" w:sz="14" w:space="4" w:color="8B5CF6"/>
        </w:pBdr>
        <w:rPr/>
      </w:pPr>
      <w:bookmarkStart w:id="239" w:name="__RefHeading___Toc7198_2150751134"/>
      <w:bookmarkEnd w:id="239"/>
      <w:r>
        <w:rPr>
          <w:rFonts w:ascii="Lato" w:hAnsi="Lato"/>
          <w:color w:val="172236"/>
          <w:sz w:val="29"/>
        </w:rPr>
        <w:t>35.5 Uncertain Option Flow Meaning</w:t>
      </w:r>
    </w:p>
    <w:p>
      <w:pPr>
        <w:pStyle w:val="Normal"/>
        <w:rPr/>
      </w:pPr>
      <w:r>
        <w:rPr>
          <w:b/>
          <w:color w:val="172236"/>
          <w:sz w:val="19"/>
        </w:rPr>
        <w:t>Risk:</w:t>
      </w:r>
      <w:r>
        <w:rPr>
          <w:color w:val="172236"/>
          <w:sz w:val="19"/>
        </w:rPr>
        <w:t xml:space="preserve"> Flow is misclassified.</w:t>
      </w:r>
      <w:r>
        <w:rPr/>
        <w:br/>
      </w:r>
      <w:r>
        <w:rPr>
          <w:b/>
          <w:color w:val="172236"/>
          <w:sz w:val="19"/>
        </w:rPr>
        <w:t>Mitigation:</w:t>
      </w:r>
      <w:r>
        <w:rPr>
          <w:color w:val="172236"/>
          <w:sz w:val="19"/>
        </w:rPr>
        <w:t xml:space="preserve"> Fact/inference split, confidence, spread clustering, contradictory evidence.</w:t>
      </w:r>
    </w:p>
    <w:p>
      <w:pPr>
        <w:pStyle w:val="Heading2"/>
        <w:pBdr>
          <w:left w:val="single" w:sz="14" w:space="4" w:color="8B5CF6"/>
        </w:pBdr>
        <w:rPr/>
      </w:pPr>
      <w:bookmarkStart w:id="240" w:name="__RefHeading___Toc7200_2150751134"/>
      <w:bookmarkEnd w:id="240"/>
      <w:r>
        <w:rPr>
          <w:rFonts w:ascii="Lato" w:hAnsi="Lato"/>
          <w:color w:val="172236"/>
          <w:sz w:val="29"/>
        </w:rPr>
        <w:t>35.6 Unauthorized Execution</w:t>
      </w:r>
    </w:p>
    <w:p>
      <w:pPr>
        <w:pStyle w:val="Normal"/>
        <w:rPr/>
      </w:pPr>
      <w:r>
        <w:rPr>
          <w:b/>
          <w:color w:val="172236"/>
          <w:sz w:val="19"/>
        </w:rPr>
        <w:t>Risk:</w:t>
      </w:r>
      <w:r>
        <w:rPr>
          <w:color w:val="172236"/>
          <w:sz w:val="19"/>
        </w:rPr>
        <w:t xml:space="preserve"> Credential compromise or AI/tool abuse.</w:t>
      </w:r>
      <w:r>
        <w:rPr/>
        <w:br/>
      </w:r>
      <w:r>
        <w:rPr>
          <w:b/>
          <w:color w:val="172236"/>
          <w:sz w:val="19"/>
        </w:rPr>
        <w:t>Mitigation:</w:t>
      </w:r>
      <w:r>
        <w:rPr>
          <w:color w:val="172236"/>
          <w:sz w:val="19"/>
        </w:rPr>
        <w:t xml:space="preserve"> Dedicated execution boundary, step-up auth, approvals, scoped credentials, kill switch.</w:t>
      </w:r>
    </w:p>
    <w:p>
      <w:pPr>
        <w:pStyle w:val="Heading2"/>
        <w:pBdr>
          <w:left w:val="single" w:sz="14" w:space="4" w:color="8B5CF6"/>
        </w:pBdr>
        <w:rPr/>
      </w:pPr>
      <w:bookmarkStart w:id="241" w:name="__RefHeading___Toc7202_2150751134"/>
      <w:bookmarkEnd w:id="241"/>
      <w:r>
        <w:rPr>
          <w:rFonts w:ascii="Lato" w:hAnsi="Lato"/>
          <w:color w:val="172236"/>
          <w:sz w:val="29"/>
        </w:rPr>
        <w:t>35.7 Plugin Supply Chain</w:t>
      </w:r>
    </w:p>
    <w:p>
      <w:pPr>
        <w:pStyle w:val="Normal"/>
        <w:rPr/>
      </w:pPr>
      <w:r>
        <w:rPr>
          <w:b/>
          <w:color w:val="172236"/>
          <w:sz w:val="19"/>
        </w:rPr>
        <w:t>Risk:</w:t>
      </w:r>
      <w:r>
        <w:rPr>
          <w:color w:val="172236"/>
          <w:sz w:val="19"/>
        </w:rPr>
        <w:t xml:space="preserve"> Malicious or compromised extension.</w:t>
      </w:r>
      <w:r>
        <w:rPr/>
        <w:br/>
      </w:r>
      <w:r>
        <w:rPr>
          <w:b/>
          <w:color w:val="172236"/>
          <w:sz w:val="19"/>
        </w:rPr>
        <w:t>Mitigation:</w:t>
      </w:r>
      <w:r>
        <w:rPr>
          <w:color w:val="172236"/>
          <w:sz w:val="19"/>
        </w:rPr>
        <w:t xml:space="preserve"> Signing, sandbox, capabilities, review, revocation.</w:t>
      </w:r>
    </w:p>
    <w:p>
      <w:pPr>
        <w:pStyle w:val="Heading2"/>
        <w:pBdr>
          <w:left w:val="single" w:sz="14" w:space="4" w:color="8B5CF6"/>
        </w:pBdr>
        <w:rPr/>
      </w:pPr>
      <w:bookmarkStart w:id="242" w:name="__RefHeading___Toc7204_2150751134"/>
      <w:bookmarkEnd w:id="242"/>
      <w:r>
        <w:rPr>
          <w:rFonts w:ascii="Lato" w:hAnsi="Lato"/>
          <w:color w:val="172236"/>
          <w:sz w:val="29"/>
        </w:rPr>
        <w:t>35.8 Data Poisoning</w:t>
      </w:r>
    </w:p>
    <w:p>
      <w:pPr>
        <w:pStyle w:val="Normal"/>
        <w:rPr/>
      </w:pPr>
      <w:r>
        <w:rPr>
          <w:b/>
          <w:color w:val="172236"/>
          <w:sz w:val="19"/>
        </w:rPr>
        <w:t>Risk:</w:t>
      </w:r>
      <w:r>
        <w:rPr>
          <w:color w:val="172236"/>
          <w:sz w:val="19"/>
        </w:rPr>
        <w:t xml:space="preserve"> Bad data corrupts models or signals.</w:t>
      </w:r>
      <w:r>
        <w:rPr/>
        <w:br/>
      </w:r>
      <w:r>
        <w:rPr>
          <w:b/>
          <w:color w:val="172236"/>
          <w:sz w:val="19"/>
        </w:rPr>
        <w:t>Mitigation:</w:t>
      </w:r>
      <w:r>
        <w:rPr>
          <w:color w:val="172236"/>
          <w:sz w:val="19"/>
        </w:rPr>
        <w:t xml:space="preserve"> Provenance, cross-checks, quarantine, immutable snapshots.</w:t>
      </w:r>
    </w:p>
    <w:p>
      <w:pPr>
        <w:pStyle w:val="Heading2"/>
        <w:pBdr>
          <w:left w:val="single" w:sz="14" w:space="4" w:color="8B5CF6"/>
        </w:pBdr>
        <w:rPr/>
      </w:pPr>
      <w:bookmarkStart w:id="243" w:name="__RefHeading___Toc7206_2150751134"/>
      <w:bookmarkEnd w:id="243"/>
      <w:r>
        <w:rPr>
          <w:rFonts w:ascii="Lato" w:hAnsi="Lato"/>
          <w:color w:val="172236"/>
          <w:sz w:val="29"/>
        </w:rPr>
        <w:t>35.9 Complexity</w:t>
      </w:r>
    </w:p>
    <w:p>
      <w:pPr>
        <w:pStyle w:val="Normal"/>
        <w:rPr/>
      </w:pPr>
      <w:r>
        <w:rPr>
          <w:b/>
          <w:color w:val="172236"/>
          <w:sz w:val="19"/>
        </w:rPr>
        <w:t>Risk:</w:t>
      </w:r>
      <w:r>
        <w:rPr>
          <w:color w:val="172236"/>
          <w:sz w:val="19"/>
        </w:rPr>
        <w:t xml:space="preserve"> Product attempts too much too early.</w:t>
      </w:r>
      <w:r>
        <w:rPr/>
        <w:br/>
      </w:r>
      <w:r>
        <w:rPr>
          <w:b/>
          <w:color w:val="172236"/>
          <w:sz w:val="19"/>
        </w:rPr>
        <w:t>Mitigation:</w:t>
      </w:r>
      <w:r>
        <w:rPr>
          <w:color w:val="172236"/>
          <w:sz w:val="19"/>
        </w:rPr>
        <w:t xml:space="preserve"> Crypto MVP, options wedge, phase gates, modular monolith.</w:t>
      </w:r>
    </w:p>
    <w:p>
      <w:pPr>
        <w:pStyle w:val="Heading2"/>
        <w:pBdr>
          <w:left w:val="single" w:sz="14" w:space="4" w:color="8B5CF6"/>
        </w:pBdr>
        <w:rPr/>
      </w:pPr>
      <w:bookmarkStart w:id="244" w:name="__RefHeading___Toc7208_2150751134"/>
      <w:bookmarkEnd w:id="244"/>
      <w:r>
        <w:rPr>
          <w:rFonts w:ascii="Lato" w:hAnsi="Lato"/>
          <w:color w:val="172236"/>
          <w:sz w:val="29"/>
        </w:rPr>
        <w:t>35.10 Regulatory Exposure</w:t>
      </w:r>
    </w:p>
    <w:p>
      <w:pPr>
        <w:pStyle w:val="Normal"/>
        <w:rPr/>
      </w:pPr>
      <w:r>
        <w:rPr>
          <w:b/>
          <w:color w:val="172236"/>
          <w:sz w:val="19"/>
        </w:rPr>
        <w:t>Risk:</w:t>
      </w:r>
      <w:r>
        <w:rPr>
          <w:color w:val="172236"/>
          <w:sz w:val="19"/>
        </w:rPr>
        <w:t xml:space="preserve"> Product behavior crosses into regulated advice, brokerage, or automated trading obligations.</w:t>
      </w:r>
      <w:r>
        <w:rPr/>
        <w:br/>
      </w:r>
      <w:r>
        <w:rPr>
          <w:b/>
          <w:color w:val="172236"/>
          <w:sz w:val="19"/>
        </w:rPr>
        <w:t>Mitigation:</w:t>
      </w:r>
      <w:r>
        <w:rPr>
          <w:color w:val="172236"/>
          <w:sz w:val="19"/>
        </w:rPr>
        <w:t xml:space="preserve"> Specialized legal review, clear role definition, disclosures, licensing analysis, geographic controls.</w:t>
      </w:r>
    </w:p>
    <w:p>
      <w:pPr>
        <w:pStyle w:val="Heading1"/>
        <w:pBdr>
          <w:bottom w:val="single" w:sz="12" w:space="5" w:color="33C7F2"/>
        </w:pBdr>
        <w:rPr/>
      </w:pPr>
      <w:bookmarkStart w:id="245" w:name="__RefHeading___Toc7210_2150751134"/>
      <w:bookmarkEnd w:id="245"/>
      <w:r>
        <w:rPr>
          <w:rFonts w:ascii="Lato" w:hAnsi="Lato"/>
          <w:color w:val="172236"/>
          <w:sz w:val="42"/>
        </w:rPr>
        <w:t>36. Recommended Technology Decisions</w:t>
      </w:r>
    </w:p>
    <w:p>
      <w:pPr>
        <w:pStyle w:val="Heading2"/>
        <w:pBdr>
          <w:left w:val="single" w:sz="14" w:space="4" w:color="8B5CF6"/>
        </w:pBdr>
        <w:rPr/>
      </w:pPr>
      <w:bookmarkStart w:id="246" w:name="__RefHeading___Toc7212_2150751134"/>
      <w:bookmarkEnd w:id="246"/>
      <w:r>
        <w:rPr>
          <w:rFonts w:ascii="Lato" w:hAnsi="Lato"/>
          <w:color w:val="172236"/>
          <w:sz w:val="29"/>
        </w:rPr>
        <w:t>Core</w:t>
      </w:r>
    </w:p>
    <w:p>
      <w:pPr>
        <w:pStyle w:val="ListBullet"/>
        <w:numPr>
          <w:ilvl w:val="0"/>
          <w:numId w:val="1"/>
        </w:numPr>
        <w:rPr/>
      </w:pPr>
      <w:r>
        <w:rPr>
          <w:color w:val="172236"/>
          <w:sz w:val="18"/>
        </w:rPr>
        <w:t>Rust stable toolchain.</w:t>
      </w:r>
    </w:p>
    <w:p>
      <w:pPr>
        <w:pStyle w:val="ListBullet"/>
        <w:numPr>
          <w:ilvl w:val="0"/>
          <w:numId w:val="1"/>
        </w:numPr>
        <w:rPr/>
      </w:pPr>
      <w:r>
        <w:rPr>
          <w:color w:val="172236"/>
          <w:sz w:val="18"/>
        </w:rPr>
        <w:t>Tokio.</w:t>
      </w:r>
    </w:p>
    <w:p>
      <w:pPr>
        <w:pStyle w:val="ListBullet"/>
        <w:numPr>
          <w:ilvl w:val="0"/>
          <w:numId w:val="1"/>
        </w:numPr>
        <w:rPr/>
      </w:pPr>
      <w:r>
        <w:rPr>
          <w:color w:val="172236"/>
          <w:sz w:val="18"/>
        </w:rPr>
        <w:t>Axum.</w:t>
      </w:r>
    </w:p>
    <w:p>
      <w:pPr>
        <w:pStyle w:val="ListBullet"/>
        <w:numPr>
          <w:ilvl w:val="0"/>
          <w:numId w:val="1"/>
        </w:numPr>
        <w:rPr/>
      </w:pPr>
      <w:r>
        <w:rPr>
          <w:color w:val="172236"/>
          <w:sz w:val="18"/>
        </w:rPr>
        <w:t>SQLx.</w:t>
      </w:r>
    </w:p>
    <w:p>
      <w:pPr>
        <w:pStyle w:val="ListBullet"/>
        <w:numPr>
          <w:ilvl w:val="0"/>
          <w:numId w:val="1"/>
        </w:numPr>
        <w:rPr/>
      </w:pPr>
      <w:r>
        <w:rPr>
          <w:color w:val="172236"/>
          <w:sz w:val="18"/>
        </w:rPr>
        <w:t>Serde.</w:t>
      </w:r>
    </w:p>
    <w:p>
      <w:pPr>
        <w:pStyle w:val="ListBullet"/>
        <w:numPr>
          <w:ilvl w:val="0"/>
          <w:numId w:val="1"/>
        </w:numPr>
        <w:rPr/>
      </w:pPr>
      <w:r>
        <w:rPr>
          <w:color w:val="172236"/>
          <w:sz w:val="18"/>
        </w:rPr>
        <w:t>thiserror/anyhow by layer.</w:t>
      </w:r>
    </w:p>
    <w:p>
      <w:pPr>
        <w:pStyle w:val="ListBullet"/>
        <w:numPr>
          <w:ilvl w:val="0"/>
          <w:numId w:val="1"/>
        </w:numPr>
        <w:rPr/>
      </w:pPr>
      <w:r>
        <w:rPr>
          <w:color w:val="172236"/>
          <w:sz w:val="18"/>
        </w:rPr>
        <w:t>tracing/OpenTelemetry.</w:t>
      </w:r>
    </w:p>
    <w:p>
      <w:pPr>
        <w:pStyle w:val="ListBullet"/>
        <w:numPr>
          <w:ilvl w:val="0"/>
          <w:numId w:val="1"/>
        </w:numPr>
        <w:rPr/>
      </w:pPr>
      <w:r>
        <w:rPr>
          <w:color w:val="172236"/>
          <w:sz w:val="18"/>
        </w:rPr>
        <w:t>reqwest.</w:t>
      </w:r>
    </w:p>
    <w:p>
      <w:pPr>
        <w:pStyle w:val="ListBullet"/>
        <w:numPr>
          <w:ilvl w:val="0"/>
          <w:numId w:val="1"/>
        </w:numPr>
        <w:rPr/>
      </w:pPr>
      <w:r>
        <w:rPr>
          <w:color w:val="172236"/>
          <w:sz w:val="18"/>
        </w:rPr>
        <w:t>rust_decimal for authoritative monetary amounts where appropriate.</w:t>
      </w:r>
    </w:p>
    <w:p>
      <w:pPr>
        <w:pStyle w:val="ListBullet"/>
        <w:numPr>
          <w:ilvl w:val="0"/>
          <w:numId w:val="1"/>
        </w:numPr>
        <w:rPr/>
      </w:pPr>
      <w:r>
        <w:rPr>
          <w:color w:val="172236"/>
          <w:sz w:val="18"/>
        </w:rPr>
        <w:t>Polars/Arrow.</w:t>
      </w:r>
    </w:p>
    <w:p>
      <w:pPr>
        <w:pStyle w:val="ListBullet"/>
        <w:numPr>
          <w:ilvl w:val="0"/>
          <w:numId w:val="1"/>
        </w:numPr>
        <w:rPr/>
      </w:pPr>
      <w:r>
        <w:rPr>
          <w:color w:val="172236"/>
          <w:sz w:val="18"/>
        </w:rPr>
        <w:t>Rayon.</w:t>
      </w:r>
    </w:p>
    <w:p>
      <w:pPr>
        <w:pStyle w:val="ListBullet"/>
        <w:numPr>
          <w:ilvl w:val="0"/>
          <w:numId w:val="1"/>
        </w:numPr>
        <w:rPr/>
      </w:pPr>
      <w:r>
        <w:rPr>
          <w:color w:val="172236"/>
          <w:sz w:val="18"/>
        </w:rPr>
        <w:t>Tauri 2.</w:t>
      </w:r>
    </w:p>
    <w:p>
      <w:pPr>
        <w:pStyle w:val="ListBullet"/>
        <w:numPr>
          <w:ilvl w:val="0"/>
          <w:numId w:val="1"/>
        </w:numPr>
        <w:rPr/>
      </w:pPr>
      <w:r>
        <w:rPr>
          <w:color w:val="172236"/>
          <w:sz w:val="18"/>
        </w:rPr>
        <w:t>SvelteKit and Svelte 5.</w:t>
      </w:r>
    </w:p>
    <w:p>
      <w:pPr>
        <w:pStyle w:val="ListBullet"/>
        <w:numPr>
          <w:ilvl w:val="0"/>
          <w:numId w:val="1"/>
        </w:numPr>
        <w:rPr/>
      </w:pPr>
      <w:r>
        <w:rPr>
          <w:color w:val="172236"/>
          <w:sz w:val="18"/>
        </w:rPr>
        <w:t>TypeScript strict mode.</w:t>
      </w:r>
    </w:p>
    <w:p>
      <w:pPr>
        <w:pStyle w:val="ListBullet"/>
        <w:numPr>
          <w:ilvl w:val="0"/>
          <w:numId w:val="1"/>
        </w:numPr>
        <w:rPr/>
      </w:pPr>
      <w:r>
        <w:rPr>
          <w:color w:val="172236"/>
          <w:sz w:val="18"/>
        </w:rPr>
        <w:t>Valibot or Zod at UI boundaries.</w:t>
      </w:r>
    </w:p>
    <w:p>
      <w:pPr>
        <w:pStyle w:val="ListBullet"/>
        <w:numPr>
          <w:ilvl w:val="0"/>
          <w:numId w:val="1"/>
        </w:numPr>
        <w:rPr/>
      </w:pPr>
      <w:r>
        <w:rPr>
          <w:color w:val="172236"/>
          <w:sz w:val="18"/>
        </w:rPr>
        <w:t>pnpm.</w:t>
      </w:r>
    </w:p>
    <w:p>
      <w:pPr>
        <w:pStyle w:val="ListBullet"/>
        <w:numPr>
          <w:ilvl w:val="0"/>
          <w:numId w:val="1"/>
        </w:numPr>
        <w:rPr/>
      </w:pPr>
      <w:r>
        <w:rPr>
          <w:color w:val="172236"/>
          <w:sz w:val="18"/>
        </w:rPr>
        <w:t>wgpu and WGSL.</w:t>
      </w:r>
    </w:p>
    <w:p>
      <w:pPr>
        <w:pStyle w:val="ListBullet"/>
        <w:numPr>
          <w:ilvl w:val="0"/>
          <w:numId w:val="1"/>
        </w:numPr>
        <w:rPr/>
      </w:pPr>
      <w:r>
        <w:rPr>
          <w:color w:val="172236"/>
          <w:sz w:val="18"/>
        </w:rPr>
        <w:t>PostgreSQL.</w:t>
      </w:r>
    </w:p>
    <w:p>
      <w:pPr>
        <w:pStyle w:val="ListBullet"/>
        <w:numPr>
          <w:ilvl w:val="0"/>
          <w:numId w:val="1"/>
        </w:numPr>
        <w:rPr/>
      </w:pPr>
      <w:r>
        <w:rPr>
          <w:color w:val="172236"/>
          <w:sz w:val="18"/>
        </w:rPr>
        <w:t>ClickHouse.</w:t>
      </w:r>
    </w:p>
    <w:p>
      <w:pPr>
        <w:pStyle w:val="ListBullet"/>
        <w:numPr>
          <w:ilvl w:val="0"/>
          <w:numId w:val="1"/>
        </w:numPr>
        <w:rPr/>
      </w:pPr>
      <w:r>
        <w:rPr>
          <w:color w:val="172236"/>
          <w:sz w:val="18"/>
        </w:rPr>
        <w:t>DuckDB.</w:t>
      </w:r>
    </w:p>
    <w:p>
      <w:pPr>
        <w:pStyle w:val="ListBullet"/>
        <w:numPr>
          <w:ilvl w:val="0"/>
          <w:numId w:val="1"/>
        </w:numPr>
        <w:rPr/>
      </w:pPr>
      <w:r>
        <w:rPr>
          <w:color w:val="172236"/>
          <w:sz w:val="18"/>
        </w:rPr>
        <w:t>SQLite.</w:t>
      </w:r>
    </w:p>
    <w:p>
      <w:pPr>
        <w:pStyle w:val="ListBullet"/>
        <w:numPr>
          <w:ilvl w:val="0"/>
          <w:numId w:val="1"/>
        </w:numPr>
        <w:rPr/>
      </w:pPr>
      <w:r>
        <w:rPr>
          <w:color w:val="172236"/>
          <w:sz w:val="18"/>
        </w:rPr>
        <w:t>NATS JetStream when durable event streaming is needed.</w:t>
      </w:r>
    </w:p>
    <w:p>
      <w:pPr>
        <w:pStyle w:val="ListBullet"/>
        <w:numPr>
          <w:ilvl w:val="0"/>
          <w:numId w:val="1"/>
        </w:numPr>
        <w:rPr/>
      </w:pPr>
      <w:r>
        <w:rPr>
          <w:color w:val="172236"/>
          <w:sz w:val="18"/>
        </w:rPr>
        <w:t>Object storage compatible with S3 APIs.</w:t>
      </w:r>
    </w:p>
    <w:p>
      <w:pPr>
        <w:pStyle w:val="Heading2"/>
        <w:pBdr>
          <w:left w:val="single" w:sz="14" w:space="4" w:color="8B5CF6"/>
        </w:pBdr>
        <w:rPr/>
      </w:pPr>
      <w:bookmarkStart w:id="247" w:name="__RefHeading___Toc7214_2150751134"/>
      <w:bookmarkEnd w:id="247"/>
      <w:r>
        <w:rPr>
          <w:rFonts w:ascii="Lato" w:hAnsi="Lato"/>
          <w:color w:val="172236"/>
          <w:sz w:val="29"/>
        </w:rPr>
        <w:t>Security</w:t>
      </w:r>
    </w:p>
    <w:p>
      <w:pPr>
        <w:pStyle w:val="ListBullet"/>
        <w:numPr>
          <w:ilvl w:val="0"/>
          <w:numId w:val="1"/>
        </w:numPr>
        <w:rPr/>
      </w:pPr>
      <w:r>
        <w:rPr>
          <w:color w:val="172236"/>
          <w:sz w:val="18"/>
        </w:rPr>
        <w:t>OS keychain integration.</w:t>
      </w:r>
    </w:p>
    <w:p>
      <w:pPr>
        <w:pStyle w:val="ListBullet"/>
        <w:numPr>
          <w:ilvl w:val="0"/>
          <w:numId w:val="1"/>
        </w:numPr>
        <w:rPr/>
      </w:pPr>
      <w:r>
        <w:rPr>
          <w:color w:val="172236"/>
          <w:sz w:val="18"/>
        </w:rPr>
        <w:t>secrecy.</w:t>
      </w:r>
    </w:p>
    <w:p>
      <w:pPr>
        <w:pStyle w:val="ListBullet"/>
        <w:numPr>
          <w:ilvl w:val="0"/>
          <w:numId w:val="1"/>
        </w:numPr>
        <w:rPr/>
      </w:pPr>
      <w:r>
        <w:rPr>
          <w:color w:val="172236"/>
          <w:sz w:val="18"/>
        </w:rPr>
        <w:t>zeroize.</w:t>
      </w:r>
    </w:p>
    <w:p>
      <w:pPr>
        <w:pStyle w:val="ListBullet"/>
        <w:numPr>
          <w:ilvl w:val="0"/>
          <w:numId w:val="1"/>
        </w:numPr>
        <w:rPr/>
      </w:pPr>
      <w:r>
        <w:rPr>
          <w:color w:val="172236"/>
          <w:sz w:val="18"/>
        </w:rPr>
        <w:t>rustls.</w:t>
      </w:r>
    </w:p>
    <w:p>
      <w:pPr>
        <w:pStyle w:val="ListBullet"/>
        <w:numPr>
          <w:ilvl w:val="0"/>
          <w:numId w:val="1"/>
        </w:numPr>
        <w:rPr/>
      </w:pPr>
      <w:r>
        <w:rPr>
          <w:color w:val="172236"/>
          <w:sz w:val="18"/>
        </w:rPr>
        <w:t>Argon2id for password-derived keys where required.</w:t>
      </w:r>
    </w:p>
    <w:p>
      <w:pPr>
        <w:pStyle w:val="ListBullet"/>
        <w:numPr>
          <w:ilvl w:val="0"/>
          <w:numId w:val="1"/>
        </w:numPr>
        <w:rPr/>
      </w:pPr>
      <w:r>
        <w:rPr>
          <w:color w:val="172236"/>
          <w:sz w:val="18"/>
        </w:rPr>
        <w:t>AES-256-GCM or XChaCha20-Poly1305 for authenticated local encryption.</w:t>
      </w:r>
    </w:p>
    <w:p>
      <w:pPr>
        <w:pStyle w:val="ListBullet"/>
        <w:numPr>
          <w:ilvl w:val="0"/>
          <w:numId w:val="1"/>
        </w:numPr>
        <w:rPr/>
      </w:pPr>
      <w:r>
        <w:rPr>
          <w:color w:val="172236"/>
          <w:sz w:val="18"/>
        </w:rPr>
        <w:t>OIDC/passkeys.</w:t>
      </w:r>
    </w:p>
    <w:p>
      <w:pPr>
        <w:pStyle w:val="ListBullet"/>
        <w:numPr>
          <w:ilvl w:val="0"/>
          <w:numId w:val="1"/>
        </w:numPr>
        <w:rPr/>
      </w:pPr>
      <w:r>
        <w:rPr>
          <w:color w:val="172236"/>
          <w:sz w:val="18"/>
        </w:rPr>
        <w:t>Vault/KMS/HSM for server keys.</w:t>
      </w:r>
    </w:p>
    <w:p>
      <w:pPr>
        <w:pStyle w:val="ListBullet"/>
        <w:numPr>
          <w:ilvl w:val="0"/>
          <w:numId w:val="1"/>
        </w:numPr>
        <w:rPr/>
      </w:pPr>
      <w:r>
        <w:rPr>
          <w:color w:val="172236"/>
          <w:sz w:val="18"/>
        </w:rPr>
        <w:t>Sigstore/cosign for supply-chain artifacts where applicable.</w:t>
      </w:r>
    </w:p>
    <w:p>
      <w:pPr>
        <w:pStyle w:val="ListBullet"/>
        <w:numPr>
          <w:ilvl w:val="0"/>
          <w:numId w:val="1"/>
        </w:numPr>
        <w:rPr/>
      </w:pPr>
      <w:r>
        <w:rPr>
          <w:color w:val="172236"/>
          <w:sz w:val="18"/>
        </w:rPr>
        <w:t>NIST-standardized PQC through maintained and verified implementations as ecosystem maturity allows.</w:t>
      </w:r>
    </w:p>
    <w:p>
      <w:pPr>
        <w:pStyle w:val="Heading2"/>
        <w:pBdr>
          <w:left w:val="single" w:sz="14" w:space="4" w:color="8B5CF6"/>
        </w:pBdr>
        <w:rPr/>
      </w:pPr>
      <w:bookmarkStart w:id="248" w:name="__RefHeading___Toc7216_2150751134"/>
      <w:bookmarkEnd w:id="248"/>
      <w:r>
        <w:rPr>
          <w:rFonts w:ascii="Lato" w:hAnsi="Lato"/>
          <w:color w:val="172236"/>
          <w:sz w:val="29"/>
        </w:rPr>
        <w:t>Frontend</w:t>
      </w:r>
    </w:p>
    <w:p>
      <w:pPr>
        <w:pStyle w:val="ListBullet"/>
        <w:numPr>
          <w:ilvl w:val="0"/>
          <w:numId w:val="1"/>
        </w:numPr>
        <w:rPr/>
      </w:pPr>
      <w:r>
        <w:rPr>
          <w:color w:val="172236"/>
          <w:sz w:val="18"/>
        </w:rPr>
        <w:t>Design-token package.</w:t>
      </w:r>
    </w:p>
    <w:p>
      <w:pPr>
        <w:pStyle w:val="ListBullet"/>
        <w:numPr>
          <w:ilvl w:val="0"/>
          <w:numId w:val="1"/>
        </w:numPr>
        <w:rPr/>
      </w:pPr>
      <w:r>
        <w:rPr>
          <w:color w:val="172236"/>
          <w:sz w:val="18"/>
        </w:rPr>
        <w:t>CSS variables.</w:t>
      </w:r>
    </w:p>
    <w:p>
      <w:pPr>
        <w:pStyle w:val="ListBullet"/>
        <w:numPr>
          <w:ilvl w:val="0"/>
          <w:numId w:val="1"/>
        </w:numPr>
        <w:rPr/>
      </w:pPr>
      <w:r>
        <w:rPr>
          <w:color w:val="172236"/>
          <w:sz w:val="18"/>
        </w:rPr>
        <w:t>Svelte transitions used sparingly.</w:t>
      </w:r>
    </w:p>
    <w:p>
      <w:pPr>
        <w:pStyle w:val="ListBullet"/>
        <w:numPr>
          <w:ilvl w:val="0"/>
          <w:numId w:val="1"/>
        </w:numPr>
        <w:rPr/>
      </w:pPr>
      <w:r>
        <w:rPr>
          <w:color w:val="172236"/>
          <w:sz w:val="18"/>
        </w:rPr>
        <w:t>Web Animations API where appropriate.</w:t>
      </w:r>
    </w:p>
    <w:p>
      <w:pPr>
        <w:pStyle w:val="ListBullet"/>
        <w:numPr>
          <w:ilvl w:val="0"/>
          <w:numId w:val="1"/>
        </w:numPr>
        <w:rPr/>
      </w:pPr>
      <w:r>
        <w:rPr>
          <w:color w:val="172236"/>
          <w:sz w:val="18"/>
        </w:rPr>
        <w:t>Canvas/WebGPU for dense visuals.</w:t>
      </w:r>
    </w:p>
    <w:p>
      <w:pPr>
        <w:pStyle w:val="ListBullet"/>
        <w:numPr>
          <w:ilvl w:val="0"/>
          <w:numId w:val="1"/>
        </w:numPr>
        <w:rPr/>
      </w:pPr>
      <w:r>
        <w:rPr>
          <w:color w:val="172236"/>
          <w:sz w:val="18"/>
        </w:rPr>
        <w:t>SVG for accessible low-density graphics.</w:t>
      </w:r>
    </w:p>
    <w:p>
      <w:pPr>
        <w:pStyle w:val="ListBullet"/>
        <w:numPr>
          <w:ilvl w:val="0"/>
          <w:numId w:val="1"/>
        </w:numPr>
        <w:rPr/>
      </w:pPr>
      <w:r>
        <w:rPr>
          <w:color w:val="172236"/>
          <w:sz w:val="18"/>
        </w:rPr>
        <w:t>Floating UI for overlays.</w:t>
      </w:r>
    </w:p>
    <w:p>
      <w:pPr>
        <w:pStyle w:val="ListBullet"/>
        <w:numPr>
          <w:ilvl w:val="0"/>
          <w:numId w:val="1"/>
        </w:numPr>
        <w:rPr/>
      </w:pPr>
      <w:r>
        <w:rPr>
          <w:color w:val="172236"/>
          <w:sz w:val="18"/>
        </w:rPr>
        <w:t>Accessible headless primitives with careful dependency review.</w:t>
      </w:r>
    </w:p>
    <w:p>
      <w:pPr>
        <w:pStyle w:val="ListBullet"/>
        <w:numPr>
          <w:ilvl w:val="0"/>
          <w:numId w:val="1"/>
        </w:numPr>
        <w:rPr/>
      </w:pPr>
      <w:r>
        <w:rPr>
          <w:color w:val="172236"/>
          <w:sz w:val="18"/>
        </w:rPr>
        <w:t>Playwright.</w:t>
      </w:r>
    </w:p>
    <w:p>
      <w:pPr>
        <w:pStyle w:val="ListBullet"/>
        <w:numPr>
          <w:ilvl w:val="0"/>
          <w:numId w:val="1"/>
        </w:numPr>
        <w:rPr/>
      </w:pPr>
      <w:r>
        <w:rPr>
          <w:color w:val="172236"/>
          <w:sz w:val="18"/>
        </w:rPr>
        <w:t>Vitest.</w:t>
      </w:r>
    </w:p>
    <w:p>
      <w:pPr>
        <w:pStyle w:val="Heading1"/>
        <w:pBdr>
          <w:bottom w:val="single" w:sz="12" w:space="5" w:color="33C7F2"/>
        </w:pBdr>
        <w:rPr/>
      </w:pPr>
      <w:bookmarkStart w:id="249" w:name="__RefHeading___Toc7218_2150751134"/>
      <w:bookmarkEnd w:id="249"/>
      <w:r>
        <w:rPr>
          <w:rFonts w:ascii="Lato" w:hAnsi="Lato"/>
          <w:color w:val="172236"/>
          <w:sz w:val="42"/>
        </w:rPr>
        <w:t>37. Future Advancements Beyond the Initial Vision</w:t>
      </w:r>
    </w:p>
    <w:p>
      <w:pPr>
        <w:pStyle w:val="Heading2"/>
        <w:pBdr>
          <w:left w:val="single" w:sz="14" w:space="4" w:color="8B5CF6"/>
        </w:pBdr>
        <w:rPr/>
      </w:pPr>
      <w:bookmarkStart w:id="250" w:name="__RefHeading___Toc7220_2150751134"/>
      <w:bookmarkEnd w:id="250"/>
      <w:r>
        <w:rPr>
          <w:rFonts w:ascii="Lato" w:hAnsi="Lato"/>
          <w:color w:val="172236"/>
          <w:sz w:val="29"/>
        </w:rPr>
        <w:t>37.1 Causal Market Graph</w:t>
      </w:r>
    </w:p>
    <w:p>
      <w:pPr>
        <w:pStyle w:val="Normal"/>
        <w:rPr/>
      </w:pPr>
      <w:r>
        <w:rPr>
          <w:color w:val="172236"/>
          <w:sz w:val="19"/>
        </w:rPr>
        <w:t>Move beyond correlation by representing hypothesized causal pathways among:</w:t>
      </w:r>
    </w:p>
    <w:p>
      <w:pPr>
        <w:pStyle w:val="ListBullet"/>
        <w:numPr>
          <w:ilvl w:val="0"/>
          <w:numId w:val="1"/>
        </w:numPr>
        <w:rPr/>
      </w:pPr>
      <w:r>
        <w:rPr>
          <w:color w:val="172236"/>
          <w:sz w:val="18"/>
        </w:rPr>
        <w:t>Macro releases.</w:t>
      </w:r>
    </w:p>
    <w:p>
      <w:pPr>
        <w:pStyle w:val="ListBullet"/>
        <w:numPr>
          <w:ilvl w:val="0"/>
          <w:numId w:val="1"/>
        </w:numPr>
        <w:rPr/>
      </w:pPr>
      <w:r>
        <w:rPr>
          <w:color w:val="172236"/>
          <w:sz w:val="18"/>
        </w:rPr>
        <w:t>Rates.</w:t>
      </w:r>
    </w:p>
    <w:p>
      <w:pPr>
        <w:pStyle w:val="ListBullet"/>
        <w:numPr>
          <w:ilvl w:val="0"/>
          <w:numId w:val="1"/>
        </w:numPr>
        <w:rPr/>
      </w:pPr>
      <w:r>
        <w:rPr>
          <w:color w:val="172236"/>
          <w:sz w:val="18"/>
        </w:rPr>
        <w:t>Sectors.</w:t>
      </w:r>
    </w:p>
    <w:p>
      <w:pPr>
        <w:pStyle w:val="ListBullet"/>
        <w:numPr>
          <w:ilvl w:val="0"/>
          <w:numId w:val="1"/>
        </w:numPr>
        <w:rPr/>
      </w:pPr>
      <w:r>
        <w:rPr>
          <w:color w:val="172236"/>
          <w:sz w:val="18"/>
        </w:rPr>
        <w:t>Companies.</w:t>
      </w:r>
    </w:p>
    <w:p>
      <w:pPr>
        <w:pStyle w:val="ListBullet"/>
        <w:numPr>
          <w:ilvl w:val="0"/>
          <w:numId w:val="1"/>
        </w:numPr>
        <w:rPr/>
      </w:pPr>
      <w:r>
        <w:rPr>
          <w:color w:val="172236"/>
          <w:sz w:val="18"/>
        </w:rPr>
        <w:t>Options.</w:t>
      </w:r>
    </w:p>
    <w:p>
      <w:pPr>
        <w:pStyle w:val="ListBullet"/>
        <w:numPr>
          <w:ilvl w:val="0"/>
          <w:numId w:val="1"/>
        </w:numPr>
        <w:rPr/>
      </w:pPr>
      <w:r>
        <w:rPr>
          <w:color w:val="172236"/>
          <w:sz w:val="18"/>
        </w:rPr>
        <w:t>Crypto.</w:t>
      </w:r>
    </w:p>
    <w:p>
      <w:pPr>
        <w:pStyle w:val="ListBullet"/>
        <w:numPr>
          <w:ilvl w:val="0"/>
          <w:numId w:val="1"/>
        </w:numPr>
        <w:rPr/>
      </w:pPr>
      <w:r>
        <w:rPr>
          <w:color w:val="172236"/>
          <w:sz w:val="18"/>
        </w:rPr>
        <w:t>Institutional flows.</w:t>
      </w:r>
    </w:p>
    <w:p>
      <w:pPr>
        <w:pStyle w:val="ListBullet"/>
        <w:numPr>
          <w:ilvl w:val="0"/>
          <w:numId w:val="1"/>
        </w:numPr>
        <w:rPr/>
      </w:pPr>
      <w:r>
        <w:rPr>
          <w:color w:val="172236"/>
          <w:sz w:val="18"/>
        </w:rPr>
        <w:t>Events.</w:t>
      </w:r>
    </w:p>
    <w:p>
      <w:pPr>
        <w:pStyle w:val="Normal"/>
        <w:rPr/>
      </w:pPr>
      <w:r>
        <w:rPr>
          <w:color w:val="172236"/>
          <w:sz w:val="19"/>
        </w:rPr>
        <w:t>The system must distinguish learned association from validated causality.</w:t>
      </w:r>
    </w:p>
    <w:p>
      <w:pPr>
        <w:pStyle w:val="Heading2"/>
        <w:pBdr>
          <w:left w:val="single" w:sz="14" w:space="4" w:color="8B5CF6"/>
        </w:pBdr>
        <w:rPr/>
      </w:pPr>
      <w:bookmarkStart w:id="251" w:name="__RefHeading___Toc7222_2150751134"/>
      <w:bookmarkEnd w:id="251"/>
      <w:r>
        <w:rPr>
          <w:rFonts w:ascii="Lato" w:hAnsi="Lato"/>
          <w:color w:val="172236"/>
          <w:sz w:val="29"/>
        </w:rPr>
        <w:t>37.2 Market Digital Twin</w:t>
      </w:r>
    </w:p>
    <w:p>
      <w:pPr>
        <w:pStyle w:val="Normal"/>
        <w:rPr/>
      </w:pPr>
      <w:r>
        <w:rPr>
          <w:color w:val="172236"/>
          <w:sz w:val="19"/>
        </w:rPr>
        <w:t>Create a replayable market environment containing:</w:t>
      </w:r>
    </w:p>
    <w:p>
      <w:pPr>
        <w:pStyle w:val="ListBullet"/>
        <w:numPr>
          <w:ilvl w:val="0"/>
          <w:numId w:val="1"/>
        </w:numPr>
        <w:rPr/>
      </w:pPr>
      <w:r>
        <w:rPr>
          <w:color w:val="172236"/>
          <w:sz w:val="18"/>
        </w:rPr>
        <w:t>Historical order/quote approximations.</w:t>
      </w:r>
    </w:p>
    <w:p>
      <w:pPr>
        <w:pStyle w:val="ListBullet"/>
        <w:numPr>
          <w:ilvl w:val="0"/>
          <w:numId w:val="1"/>
        </w:numPr>
        <w:rPr/>
      </w:pPr>
      <w:r>
        <w:rPr>
          <w:color w:val="172236"/>
          <w:sz w:val="18"/>
        </w:rPr>
        <w:t>Events.</w:t>
      </w:r>
    </w:p>
    <w:p>
      <w:pPr>
        <w:pStyle w:val="ListBullet"/>
        <w:numPr>
          <w:ilvl w:val="0"/>
          <w:numId w:val="1"/>
        </w:numPr>
        <w:rPr/>
      </w:pPr>
      <w:r>
        <w:rPr>
          <w:color w:val="172236"/>
          <w:sz w:val="18"/>
        </w:rPr>
        <w:t>Portfolios.</w:t>
      </w:r>
    </w:p>
    <w:p>
      <w:pPr>
        <w:pStyle w:val="ListBullet"/>
        <w:numPr>
          <w:ilvl w:val="0"/>
          <w:numId w:val="1"/>
        </w:numPr>
        <w:rPr/>
      </w:pPr>
      <w:r>
        <w:rPr>
          <w:color w:val="172236"/>
          <w:sz w:val="18"/>
        </w:rPr>
        <w:t>Strategies.</w:t>
      </w:r>
    </w:p>
    <w:p>
      <w:pPr>
        <w:pStyle w:val="ListBullet"/>
        <w:numPr>
          <w:ilvl w:val="0"/>
          <w:numId w:val="1"/>
        </w:numPr>
        <w:rPr/>
      </w:pPr>
      <w:r>
        <w:rPr>
          <w:color w:val="172236"/>
          <w:sz w:val="18"/>
        </w:rPr>
        <w:t>Agent behavior.</w:t>
      </w:r>
    </w:p>
    <w:p>
      <w:pPr>
        <w:pStyle w:val="ListBullet"/>
        <w:numPr>
          <w:ilvl w:val="0"/>
          <w:numId w:val="1"/>
        </w:numPr>
        <w:rPr/>
      </w:pPr>
      <w:r>
        <w:rPr>
          <w:color w:val="172236"/>
          <w:sz w:val="18"/>
        </w:rPr>
        <w:t>Liquidity shocks.</w:t>
      </w:r>
    </w:p>
    <w:p>
      <w:pPr>
        <w:pStyle w:val="ListBullet"/>
        <w:numPr>
          <w:ilvl w:val="0"/>
          <w:numId w:val="1"/>
        </w:numPr>
        <w:rPr/>
      </w:pPr>
      <w:r>
        <w:rPr>
          <w:color w:val="172236"/>
          <w:sz w:val="18"/>
        </w:rPr>
        <w:t>Correlation transitions.</w:t>
      </w:r>
    </w:p>
    <w:p>
      <w:pPr>
        <w:pStyle w:val="Heading2"/>
        <w:pBdr>
          <w:left w:val="single" w:sz="14" w:space="4" w:color="8B5CF6"/>
        </w:pBdr>
        <w:rPr/>
      </w:pPr>
      <w:bookmarkStart w:id="252" w:name="__RefHeading___Toc7224_2150751134"/>
      <w:bookmarkEnd w:id="252"/>
      <w:r>
        <w:rPr>
          <w:rFonts w:ascii="Lato" w:hAnsi="Lato"/>
          <w:color w:val="172236"/>
          <w:sz w:val="29"/>
        </w:rPr>
        <w:t>37.3 Federated Strategy Learning</w:t>
      </w:r>
    </w:p>
    <w:p>
      <w:pPr>
        <w:pStyle w:val="Normal"/>
        <w:rPr/>
      </w:pPr>
      <w:r>
        <w:rPr>
          <w:color w:val="172236"/>
          <w:sz w:val="19"/>
        </w:rPr>
        <w:t>Allow organizations to improve models across isolated environments without centralizing raw strategy data, subject to rigorous privacy and security review.</w:t>
      </w:r>
    </w:p>
    <w:p>
      <w:pPr>
        <w:pStyle w:val="Heading2"/>
        <w:pBdr>
          <w:left w:val="single" w:sz="14" w:space="4" w:color="8B5CF6"/>
        </w:pBdr>
        <w:rPr/>
      </w:pPr>
      <w:bookmarkStart w:id="253" w:name="__RefHeading___Toc7226_2150751134"/>
      <w:bookmarkEnd w:id="253"/>
      <w:r>
        <w:rPr>
          <w:rFonts w:ascii="Lato" w:hAnsi="Lato"/>
          <w:color w:val="172236"/>
          <w:sz w:val="29"/>
        </w:rPr>
        <w:t>37.4 Confidential Computing</w:t>
      </w:r>
    </w:p>
    <w:p>
      <w:pPr>
        <w:pStyle w:val="Normal"/>
        <w:rPr/>
      </w:pPr>
      <w:r>
        <w:rPr>
          <w:color w:val="172236"/>
          <w:sz w:val="19"/>
        </w:rPr>
        <w:t>Evaluate hardware-backed confidential VMs/enclaves for:</w:t>
      </w:r>
    </w:p>
    <w:p>
      <w:pPr>
        <w:pStyle w:val="ListBullet"/>
        <w:numPr>
          <w:ilvl w:val="0"/>
          <w:numId w:val="1"/>
        </w:numPr>
        <w:rPr/>
      </w:pPr>
      <w:r>
        <w:rPr>
          <w:color w:val="172236"/>
          <w:sz w:val="18"/>
        </w:rPr>
        <w:t>Strategy execution.</w:t>
      </w:r>
    </w:p>
    <w:p>
      <w:pPr>
        <w:pStyle w:val="ListBullet"/>
        <w:numPr>
          <w:ilvl w:val="0"/>
          <w:numId w:val="1"/>
        </w:numPr>
        <w:rPr/>
      </w:pPr>
      <w:r>
        <w:rPr>
          <w:color w:val="172236"/>
          <w:sz w:val="18"/>
        </w:rPr>
        <w:t>Sensitive model inference.</w:t>
      </w:r>
    </w:p>
    <w:p>
      <w:pPr>
        <w:pStyle w:val="ListBullet"/>
        <w:numPr>
          <w:ilvl w:val="0"/>
          <w:numId w:val="1"/>
        </w:numPr>
        <w:rPr/>
      </w:pPr>
      <w:r>
        <w:rPr>
          <w:color w:val="172236"/>
          <w:sz w:val="18"/>
        </w:rPr>
        <w:t>Key operations.</w:t>
      </w:r>
    </w:p>
    <w:p>
      <w:pPr>
        <w:pStyle w:val="ListBullet"/>
        <w:numPr>
          <w:ilvl w:val="0"/>
          <w:numId w:val="1"/>
        </w:numPr>
        <w:rPr/>
      </w:pPr>
      <w:r>
        <w:rPr>
          <w:color w:val="172236"/>
          <w:sz w:val="18"/>
        </w:rPr>
        <w:t>Shared institutional research.</w:t>
      </w:r>
    </w:p>
    <w:p>
      <w:pPr>
        <w:pStyle w:val="Heading2"/>
        <w:pBdr>
          <w:left w:val="single" w:sz="14" w:space="4" w:color="8B5CF6"/>
        </w:pBdr>
        <w:rPr/>
      </w:pPr>
      <w:bookmarkStart w:id="254" w:name="__RefHeading___Toc7228_2150751134"/>
      <w:bookmarkEnd w:id="254"/>
      <w:r>
        <w:rPr>
          <w:rFonts w:ascii="Lato" w:hAnsi="Lato"/>
          <w:color w:val="172236"/>
          <w:sz w:val="29"/>
        </w:rPr>
        <w:t>37.5 Verifiable Research Artifacts</w:t>
      </w:r>
    </w:p>
    <w:p>
      <w:pPr>
        <w:pStyle w:val="Normal"/>
        <w:rPr/>
      </w:pPr>
      <w:r>
        <w:rPr>
          <w:color w:val="172236"/>
          <w:sz w:val="19"/>
        </w:rPr>
        <w:t>Produce signed result bundles that contain:</w:t>
      </w:r>
    </w:p>
    <w:p>
      <w:pPr>
        <w:pStyle w:val="ListBullet"/>
        <w:numPr>
          <w:ilvl w:val="0"/>
          <w:numId w:val="1"/>
        </w:numPr>
        <w:rPr/>
      </w:pPr>
      <w:r>
        <w:rPr>
          <w:color w:val="172236"/>
          <w:sz w:val="18"/>
        </w:rPr>
        <w:t>Dataset hashes.</w:t>
      </w:r>
    </w:p>
    <w:p>
      <w:pPr>
        <w:pStyle w:val="ListBullet"/>
        <w:numPr>
          <w:ilvl w:val="0"/>
          <w:numId w:val="1"/>
        </w:numPr>
        <w:rPr/>
      </w:pPr>
      <w:r>
        <w:rPr>
          <w:color w:val="172236"/>
          <w:sz w:val="18"/>
        </w:rPr>
        <w:t>Code hash.</w:t>
      </w:r>
    </w:p>
    <w:p>
      <w:pPr>
        <w:pStyle w:val="ListBullet"/>
        <w:numPr>
          <w:ilvl w:val="0"/>
          <w:numId w:val="1"/>
        </w:numPr>
        <w:rPr/>
      </w:pPr>
      <w:r>
        <w:rPr>
          <w:color w:val="172236"/>
          <w:sz w:val="18"/>
        </w:rPr>
        <w:t>Model hash.</w:t>
      </w:r>
    </w:p>
    <w:p>
      <w:pPr>
        <w:pStyle w:val="ListBullet"/>
        <w:numPr>
          <w:ilvl w:val="0"/>
          <w:numId w:val="1"/>
        </w:numPr>
        <w:rPr/>
      </w:pPr>
      <w:r>
        <w:rPr>
          <w:color w:val="172236"/>
          <w:sz w:val="18"/>
        </w:rPr>
        <w:t>Parameters.</w:t>
      </w:r>
    </w:p>
    <w:p>
      <w:pPr>
        <w:pStyle w:val="ListBullet"/>
        <w:numPr>
          <w:ilvl w:val="0"/>
          <w:numId w:val="1"/>
        </w:numPr>
        <w:rPr/>
      </w:pPr>
      <w:r>
        <w:rPr>
          <w:color w:val="172236"/>
          <w:sz w:val="18"/>
        </w:rPr>
        <w:t>Environment.</w:t>
      </w:r>
    </w:p>
    <w:p>
      <w:pPr>
        <w:pStyle w:val="ListBullet"/>
        <w:numPr>
          <w:ilvl w:val="0"/>
          <w:numId w:val="1"/>
        </w:numPr>
        <w:rPr/>
      </w:pPr>
      <w:r>
        <w:rPr>
          <w:color w:val="172236"/>
          <w:sz w:val="18"/>
        </w:rPr>
        <w:t>Metrics.</w:t>
      </w:r>
    </w:p>
    <w:p>
      <w:pPr>
        <w:pStyle w:val="ListBullet"/>
        <w:numPr>
          <w:ilvl w:val="0"/>
          <w:numId w:val="1"/>
        </w:numPr>
        <w:rPr/>
      </w:pPr>
      <w:r>
        <w:rPr>
          <w:color w:val="172236"/>
          <w:sz w:val="18"/>
        </w:rPr>
        <w:t>Signature.</w:t>
      </w:r>
    </w:p>
    <w:p>
      <w:pPr>
        <w:pStyle w:val="Heading2"/>
        <w:pBdr>
          <w:left w:val="single" w:sz="14" w:space="4" w:color="8B5CF6"/>
        </w:pBdr>
        <w:rPr/>
      </w:pPr>
      <w:bookmarkStart w:id="255" w:name="__RefHeading___Toc7230_2150751134"/>
      <w:bookmarkEnd w:id="255"/>
      <w:r>
        <w:rPr>
          <w:rFonts w:ascii="Lato" w:hAnsi="Lato"/>
          <w:color w:val="172236"/>
          <w:sz w:val="29"/>
        </w:rPr>
        <w:t>37.6 Natural-Language-to-Research Compiler</w:t>
      </w:r>
    </w:p>
    <w:p>
      <w:pPr>
        <w:pStyle w:val="Normal"/>
        <w:rPr/>
      </w:pPr>
      <w:r>
        <w:rPr>
          <w:color w:val="172236"/>
          <w:sz w:val="19"/>
        </w:rPr>
        <w:t>Convert a user thesis into:</w:t>
      </w:r>
    </w:p>
    <w:p>
      <w:pPr>
        <w:pStyle w:val="ListNumber"/>
        <w:numPr>
          <w:ilvl w:val="0"/>
          <w:numId w:val="4"/>
        </w:numPr>
        <w:rPr/>
      </w:pPr>
      <w:r>
        <w:rPr>
          <w:color w:val="172236"/>
          <w:sz w:val="18"/>
        </w:rPr>
        <w:t>Formal hypothesis.</w:t>
      </w:r>
    </w:p>
    <w:p>
      <w:pPr>
        <w:pStyle w:val="ListNumber"/>
        <w:numPr>
          <w:ilvl w:val="0"/>
          <w:numId w:val="4"/>
        </w:numPr>
        <w:rPr/>
      </w:pPr>
      <w:r>
        <w:rPr>
          <w:color w:val="172236"/>
          <w:sz w:val="18"/>
        </w:rPr>
        <w:t>Required data.</w:t>
      </w:r>
    </w:p>
    <w:p>
      <w:pPr>
        <w:pStyle w:val="ListNumber"/>
        <w:numPr>
          <w:ilvl w:val="0"/>
          <w:numId w:val="4"/>
        </w:numPr>
        <w:rPr/>
      </w:pPr>
      <w:r>
        <w:rPr>
          <w:color w:val="172236"/>
          <w:sz w:val="18"/>
        </w:rPr>
        <w:t>Bias checklist.</w:t>
      </w:r>
    </w:p>
    <w:p>
      <w:pPr>
        <w:pStyle w:val="ListNumber"/>
        <w:numPr>
          <w:ilvl w:val="0"/>
          <w:numId w:val="4"/>
        </w:numPr>
        <w:rPr/>
      </w:pPr>
      <w:r>
        <w:rPr>
          <w:color w:val="172236"/>
          <w:sz w:val="18"/>
        </w:rPr>
        <w:t>Strategy draft.</w:t>
      </w:r>
    </w:p>
    <w:p>
      <w:pPr>
        <w:pStyle w:val="ListNumber"/>
        <w:numPr>
          <w:ilvl w:val="0"/>
          <w:numId w:val="4"/>
        </w:numPr>
        <w:rPr/>
      </w:pPr>
      <w:r>
        <w:rPr>
          <w:color w:val="172236"/>
          <w:sz w:val="18"/>
        </w:rPr>
        <w:t>Validation plan.</w:t>
      </w:r>
    </w:p>
    <w:p>
      <w:pPr>
        <w:pStyle w:val="ListNumber"/>
        <w:numPr>
          <w:ilvl w:val="0"/>
          <w:numId w:val="4"/>
        </w:numPr>
        <w:rPr/>
      </w:pPr>
      <w:r>
        <w:rPr>
          <w:color w:val="172236"/>
          <w:sz w:val="18"/>
        </w:rPr>
        <w:t>Backtest.</w:t>
      </w:r>
    </w:p>
    <w:p>
      <w:pPr>
        <w:pStyle w:val="ListNumber"/>
        <w:numPr>
          <w:ilvl w:val="0"/>
          <w:numId w:val="4"/>
        </w:numPr>
        <w:rPr/>
      </w:pPr>
      <w:r>
        <w:rPr>
          <w:color w:val="172236"/>
          <w:sz w:val="18"/>
        </w:rPr>
        <w:t>Simulation.</w:t>
      </w:r>
    </w:p>
    <w:p>
      <w:pPr>
        <w:pStyle w:val="ListNumber"/>
        <w:numPr>
          <w:ilvl w:val="0"/>
          <w:numId w:val="4"/>
        </w:numPr>
        <w:rPr/>
      </w:pPr>
      <w:r>
        <w:rPr>
          <w:color w:val="172236"/>
          <w:sz w:val="18"/>
        </w:rPr>
        <w:t>Research report.</w:t>
      </w:r>
    </w:p>
    <w:p>
      <w:pPr>
        <w:pStyle w:val="Normal"/>
        <w:rPr/>
      </w:pPr>
      <w:r>
        <w:rPr>
          <w:color w:val="172236"/>
          <w:sz w:val="19"/>
        </w:rPr>
        <w:t>No automatic promotion to live trading.</w:t>
      </w:r>
    </w:p>
    <w:p>
      <w:pPr>
        <w:pStyle w:val="Heading2"/>
        <w:pBdr>
          <w:left w:val="single" w:sz="14" w:space="4" w:color="8B5CF6"/>
        </w:pBdr>
        <w:rPr/>
      </w:pPr>
      <w:bookmarkStart w:id="256" w:name="__RefHeading___Toc7232_2150751134"/>
      <w:bookmarkEnd w:id="256"/>
      <w:r>
        <w:rPr>
          <w:rFonts w:ascii="Lato" w:hAnsi="Lato"/>
          <w:color w:val="172236"/>
          <w:sz w:val="29"/>
        </w:rPr>
        <w:t>37.7 Multi-Agent Research Council</w:t>
      </w:r>
    </w:p>
    <w:p>
      <w:pPr>
        <w:pStyle w:val="Normal"/>
        <w:rPr/>
      </w:pPr>
      <w:r>
        <w:rPr>
          <w:color w:val="172236"/>
          <w:sz w:val="19"/>
        </w:rPr>
        <w:t>Use specialized constrained agents:</w:t>
      </w:r>
    </w:p>
    <w:p>
      <w:pPr>
        <w:pStyle w:val="ListBullet"/>
        <w:numPr>
          <w:ilvl w:val="0"/>
          <w:numId w:val="1"/>
        </w:numPr>
        <w:rPr/>
      </w:pPr>
      <w:r>
        <w:rPr>
          <w:color w:val="172236"/>
          <w:sz w:val="18"/>
        </w:rPr>
        <w:t>Filing analyst.</w:t>
      </w:r>
    </w:p>
    <w:p>
      <w:pPr>
        <w:pStyle w:val="ListBullet"/>
        <w:numPr>
          <w:ilvl w:val="0"/>
          <w:numId w:val="1"/>
        </w:numPr>
        <w:rPr/>
      </w:pPr>
      <w:r>
        <w:rPr>
          <w:color w:val="172236"/>
          <w:sz w:val="18"/>
        </w:rPr>
        <w:t>Options analyst.</w:t>
      </w:r>
    </w:p>
    <w:p>
      <w:pPr>
        <w:pStyle w:val="ListBullet"/>
        <w:numPr>
          <w:ilvl w:val="0"/>
          <w:numId w:val="1"/>
        </w:numPr>
        <w:rPr/>
      </w:pPr>
      <w:r>
        <w:rPr>
          <w:color w:val="172236"/>
          <w:sz w:val="18"/>
        </w:rPr>
        <w:t>Macro analyst.</w:t>
      </w:r>
    </w:p>
    <w:p>
      <w:pPr>
        <w:pStyle w:val="ListBullet"/>
        <w:numPr>
          <w:ilvl w:val="0"/>
          <w:numId w:val="1"/>
        </w:numPr>
        <w:rPr/>
      </w:pPr>
      <w:r>
        <w:rPr>
          <w:color w:val="172236"/>
          <w:sz w:val="18"/>
        </w:rPr>
        <w:t>Crypto analyst.</w:t>
      </w:r>
    </w:p>
    <w:p>
      <w:pPr>
        <w:pStyle w:val="ListBullet"/>
        <w:numPr>
          <w:ilvl w:val="0"/>
          <w:numId w:val="1"/>
        </w:numPr>
        <w:rPr/>
      </w:pPr>
      <w:r>
        <w:rPr>
          <w:color w:val="172236"/>
          <w:sz w:val="18"/>
        </w:rPr>
        <w:t>Quant reviewer.</w:t>
      </w:r>
    </w:p>
    <w:p>
      <w:pPr>
        <w:pStyle w:val="ListBullet"/>
        <w:numPr>
          <w:ilvl w:val="0"/>
          <w:numId w:val="1"/>
        </w:numPr>
        <w:rPr/>
      </w:pPr>
      <w:r>
        <w:rPr>
          <w:color w:val="172236"/>
          <w:sz w:val="18"/>
        </w:rPr>
        <w:t>Risk critic.</w:t>
      </w:r>
    </w:p>
    <w:p>
      <w:pPr>
        <w:pStyle w:val="ListBullet"/>
        <w:numPr>
          <w:ilvl w:val="0"/>
          <w:numId w:val="1"/>
        </w:numPr>
        <w:rPr/>
      </w:pPr>
      <w:r>
        <w:rPr>
          <w:color w:val="172236"/>
          <w:sz w:val="18"/>
        </w:rPr>
        <w:t>Data-quality reviewer.</w:t>
      </w:r>
    </w:p>
    <w:p>
      <w:pPr>
        <w:pStyle w:val="Normal"/>
        <w:rPr/>
      </w:pPr>
      <w:r>
        <w:rPr>
          <w:color w:val="172236"/>
          <w:sz w:val="19"/>
        </w:rPr>
        <w:t>A synthesis agent may summarize disagreements rather than forcing consensus.</w:t>
      </w:r>
    </w:p>
    <w:p>
      <w:pPr>
        <w:pStyle w:val="Heading2"/>
        <w:pBdr>
          <w:left w:val="single" w:sz="14" w:space="4" w:color="8B5CF6"/>
        </w:pBdr>
        <w:rPr/>
      </w:pPr>
      <w:bookmarkStart w:id="257" w:name="__RefHeading___Toc7234_2150751134"/>
      <w:bookmarkEnd w:id="257"/>
      <w:r>
        <w:rPr>
          <w:rFonts w:ascii="Lato" w:hAnsi="Lato"/>
          <w:color w:val="172236"/>
          <w:sz w:val="29"/>
        </w:rPr>
        <w:t>37.8 Opportunity “Contrarian Mode”</w:t>
      </w:r>
    </w:p>
    <w:p>
      <w:pPr>
        <w:pStyle w:val="Normal"/>
        <w:rPr/>
      </w:pPr>
      <w:r>
        <w:rPr>
          <w:color w:val="172236"/>
          <w:sz w:val="19"/>
        </w:rPr>
        <w:t>Actively search for evidence that disproves the leading thesis and quantify fragility.</w:t>
      </w:r>
    </w:p>
    <w:p>
      <w:pPr>
        <w:pStyle w:val="Heading2"/>
        <w:pBdr>
          <w:left w:val="single" w:sz="14" w:space="4" w:color="8B5CF6"/>
        </w:pBdr>
        <w:rPr/>
      </w:pPr>
      <w:bookmarkStart w:id="258" w:name="__RefHeading___Toc7236_2150751134"/>
      <w:bookmarkEnd w:id="258"/>
      <w:r>
        <w:rPr>
          <w:rFonts w:ascii="Lato" w:hAnsi="Lato"/>
          <w:color w:val="172236"/>
          <w:sz w:val="29"/>
        </w:rPr>
        <w:t>37.9 Privacy-Preserving Community Intelligence</w:t>
      </w:r>
    </w:p>
    <w:p>
      <w:pPr>
        <w:pStyle w:val="Normal"/>
        <w:rPr/>
      </w:pPr>
      <w:r>
        <w:rPr>
          <w:color w:val="172236"/>
          <w:sz w:val="19"/>
        </w:rPr>
        <w:t>Users may opt into aggregated, anonymized research statistics without sharing positions, identity, or proprietary strategy logic.</w:t>
      </w:r>
    </w:p>
    <w:p>
      <w:pPr>
        <w:pStyle w:val="Heading2"/>
        <w:pBdr>
          <w:left w:val="single" w:sz="14" w:space="4" w:color="8B5CF6"/>
        </w:pBdr>
        <w:rPr/>
      </w:pPr>
      <w:bookmarkStart w:id="259" w:name="__RefHeading___Toc7238_2150751134"/>
      <w:bookmarkEnd w:id="259"/>
      <w:r>
        <w:rPr>
          <w:rFonts w:ascii="Lato" w:hAnsi="Lato"/>
          <w:color w:val="172236"/>
          <w:sz w:val="29"/>
        </w:rPr>
        <w:t>37.10 Strategy Lineage Graph</w:t>
      </w:r>
    </w:p>
    <w:p>
      <w:pPr>
        <w:pStyle w:val="Normal"/>
        <w:rPr/>
      </w:pPr>
      <w:r>
        <w:rPr>
          <w:color w:val="172236"/>
          <w:sz w:val="19"/>
        </w:rPr>
        <w:t>Track every strategy fork, parameter change, test, promotion, trade, and retirement.</w:t>
      </w:r>
    </w:p>
    <w:p>
      <w:pPr>
        <w:pStyle w:val="Heading2"/>
        <w:pBdr>
          <w:left w:val="single" w:sz="14" w:space="4" w:color="8B5CF6"/>
        </w:pBdr>
        <w:rPr/>
      </w:pPr>
      <w:bookmarkStart w:id="260" w:name="__RefHeading___Toc7240_2150751134"/>
      <w:bookmarkEnd w:id="260"/>
      <w:r>
        <w:rPr>
          <w:rFonts w:ascii="Lato" w:hAnsi="Lato"/>
          <w:color w:val="172236"/>
          <w:sz w:val="29"/>
        </w:rPr>
        <w:t>37.11 Temporal Knowledge Graph</w:t>
      </w:r>
    </w:p>
    <w:p>
      <w:pPr>
        <w:pStyle w:val="Normal"/>
        <w:rPr/>
      </w:pPr>
      <w:r>
        <w:rPr>
          <w:color w:val="172236"/>
          <w:sz w:val="19"/>
        </w:rPr>
        <w:t>Maintain validity intervals so the platform can answer:</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8B5CF6"/>
            </w:tcBorders>
            <w:shd w:fill="F2EDFF"/>
          </w:tcPr>
          <w:p>
            <w:pPr>
              <w:pStyle w:val="Normal"/>
              <w:spacing w:before="0" w:after="100"/>
              <w:rPr/>
            </w:pPr>
            <w:r>
              <w:rPr>
                <w:rFonts w:ascii="Inter Display" w:hAnsi="Inter Display"/>
                <w:b/>
                <w:color w:val="8B5CF6"/>
                <w:sz w:val="16"/>
              </w:rPr>
              <w:t xml:space="preserve">DESIGN PRINCIPLE  </w:t>
            </w:r>
            <w:r>
              <w:rPr>
                <w:color w:val="172236"/>
                <w:sz w:val="18"/>
              </w:rPr>
              <w:t>“What did the system know at 10:03 a.m. on that date?”</w:t>
            </w:r>
          </w:p>
        </w:tc>
      </w:tr>
    </w:tbl>
    <w:p>
      <w:pPr>
        <w:pStyle w:val="Normal"/>
        <w:spacing w:before="0" w:after="0"/>
        <w:rPr/>
      </w:pPr>
      <w:r>
        <w:rPr/>
      </w:r>
    </w:p>
    <w:p>
      <w:pPr>
        <w:pStyle w:val="Normal"/>
        <w:rPr/>
      </w:pPr>
      <w:r>
        <w:rPr>
          <w:color w:val="172236"/>
          <w:sz w:val="19"/>
        </w:rPr>
        <w:t>This is crucial for audit and look-ahead prevention.</w:t>
      </w:r>
    </w:p>
    <w:p>
      <w:pPr>
        <w:pStyle w:val="Heading2"/>
        <w:pBdr>
          <w:left w:val="single" w:sz="14" w:space="4" w:color="8B5CF6"/>
        </w:pBdr>
        <w:rPr/>
      </w:pPr>
      <w:bookmarkStart w:id="261" w:name="__RefHeading___Toc7242_2150751134"/>
      <w:bookmarkEnd w:id="261"/>
      <w:r>
        <w:rPr>
          <w:rFonts w:ascii="Lato" w:hAnsi="Lato"/>
          <w:color w:val="172236"/>
          <w:sz w:val="29"/>
        </w:rPr>
        <w:t>37.12 Adaptive Interface</w:t>
      </w:r>
    </w:p>
    <w:p>
      <w:pPr>
        <w:pStyle w:val="Normal"/>
        <w:rPr/>
      </w:pPr>
      <w:r>
        <w:rPr>
          <w:color w:val="172236"/>
          <w:sz w:val="19"/>
        </w:rPr>
        <w:t>The workspace can adapt based on task and expertise, but all automated layout changes must be predictable, reversible, and user-controlled.</w:t>
      </w:r>
    </w:p>
    <w:p>
      <w:pPr>
        <w:pStyle w:val="Heading2"/>
        <w:pBdr>
          <w:left w:val="single" w:sz="14" w:space="4" w:color="8B5CF6"/>
        </w:pBdr>
        <w:rPr/>
      </w:pPr>
      <w:bookmarkStart w:id="262" w:name="__RefHeading___Toc7244_2150751134"/>
      <w:bookmarkEnd w:id="262"/>
      <w:r>
        <w:rPr>
          <w:rFonts w:ascii="Lato" w:hAnsi="Lato"/>
          <w:color w:val="172236"/>
          <w:sz w:val="29"/>
        </w:rPr>
        <w:t>37.13 Resilient Multi-Provider Consensus</w:t>
      </w:r>
    </w:p>
    <w:p>
      <w:pPr>
        <w:pStyle w:val="Normal"/>
        <w:rPr/>
      </w:pPr>
      <w:r>
        <w:rPr>
          <w:color w:val="172236"/>
          <w:sz w:val="19"/>
        </w:rPr>
        <w:t>For critical fields, use quorum-like policies:</w:t>
      </w:r>
    </w:p>
    <w:p>
      <w:pPr>
        <w:pStyle w:val="ListBullet"/>
        <w:numPr>
          <w:ilvl w:val="0"/>
          <w:numId w:val="1"/>
        </w:numPr>
        <w:rPr/>
      </w:pPr>
      <w:r>
        <w:rPr>
          <w:color w:val="172236"/>
          <w:sz w:val="18"/>
        </w:rPr>
        <w:t>Preferred source.</w:t>
      </w:r>
    </w:p>
    <w:p>
      <w:pPr>
        <w:pStyle w:val="ListBullet"/>
        <w:numPr>
          <w:ilvl w:val="0"/>
          <w:numId w:val="1"/>
        </w:numPr>
        <w:rPr/>
      </w:pPr>
      <w:r>
        <w:rPr>
          <w:color w:val="172236"/>
          <w:sz w:val="18"/>
        </w:rPr>
        <w:t>Secondary verification.</w:t>
      </w:r>
    </w:p>
    <w:p>
      <w:pPr>
        <w:pStyle w:val="ListBullet"/>
        <w:numPr>
          <w:ilvl w:val="0"/>
          <w:numId w:val="1"/>
        </w:numPr>
        <w:rPr/>
      </w:pPr>
      <w:r>
        <w:rPr>
          <w:color w:val="172236"/>
          <w:sz w:val="18"/>
        </w:rPr>
        <w:t>Tolerance.</w:t>
      </w:r>
    </w:p>
    <w:p>
      <w:pPr>
        <w:pStyle w:val="ListBullet"/>
        <w:numPr>
          <w:ilvl w:val="0"/>
          <w:numId w:val="1"/>
        </w:numPr>
        <w:rPr/>
      </w:pPr>
      <w:r>
        <w:rPr>
          <w:color w:val="172236"/>
          <w:sz w:val="18"/>
        </w:rPr>
        <w:t>Conflict alert.</w:t>
      </w:r>
    </w:p>
    <w:p>
      <w:pPr>
        <w:pStyle w:val="ListBullet"/>
        <w:numPr>
          <w:ilvl w:val="0"/>
          <w:numId w:val="1"/>
        </w:numPr>
        <w:rPr/>
      </w:pPr>
      <w:r>
        <w:rPr>
          <w:color w:val="172236"/>
          <w:sz w:val="18"/>
        </w:rPr>
        <w:t>No-trade state if disagreement exceeds policy.</w:t>
      </w:r>
    </w:p>
    <w:p>
      <w:pPr>
        <w:pStyle w:val="Heading1"/>
        <w:pBdr>
          <w:bottom w:val="single" w:sz="12" w:space="5" w:color="33C7F2"/>
        </w:pBdr>
        <w:rPr/>
      </w:pPr>
      <w:bookmarkStart w:id="263" w:name="__RefHeading___Toc7246_2150751134"/>
      <w:bookmarkEnd w:id="263"/>
      <w:r>
        <w:rPr>
          <w:rFonts w:ascii="Lato" w:hAnsi="Lato"/>
          <w:color w:val="172236"/>
          <w:sz w:val="42"/>
        </w:rPr>
        <w:t>38. Initial Backlog</w:t>
      </w:r>
    </w:p>
    <w:p>
      <w:pPr>
        <w:pStyle w:val="Heading2"/>
        <w:pBdr>
          <w:left w:val="single" w:sz="14" w:space="4" w:color="8B5CF6"/>
        </w:pBdr>
        <w:rPr/>
      </w:pPr>
      <w:bookmarkStart w:id="264" w:name="__RefHeading___Toc7248_2150751134"/>
      <w:bookmarkEnd w:id="264"/>
      <w:r>
        <w:rPr>
          <w:rFonts w:ascii="Lato" w:hAnsi="Lato"/>
          <w:color w:val="172236"/>
          <w:sz w:val="29"/>
        </w:rPr>
        <w:t>Epic A — Repository and Governance</w:t>
      </w:r>
    </w:p>
    <w:p>
      <w:pPr>
        <w:pStyle w:val="ListBullet"/>
        <w:numPr>
          <w:ilvl w:val="0"/>
          <w:numId w:val="1"/>
        </w:numPr>
        <w:rPr/>
      </w:pPr>
      <w:r>
        <w:rPr>
          <w:color w:val="172236"/>
          <w:sz w:val="18"/>
        </w:rPr>
        <w:t>Create workspace.</w:t>
      </w:r>
    </w:p>
    <w:p>
      <w:pPr>
        <w:pStyle w:val="ListBullet"/>
        <w:numPr>
          <w:ilvl w:val="0"/>
          <w:numId w:val="1"/>
        </w:numPr>
        <w:rPr/>
      </w:pPr>
      <w:r>
        <w:rPr>
          <w:color w:val="172236"/>
          <w:sz w:val="18"/>
        </w:rPr>
        <w:t>Add standards.</w:t>
      </w:r>
    </w:p>
    <w:p>
      <w:pPr>
        <w:pStyle w:val="ListBullet"/>
        <w:numPr>
          <w:ilvl w:val="0"/>
          <w:numId w:val="1"/>
        </w:numPr>
        <w:rPr/>
      </w:pPr>
      <w:r>
        <w:rPr>
          <w:color w:val="172236"/>
          <w:sz w:val="18"/>
        </w:rPr>
        <w:t>Add ADR templates.</w:t>
      </w:r>
    </w:p>
    <w:p>
      <w:pPr>
        <w:pStyle w:val="ListBullet"/>
        <w:numPr>
          <w:ilvl w:val="0"/>
          <w:numId w:val="1"/>
        </w:numPr>
        <w:rPr/>
      </w:pPr>
      <w:r>
        <w:rPr>
          <w:color w:val="172236"/>
          <w:sz w:val="18"/>
        </w:rPr>
        <w:t>Add workbook.</w:t>
      </w:r>
    </w:p>
    <w:p>
      <w:pPr>
        <w:pStyle w:val="ListBullet"/>
        <w:numPr>
          <w:ilvl w:val="0"/>
          <w:numId w:val="1"/>
        </w:numPr>
        <w:rPr/>
      </w:pPr>
      <w:r>
        <w:rPr>
          <w:color w:val="172236"/>
          <w:sz w:val="18"/>
        </w:rPr>
        <w:t>Add CI.</w:t>
      </w:r>
    </w:p>
    <w:p>
      <w:pPr>
        <w:pStyle w:val="ListBullet"/>
        <w:numPr>
          <w:ilvl w:val="0"/>
          <w:numId w:val="1"/>
        </w:numPr>
        <w:rPr/>
      </w:pPr>
      <w:r>
        <w:rPr>
          <w:color w:val="172236"/>
          <w:sz w:val="18"/>
        </w:rPr>
        <w:t>Add SBOM.</w:t>
      </w:r>
    </w:p>
    <w:p>
      <w:pPr>
        <w:pStyle w:val="ListBullet"/>
        <w:numPr>
          <w:ilvl w:val="0"/>
          <w:numId w:val="1"/>
        </w:numPr>
        <w:rPr/>
      </w:pPr>
      <w:r>
        <w:rPr>
          <w:color w:val="172236"/>
          <w:sz w:val="18"/>
        </w:rPr>
        <w:t>Add threat model.</w:t>
      </w:r>
    </w:p>
    <w:p>
      <w:pPr>
        <w:pStyle w:val="ListBullet"/>
        <w:numPr>
          <w:ilvl w:val="0"/>
          <w:numId w:val="1"/>
        </w:numPr>
        <w:rPr/>
      </w:pPr>
      <w:r>
        <w:rPr>
          <w:color w:val="172236"/>
          <w:sz w:val="18"/>
        </w:rPr>
        <w:t>Add crypto inventory.</w:t>
      </w:r>
    </w:p>
    <w:p>
      <w:pPr>
        <w:pStyle w:val="Heading2"/>
        <w:pBdr>
          <w:left w:val="single" w:sz="14" w:space="4" w:color="8B5CF6"/>
        </w:pBdr>
        <w:rPr/>
      </w:pPr>
      <w:bookmarkStart w:id="265" w:name="__RefHeading___Toc7250_2150751134"/>
      <w:bookmarkEnd w:id="265"/>
      <w:r>
        <w:rPr>
          <w:rFonts w:ascii="Lato" w:hAnsi="Lato"/>
          <w:color w:val="172236"/>
          <w:sz w:val="29"/>
        </w:rPr>
        <w:t>Epic B — Desktop Shell</w:t>
      </w:r>
    </w:p>
    <w:p>
      <w:pPr>
        <w:pStyle w:val="ListBullet"/>
        <w:numPr>
          <w:ilvl w:val="0"/>
          <w:numId w:val="1"/>
        </w:numPr>
        <w:rPr/>
      </w:pPr>
      <w:r>
        <w:rPr>
          <w:color w:val="172236"/>
          <w:sz w:val="18"/>
        </w:rPr>
        <w:t>Tauri setup.</w:t>
      </w:r>
    </w:p>
    <w:p>
      <w:pPr>
        <w:pStyle w:val="ListBullet"/>
        <w:numPr>
          <w:ilvl w:val="0"/>
          <w:numId w:val="1"/>
        </w:numPr>
        <w:rPr/>
      </w:pPr>
      <w:r>
        <w:rPr>
          <w:color w:val="172236"/>
          <w:sz w:val="18"/>
        </w:rPr>
        <w:t>Capability policy.</w:t>
      </w:r>
    </w:p>
    <w:p>
      <w:pPr>
        <w:pStyle w:val="ListBullet"/>
        <w:numPr>
          <w:ilvl w:val="0"/>
          <w:numId w:val="1"/>
        </w:numPr>
        <w:rPr/>
      </w:pPr>
      <w:r>
        <w:rPr>
          <w:color w:val="172236"/>
          <w:sz w:val="18"/>
        </w:rPr>
        <w:t>CSP.</w:t>
      </w:r>
    </w:p>
    <w:p>
      <w:pPr>
        <w:pStyle w:val="ListBullet"/>
        <w:numPr>
          <w:ilvl w:val="0"/>
          <w:numId w:val="1"/>
        </w:numPr>
        <w:rPr/>
      </w:pPr>
      <w:r>
        <w:rPr>
          <w:color w:val="172236"/>
          <w:sz w:val="18"/>
        </w:rPr>
        <w:t>Secure IPC.</w:t>
      </w:r>
    </w:p>
    <w:p>
      <w:pPr>
        <w:pStyle w:val="ListBullet"/>
        <w:numPr>
          <w:ilvl w:val="0"/>
          <w:numId w:val="1"/>
        </w:numPr>
        <w:rPr/>
      </w:pPr>
      <w:r>
        <w:rPr>
          <w:color w:val="172236"/>
          <w:sz w:val="18"/>
        </w:rPr>
        <w:t>Window management.</w:t>
      </w:r>
    </w:p>
    <w:p>
      <w:pPr>
        <w:pStyle w:val="ListBullet"/>
        <w:numPr>
          <w:ilvl w:val="0"/>
          <w:numId w:val="1"/>
        </w:numPr>
        <w:rPr/>
      </w:pPr>
      <w:r>
        <w:rPr>
          <w:color w:val="172236"/>
          <w:sz w:val="18"/>
        </w:rPr>
        <w:t>Auto updater.</w:t>
      </w:r>
    </w:p>
    <w:p>
      <w:pPr>
        <w:pStyle w:val="ListBullet"/>
        <w:numPr>
          <w:ilvl w:val="0"/>
          <w:numId w:val="1"/>
        </w:numPr>
        <w:rPr/>
      </w:pPr>
      <w:r>
        <w:rPr>
          <w:color w:val="172236"/>
          <w:sz w:val="18"/>
        </w:rPr>
        <w:t>Crash recovery.</w:t>
      </w:r>
    </w:p>
    <w:p>
      <w:pPr>
        <w:pStyle w:val="ListBullet"/>
        <w:numPr>
          <w:ilvl w:val="0"/>
          <w:numId w:val="1"/>
        </w:numPr>
        <w:rPr/>
      </w:pPr>
      <w:r>
        <w:rPr>
          <w:color w:val="172236"/>
          <w:sz w:val="18"/>
        </w:rPr>
        <w:t>Design system.</w:t>
      </w:r>
    </w:p>
    <w:p>
      <w:pPr>
        <w:pStyle w:val="Heading2"/>
        <w:pBdr>
          <w:left w:val="single" w:sz="14" w:space="4" w:color="8B5CF6"/>
        </w:pBdr>
        <w:rPr/>
      </w:pPr>
      <w:bookmarkStart w:id="266" w:name="__RefHeading___Toc7252_2150751134"/>
      <w:bookmarkEnd w:id="266"/>
      <w:r>
        <w:rPr>
          <w:rFonts w:ascii="Lato" w:hAnsi="Lato"/>
          <w:color w:val="172236"/>
          <w:sz w:val="29"/>
        </w:rPr>
        <w:t>Epic C — CoinGecko Adapter</w:t>
      </w:r>
    </w:p>
    <w:p>
      <w:pPr>
        <w:pStyle w:val="ListBullet"/>
        <w:numPr>
          <w:ilvl w:val="0"/>
          <w:numId w:val="1"/>
        </w:numPr>
        <w:rPr/>
      </w:pPr>
      <w:r>
        <w:rPr>
          <w:color w:val="172236"/>
          <w:sz w:val="18"/>
        </w:rPr>
        <w:t>Auth.</w:t>
      </w:r>
    </w:p>
    <w:p>
      <w:pPr>
        <w:pStyle w:val="ListBullet"/>
        <w:numPr>
          <w:ilvl w:val="0"/>
          <w:numId w:val="1"/>
        </w:numPr>
        <w:rPr/>
      </w:pPr>
      <w:r>
        <w:rPr>
          <w:color w:val="172236"/>
          <w:sz w:val="18"/>
        </w:rPr>
        <w:t>Rate governor.</w:t>
      </w:r>
    </w:p>
    <w:p>
      <w:pPr>
        <w:pStyle w:val="ListBullet"/>
        <w:numPr>
          <w:ilvl w:val="0"/>
          <w:numId w:val="1"/>
        </w:numPr>
        <w:rPr/>
      </w:pPr>
      <w:r>
        <w:rPr>
          <w:color w:val="172236"/>
          <w:sz w:val="18"/>
        </w:rPr>
        <w:t>Asset identity.</w:t>
      </w:r>
    </w:p>
    <w:p>
      <w:pPr>
        <w:pStyle w:val="ListBullet"/>
        <w:numPr>
          <w:ilvl w:val="0"/>
          <w:numId w:val="1"/>
        </w:numPr>
        <w:rPr/>
      </w:pPr>
      <w:r>
        <w:rPr>
          <w:color w:val="172236"/>
          <w:sz w:val="18"/>
        </w:rPr>
        <w:t>Search.</w:t>
      </w:r>
    </w:p>
    <w:p>
      <w:pPr>
        <w:pStyle w:val="ListBullet"/>
        <w:numPr>
          <w:ilvl w:val="0"/>
          <w:numId w:val="1"/>
        </w:numPr>
        <w:rPr/>
      </w:pPr>
      <w:r>
        <w:rPr>
          <w:color w:val="172236"/>
          <w:sz w:val="18"/>
        </w:rPr>
        <w:t>Global.</w:t>
      </w:r>
    </w:p>
    <w:p>
      <w:pPr>
        <w:pStyle w:val="ListBullet"/>
        <w:numPr>
          <w:ilvl w:val="0"/>
          <w:numId w:val="1"/>
        </w:numPr>
        <w:rPr/>
      </w:pPr>
      <w:r>
        <w:rPr>
          <w:color w:val="172236"/>
          <w:sz w:val="18"/>
        </w:rPr>
        <w:t>Markets.</w:t>
      </w:r>
    </w:p>
    <w:p>
      <w:pPr>
        <w:pStyle w:val="ListBullet"/>
        <w:numPr>
          <w:ilvl w:val="0"/>
          <w:numId w:val="1"/>
        </w:numPr>
        <w:rPr/>
      </w:pPr>
      <w:r>
        <w:rPr>
          <w:color w:val="172236"/>
          <w:sz w:val="18"/>
        </w:rPr>
        <w:t>Coin detail.</w:t>
      </w:r>
    </w:p>
    <w:p>
      <w:pPr>
        <w:pStyle w:val="ListBullet"/>
        <w:numPr>
          <w:ilvl w:val="0"/>
          <w:numId w:val="1"/>
        </w:numPr>
        <w:rPr/>
      </w:pPr>
      <w:r>
        <w:rPr>
          <w:color w:val="172236"/>
          <w:sz w:val="18"/>
        </w:rPr>
        <w:t>Market chart.</w:t>
      </w:r>
    </w:p>
    <w:p>
      <w:pPr>
        <w:pStyle w:val="ListBullet"/>
        <w:numPr>
          <w:ilvl w:val="0"/>
          <w:numId w:val="1"/>
        </w:numPr>
        <w:rPr/>
      </w:pPr>
      <w:r>
        <w:rPr>
          <w:color w:val="172236"/>
          <w:sz w:val="18"/>
        </w:rPr>
        <w:t>OHLC.</w:t>
      </w:r>
    </w:p>
    <w:p>
      <w:pPr>
        <w:pStyle w:val="ListBullet"/>
        <w:numPr>
          <w:ilvl w:val="0"/>
          <w:numId w:val="1"/>
        </w:numPr>
        <w:rPr/>
      </w:pPr>
      <w:r>
        <w:rPr>
          <w:color w:val="172236"/>
          <w:sz w:val="18"/>
        </w:rPr>
        <w:t>Categories.</w:t>
      </w:r>
    </w:p>
    <w:p>
      <w:pPr>
        <w:pStyle w:val="ListBullet"/>
        <w:numPr>
          <w:ilvl w:val="0"/>
          <w:numId w:val="1"/>
        </w:numPr>
        <w:rPr/>
      </w:pPr>
      <w:r>
        <w:rPr>
          <w:color w:val="172236"/>
          <w:sz w:val="18"/>
        </w:rPr>
        <w:t>Exchanges.</w:t>
      </w:r>
    </w:p>
    <w:p>
      <w:pPr>
        <w:pStyle w:val="ListBullet"/>
        <w:numPr>
          <w:ilvl w:val="0"/>
          <w:numId w:val="1"/>
        </w:numPr>
        <w:rPr/>
      </w:pPr>
      <w:r>
        <w:rPr>
          <w:color w:val="172236"/>
          <w:sz w:val="18"/>
        </w:rPr>
        <w:t>Contract tests.</w:t>
      </w:r>
    </w:p>
    <w:p>
      <w:pPr>
        <w:pStyle w:val="ListBullet"/>
        <w:numPr>
          <w:ilvl w:val="0"/>
          <w:numId w:val="1"/>
        </w:numPr>
        <w:rPr/>
      </w:pPr>
      <w:r>
        <w:rPr>
          <w:color w:val="172236"/>
          <w:sz w:val="18"/>
        </w:rPr>
        <w:t>Cache.</w:t>
      </w:r>
    </w:p>
    <w:p>
      <w:pPr>
        <w:pStyle w:val="Heading2"/>
        <w:pBdr>
          <w:left w:val="single" w:sz="14" w:space="4" w:color="8B5CF6"/>
        </w:pBdr>
        <w:rPr/>
      </w:pPr>
      <w:bookmarkStart w:id="267" w:name="__RefHeading___Toc7254_2150751134"/>
      <w:bookmarkEnd w:id="267"/>
      <w:r>
        <w:rPr>
          <w:rFonts w:ascii="Lato" w:hAnsi="Lato"/>
          <w:color w:val="172236"/>
          <w:sz w:val="29"/>
        </w:rPr>
        <w:t>Epic D — Crypto UI</w:t>
      </w:r>
    </w:p>
    <w:p>
      <w:pPr>
        <w:pStyle w:val="ListBullet"/>
        <w:numPr>
          <w:ilvl w:val="0"/>
          <w:numId w:val="1"/>
        </w:numPr>
        <w:rPr/>
      </w:pPr>
      <w:r>
        <w:rPr>
          <w:color w:val="172236"/>
          <w:sz w:val="18"/>
        </w:rPr>
        <w:t>Command dashboard.</w:t>
      </w:r>
    </w:p>
    <w:p>
      <w:pPr>
        <w:pStyle w:val="ListBullet"/>
        <w:numPr>
          <w:ilvl w:val="0"/>
          <w:numId w:val="1"/>
        </w:numPr>
        <w:rPr/>
      </w:pPr>
      <w:r>
        <w:rPr>
          <w:color w:val="172236"/>
          <w:sz w:val="18"/>
        </w:rPr>
        <w:t>Watchlist.</w:t>
      </w:r>
    </w:p>
    <w:p>
      <w:pPr>
        <w:pStyle w:val="ListBullet"/>
        <w:numPr>
          <w:ilvl w:val="0"/>
          <w:numId w:val="1"/>
        </w:numPr>
        <w:rPr/>
      </w:pPr>
      <w:r>
        <w:rPr>
          <w:color w:val="172236"/>
          <w:sz w:val="18"/>
        </w:rPr>
        <w:t>Asset workspace.</w:t>
      </w:r>
    </w:p>
    <w:p>
      <w:pPr>
        <w:pStyle w:val="ListBullet"/>
        <w:numPr>
          <w:ilvl w:val="0"/>
          <w:numId w:val="1"/>
        </w:numPr>
        <w:rPr/>
      </w:pPr>
      <w:r>
        <w:rPr>
          <w:color w:val="172236"/>
          <w:sz w:val="18"/>
        </w:rPr>
        <w:t>Chart.</w:t>
      </w:r>
    </w:p>
    <w:p>
      <w:pPr>
        <w:pStyle w:val="ListBullet"/>
        <w:numPr>
          <w:ilvl w:val="0"/>
          <w:numId w:val="1"/>
        </w:numPr>
        <w:rPr/>
      </w:pPr>
      <w:r>
        <w:rPr>
          <w:color w:val="172236"/>
          <w:sz w:val="18"/>
        </w:rPr>
        <w:t>Category map.</w:t>
      </w:r>
    </w:p>
    <w:p>
      <w:pPr>
        <w:pStyle w:val="ListBullet"/>
        <w:numPr>
          <w:ilvl w:val="0"/>
          <w:numId w:val="1"/>
        </w:numPr>
        <w:rPr/>
      </w:pPr>
      <w:r>
        <w:rPr>
          <w:color w:val="172236"/>
          <w:sz w:val="18"/>
        </w:rPr>
        <w:t>Scanner.</w:t>
      </w:r>
    </w:p>
    <w:p>
      <w:pPr>
        <w:pStyle w:val="ListBullet"/>
        <w:numPr>
          <w:ilvl w:val="0"/>
          <w:numId w:val="1"/>
        </w:numPr>
        <w:rPr/>
      </w:pPr>
      <w:r>
        <w:rPr>
          <w:color w:val="172236"/>
          <w:sz w:val="18"/>
        </w:rPr>
        <w:t>Alerts.</w:t>
      </w:r>
    </w:p>
    <w:p>
      <w:pPr>
        <w:pStyle w:val="ListBullet"/>
        <w:numPr>
          <w:ilvl w:val="0"/>
          <w:numId w:val="1"/>
        </w:numPr>
        <w:rPr/>
      </w:pPr>
      <w:r>
        <w:rPr>
          <w:color w:val="172236"/>
          <w:sz w:val="18"/>
        </w:rPr>
        <w:t>Portfolio.</w:t>
      </w:r>
    </w:p>
    <w:p>
      <w:pPr>
        <w:pStyle w:val="Heading2"/>
        <w:pBdr>
          <w:left w:val="single" w:sz="14" w:space="4" w:color="8B5CF6"/>
        </w:pBdr>
        <w:rPr/>
      </w:pPr>
      <w:bookmarkStart w:id="268" w:name="__RefHeading___Toc7256_2150751134"/>
      <w:bookmarkEnd w:id="268"/>
      <w:r>
        <w:rPr>
          <w:rFonts w:ascii="Lato" w:hAnsi="Lato"/>
          <w:color w:val="172236"/>
          <w:sz w:val="29"/>
        </w:rPr>
        <w:t>Epic E — Data Foundation</w:t>
      </w:r>
    </w:p>
    <w:p>
      <w:pPr>
        <w:pStyle w:val="ListBullet"/>
        <w:numPr>
          <w:ilvl w:val="0"/>
          <w:numId w:val="1"/>
        </w:numPr>
        <w:rPr/>
      </w:pPr>
      <w:r>
        <w:rPr>
          <w:color w:val="172236"/>
          <w:sz w:val="18"/>
        </w:rPr>
        <w:t>PostgreSQL.</w:t>
      </w:r>
    </w:p>
    <w:p>
      <w:pPr>
        <w:pStyle w:val="ListBullet"/>
        <w:numPr>
          <w:ilvl w:val="0"/>
          <w:numId w:val="1"/>
        </w:numPr>
        <w:rPr/>
      </w:pPr>
      <w:r>
        <w:rPr>
          <w:color w:val="172236"/>
          <w:sz w:val="18"/>
        </w:rPr>
        <w:t>SQLite.</w:t>
      </w:r>
    </w:p>
    <w:p>
      <w:pPr>
        <w:pStyle w:val="ListBullet"/>
        <w:numPr>
          <w:ilvl w:val="0"/>
          <w:numId w:val="1"/>
        </w:numPr>
        <w:rPr/>
      </w:pPr>
      <w:r>
        <w:rPr>
          <w:color w:val="172236"/>
          <w:sz w:val="18"/>
        </w:rPr>
        <w:t>DuckDB.</w:t>
      </w:r>
    </w:p>
    <w:p>
      <w:pPr>
        <w:pStyle w:val="ListBullet"/>
        <w:numPr>
          <w:ilvl w:val="0"/>
          <w:numId w:val="1"/>
        </w:numPr>
        <w:rPr/>
      </w:pPr>
      <w:r>
        <w:rPr>
          <w:color w:val="172236"/>
          <w:sz w:val="18"/>
        </w:rPr>
        <w:t>Parquet.</w:t>
      </w:r>
    </w:p>
    <w:p>
      <w:pPr>
        <w:pStyle w:val="ListBullet"/>
        <w:numPr>
          <w:ilvl w:val="0"/>
          <w:numId w:val="1"/>
        </w:numPr>
        <w:rPr/>
      </w:pPr>
      <w:r>
        <w:rPr>
          <w:color w:val="172236"/>
          <w:sz w:val="18"/>
        </w:rPr>
        <w:t>Migrations.</w:t>
      </w:r>
    </w:p>
    <w:p>
      <w:pPr>
        <w:pStyle w:val="ListBullet"/>
        <w:numPr>
          <w:ilvl w:val="0"/>
          <w:numId w:val="1"/>
        </w:numPr>
        <w:rPr/>
      </w:pPr>
      <w:r>
        <w:rPr>
          <w:color w:val="172236"/>
          <w:sz w:val="18"/>
        </w:rPr>
        <w:t>Encryption.</w:t>
      </w:r>
    </w:p>
    <w:p>
      <w:pPr>
        <w:pStyle w:val="ListBullet"/>
        <w:numPr>
          <w:ilvl w:val="0"/>
          <w:numId w:val="1"/>
        </w:numPr>
        <w:rPr/>
      </w:pPr>
      <w:r>
        <w:rPr>
          <w:color w:val="172236"/>
          <w:sz w:val="18"/>
        </w:rPr>
        <w:t>Provenance.</w:t>
      </w:r>
    </w:p>
    <w:p>
      <w:pPr>
        <w:pStyle w:val="ListBullet"/>
        <w:numPr>
          <w:ilvl w:val="0"/>
          <w:numId w:val="1"/>
        </w:numPr>
        <w:rPr/>
      </w:pPr>
      <w:r>
        <w:rPr>
          <w:color w:val="172236"/>
          <w:sz w:val="18"/>
        </w:rPr>
        <w:t>Data-quality service.</w:t>
      </w:r>
    </w:p>
    <w:p>
      <w:pPr>
        <w:pStyle w:val="Heading2"/>
        <w:pBdr>
          <w:left w:val="single" w:sz="14" w:space="4" w:color="8B5CF6"/>
        </w:pBdr>
        <w:rPr/>
      </w:pPr>
      <w:bookmarkStart w:id="269" w:name="__RefHeading___Toc7258_2150751134"/>
      <w:bookmarkEnd w:id="269"/>
      <w:r>
        <w:rPr>
          <w:rFonts w:ascii="Lato" w:hAnsi="Lato"/>
          <w:color w:val="172236"/>
          <w:sz w:val="29"/>
        </w:rPr>
        <w:t>Epic F — Security</w:t>
      </w:r>
    </w:p>
    <w:p>
      <w:pPr>
        <w:pStyle w:val="ListBullet"/>
        <w:numPr>
          <w:ilvl w:val="0"/>
          <w:numId w:val="1"/>
        </w:numPr>
        <w:rPr/>
      </w:pPr>
      <w:r>
        <w:rPr>
          <w:color w:val="172236"/>
          <w:sz w:val="18"/>
        </w:rPr>
        <w:t>Keychain.</w:t>
      </w:r>
    </w:p>
    <w:p>
      <w:pPr>
        <w:pStyle w:val="ListBullet"/>
        <w:numPr>
          <w:ilvl w:val="0"/>
          <w:numId w:val="1"/>
        </w:numPr>
        <w:rPr/>
      </w:pPr>
      <w:r>
        <w:rPr>
          <w:color w:val="172236"/>
          <w:sz w:val="18"/>
        </w:rPr>
        <w:t>Secret types.</w:t>
      </w:r>
    </w:p>
    <w:p>
      <w:pPr>
        <w:pStyle w:val="ListBullet"/>
        <w:numPr>
          <w:ilvl w:val="0"/>
          <w:numId w:val="1"/>
        </w:numPr>
        <w:rPr/>
      </w:pPr>
      <w:r>
        <w:rPr>
          <w:color w:val="172236"/>
          <w:sz w:val="18"/>
        </w:rPr>
        <w:t>Session policy.</w:t>
      </w:r>
    </w:p>
    <w:p>
      <w:pPr>
        <w:pStyle w:val="ListBullet"/>
        <w:numPr>
          <w:ilvl w:val="0"/>
          <w:numId w:val="1"/>
        </w:numPr>
        <w:rPr/>
      </w:pPr>
      <w:r>
        <w:rPr>
          <w:color w:val="172236"/>
          <w:sz w:val="18"/>
        </w:rPr>
        <w:t>Audit.</w:t>
      </w:r>
    </w:p>
    <w:p>
      <w:pPr>
        <w:pStyle w:val="ListBullet"/>
        <w:numPr>
          <w:ilvl w:val="0"/>
          <w:numId w:val="1"/>
        </w:numPr>
        <w:rPr/>
      </w:pPr>
      <w:r>
        <w:rPr>
          <w:color w:val="172236"/>
          <w:sz w:val="18"/>
        </w:rPr>
        <w:t>Redaction.</w:t>
      </w:r>
    </w:p>
    <w:p>
      <w:pPr>
        <w:pStyle w:val="ListBullet"/>
        <w:numPr>
          <w:ilvl w:val="0"/>
          <w:numId w:val="1"/>
        </w:numPr>
        <w:rPr/>
      </w:pPr>
      <w:r>
        <w:rPr>
          <w:color w:val="172236"/>
          <w:sz w:val="18"/>
        </w:rPr>
        <w:t>Update signing.</w:t>
      </w:r>
    </w:p>
    <w:p>
      <w:pPr>
        <w:pStyle w:val="ListBullet"/>
        <w:numPr>
          <w:ilvl w:val="0"/>
          <w:numId w:val="1"/>
        </w:numPr>
        <w:rPr/>
      </w:pPr>
      <w:r>
        <w:rPr>
          <w:color w:val="172236"/>
          <w:sz w:val="18"/>
        </w:rPr>
        <w:t>PQC exception register.</w:t>
      </w:r>
    </w:p>
    <w:p>
      <w:pPr>
        <w:pStyle w:val="ListBullet"/>
        <w:numPr>
          <w:ilvl w:val="0"/>
          <w:numId w:val="1"/>
        </w:numPr>
        <w:rPr/>
      </w:pPr>
      <w:r>
        <w:rPr>
          <w:color w:val="172236"/>
          <w:sz w:val="18"/>
        </w:rPr>
        <w:t>Plugin trust model.</w:t>
      </w:r>
    </w:p>
    <w:p>
      <w:pPr>
        <w:pStyle w:val="Heading2"/>
        <w:pBdr>
          <w:left w:val="single" w:sz="14" w:space="4" w:color="8B5CF6"/>
        </w:pBdr>
        <w:rPr/>
      </w:pPr>
      <w:bookmarkStart w:id="270" w:name="__RefHeading___Toc7260_2150751134"/>
      <w:bookmarkEnd w:id="270"/>
      <w:r>
        <w:rPr>
          <w:rFonts w:ascii="Lato" w:hAnsi="Lato"/>
          <w:color w:val="172236"/>
          <w:sz w:val="29"/>
        </w:rPr>
        <w:t>Epic G — Observability</w:t>
      </w:r>
    </w:p>
    <w:p>
      <w:pPr>
        <w:pStyle w:val="ListBullet"/>
        <w:numPr>
          <w:ilvl w:val="0"/>
          <w:numId w:val="1"/>
        </w:numPr>
        <w:rPr/>
      </w:pPr>
      <w:r>
        <w:rPr>
          <w:color w:val="172236"/>
          <w:sz w:val="18"/>
        </w:rPr>
        <w:t>Tracing.</w:t>
      </w:r>
    </w:p>
    <w:p>
      <w:pPr>
        <w:pStyle w:val="ListBullet"/>
        <w:numPr>
          <w:ilvl w:val="0"/>
          <w:numId w:val="1"/>
        </w:numPr>
        <w:rPr/>
      </w:pPr>
      <w:r>
        <w:rPr>
          <w:color w:val="172236"/>
          <w:sz w:val="18"/>
        </w:rPr>
        <w:t>Metrics.</w:t>
      </w:r>
    </w:p>
    <w:p>
      <w:pPr>
        <w:pStyle w:val="ListBullet"/>
        <w:numPr>
          <w:ilvl w:val="0"/>
          <w:numId w:val="1"/>
        </w:numPr>
        <w:rPr/>
      </w:pPr>
      <w:r>
        <w:rPr>
          <w:color w:val="172236"/>
          <w:sz w:val="18"/>
        </w:rPr>
        <w:t>Health.</w:t>
      </w:r>
    </w:p>
    <w:p>
      <w:pPr>
        <w:pStyle w:val="ListBullet"/>
        <w:numPr>
          <w:ilvl w:val="0"/>
          <w:numId w:val="1"/>
        </w:numPr>
        <w:rPr/>
      </w:pPr>
      <w:r>
        <w:rPr>
          <w:color w:val="172236"/>
          <w:sz w:val="18"/>
        </w:rPr>
        <w:t>Provider dashboard.</w:t>
      </w:r>
    </w:p>
    <w:p>
      <w:pPr>
        <w:pStyle w:val="ListBullet"/>
        <w:numPr>
          <w:ilvl w:val="0"/>
          <w:numId w:val="1"/>
        </w:numPr>
        <w:rPr/>
      </w:pPr>
      <w:r>
        <w:rPr>
          <w:color w:val="172236"/>
          <w:sz w:val="18"/>
        </w:rPr>
        <w:t>Local diagnostics package.</w:t>
      </w:r>
    </w:p>
    <w:p>
      <w:pPr>
        <w:pStyle w:val="ListBullet"/>
        <w:numPr>
          <w:ilvl w:val="0"/>
          <w:numId w:val="1"/>
        </w:numPr>
        <w:rPr/>
      </w:pPr>
      <w:r>
        <w:rPr>
          <w:color w:val="172236"/>
          <w:sz w:val="18"/>
        </w:rPr>
        <w:t>Privacy controls.</w:t>
      </w:r>
    </w:p>
    <w:p>
      <w:pPr>
        <w:pStyle w:val="Heading1"/>
        <w:pBdr>
          <w:bottom w:val="single" w:sz="12" w:space="5" w:color="33C7F2"/>
        </w:pBdr>
        <w:rPr/>
      </w:pPr>
      <w:bookmarkStart w:id="271" w:name="__RefHeading___Toc7262_2150751134"/>
      <w:bookmarkEnd w:id="271"/>
      <w:r>
        <w:rPr>
          <w:rFonts w:ascii="Lato" w:hAnsi="Lato"/>
          <w:color w:val="172236"/>
          <w:sz w:val="42"/>
        </w:rPr>
        <w:t>39. Reference Architecture Diagrams</w:t>
      </w:r>
    </w:p>
    <w:p>
      <w:pPr>
        <w:pStyle w:val="Heading2"/>
        <w:pBdr>
          <w:left w:val="single" w:sz="14" w:space="4" w:color="8B5CF6"/>
        </w:pBdr>
        <w:rPr/>
      </w:pPr>
      <w:bookmarkStart w:id="272" w:name="__RefHeading___Toc7264_2150751134"/>
      <w:bookmarkEnd w:id="272"/>
      <w:r>
        <w:rPr>
          <w:rFonts w:ascii="Lato" w:hAnsi="Lato"/>
          <w:color w:val="172236"/>
          <w:sz w:val="29"/>
        </w:rPr>
        <w:t>39.1 Data Flow</w:t>
      </w:r>
    </w:p>
    <w:p>
      <w:pPr>
        <w:pStyle w:val="Normal"/>
        <w:keepNext w:val="true"/>
        <w:pBdr>
          <w:left w:val="single" w:sz="18" w:space="4" w:color="8B5CF6"/>
        </w:pBdr>
        <w:shd w:fill="0D1C32"/>
        <w:spacing w:before="120" w:after="0"/>
        <w:rPr/>
      </w:pPr>
      <w:r>
        <w:rPr>
          <w:rFonts w:ascii="Inter Display" w:hAnsi="Inter Display"/>
          <w:b/>
          <w:color w:val="33C7F2"/>
          <w:sz w:val="14"/>
        </w:rPr>
        <w:t>MERMAID SOURCE</w:t>
      </w:r>
    </w:p>
    <w:p>
      <w:pPr>
        <w:pStyle w:val="CodeBlock"/>
        <w:keepLines/>
        <w:pBdr>
          <w:left w:val="single" w:sz="18" w:space="4" w:color="8B5CF6"/>
        </w:pBdr>
        <w:shd w:fill="0D1C32"/>
        <w:spacing w:lineRule="auto" w:line="240" w:before="0" w:after="140"/>
        <w:rPr/>
      </w:pPr>
      <w:r>
        <w:rPr>
          <w:color w:val="D9E5F5"/>
          <w:sz w:val="14"/>
        </w:rPr>
        <w:t>flowchart LR</w:t>
        <w:br/>
        <w:t xml:space="preserve">    CG[CoinGecko] --&gt; GW[Provider Gateway]</w:t>
        <w:br/>
        <w:t xml:space="preserve">    UW[Unusual Whales] --&gt; GW</w:t>
        <w:br/>
        <w:t xml:space="preserve">    SEC[SEC EDGAR] --&gt; GW</w:t>
        <w:br/>
        <w:t xml:space="preserve">    CFTC[CFTC PRE] --&gt; GW</w:t>
        <w:br/>
        <w:t xml:space="preserve">    FRED[FRED] --&gt; GW</w:t>
        <w:br/>
        <w:br/>
        <w:t xml:space="preserve">    GW --&gt; RAW[Raw / Immutable Layer]</w:t>
        <w:br/>
        <w:t xml:space="preserve">    RAW --&gt; NORM[Normalization]</w:t>
        <w:br/>
        <w:t xml:space="preserve">    NORM --&gt; QUALITY[Quality + Provenance]</w:t>
        <w:br/>
        <w:t xml:space="preserve">    QUALITY --&gt; STORE[(PostgreSQL / ClickHouse / Parquet)]</w:t>
        <w:br/>
        <w:t xml:space="preserve">    STORE --&gt; FEATURES[Feature Engine]</w:t>
        <w:br/>
        <w:t xml:space="preserve">    FEATURES --&gt; QUANT[Backtest / Simulation / Models]</w:t>
        <w:br/>
        <w:t xml:space="preserve">    QUANT --&gt; OPP[Opportunity Engine]</w:t>
        <w:br/>
        <w:t xml:space="preserve">    OPP --&gt; API[Rust Application API]</w:t>
        <w:br/>
        <w:t xml:space="preserve">    API --&gt; UI[Svelte / Tauri UI]</w:t>
      </w:r>
    </w:p>
    <w:p>
      <w:pPr>
        <w:pStyle w:val="Heading2"/>
        <w:pBdr>
          <w:left w:val="single" w:sz="14" w:space="4" w:color="8B5CF6"/>
        </w:pBdr>
        <w:rPr/>
      </w:pPr>
      <w:bookmarkStart w:id="273" w:name="__RefHeading___Toc7266_2150751134"/>
      <w:bookmarkEnd w:id="273"/>
      <w:r>
        <w:rPr>
          <w:rFonts w:ascii="Lato" w:hAnsi="Lato"/>
          <w:color w:val="172236"/>
          <w:sz w:val="29"/>
        </w:rPr>
        <w:t>39.2 Execution Boundary</w:t>
      </w:r>
    </w:p>
    <w:p>
      <w:pPr>
        <w:pStyle w:val="Normal"/>
        <w:keepNext w:val="true"/>
        <w:pBdr>
          <w:left w:val="single" w:sz="18" w:space="4" w:color="8B5CF6"/>
        </w:pBdr>
        <w:shd w:fill="0D1C32"/>
        <w:spacing w:before="120" w:after="0"/>
        <w:rPr/>
      </w:pPr>
      <w:r>
        <w:rPr>
          <w:rFonts w:ascii="Inter Display" w:hAnsi="Inter Display"/>
          <w:b/>
          <w:color w:val="33C7F2"/>
          <w:sz w:val="14"/>
        </w:rPr>
        <w:t>MERMAID SOURCE</w:t>
      </w:r>
    </w:p>
    <w:p>
      <w:pPr>
        <w:pStyle w:val="CodeBlock"/>
        <w:keepLines/>
        <w:pBdr>
          <w:left w:val="single" w:sz="18" w:space="4" w:color="8B5CF6"/>
        </w:pBdr>
        <w:shd w:fill="0D1C32"/>
        <w:spacing w:lineRule="auto" w:line="240" w:before="0" w:after="140"/>
        <w:rPr/>
      </w:pPr>
      <w:r>
        <w:rPr>
          <w:color w:val="D9E5F5"/>
          <w:sz w:val="14"/>
        </w:rPr>
        <w:t>flowchart TD</w:t>
        <w:br/>
        <w:t xml:space="preserve">    UI[User Interface] --&gt; DRAFT[Order Draft]</w:t>
        <w:br/>
        <w:t xml:space="preserve">    AI[AI Analyst] --&gt; DRAFT</w:t>
        <w:br/>
        <w:t xml:space="preserve">    DRAFT --&gt; CHECKS[Deterministic Pre-Trade Checks]</w:t>
        <w:br/>
        <w:t xml:space="preserve">    CHECKS --&gt; APPROVAL[User Approval + Step-Up Auth]</w:t>
        <w:br/>
        <w:t xml:space="preserve">    APPROVAL --&gt; EXEC[Execution Service]</w:t>
        <w:br/>
        <w:t xml:space="preserve">    EXEC --&gt; BROKER[Broker / Exchange]</w:t>
        <w:br/>
        <w:t xml:space="preserve">    BROKER --&gt; RECON[State Reconciliation]</w:t>
        <w:br/>
        <w:t xml:space="preserve">    RECON --&gt; AUDIT[Immutable Audit]</w:t>
        <w:br/>
        <w:t xml:space="preserve">    RECON --&gt; PORT[Portfolio]</w:t>
      </w:r>
    </w:p>
    <w:p>
      <w:pPr>
        <w:pStyle w:val="Heading2"/>
        <w:pBdr>
          <w:left w:val="single" w:sz="14" w:space="4" w:color="8B5CF6"/>
        </w:pBdr>
        <w:rPr/>
      </w:pPr>
      <w:bookmarkStart w:id="274" w:name="__RefHeading___Toc7268_2150751134"/>
      <w:bookmarkEnd w:id="274"/>
      <w:r>
        <w:rPr>
          <w:rFonts w:ascii="Lato" w:hAnsi="Lato"/>
          <w:color w:val="172236"/>
          <w:sz w:val="29"/>
        </w:rPr>
        <w:t>39.3 Security Zones</w:t>
      </w:r>
    </w:p>
    <w:p>
      <w:pPr>
        <w:pStyle w:val="Normal"/>
        <w:keepNext w:val="true"/>
        <w:pBdr>
          <w:left w:val="single" w:sz="18" w:space="4" w:color="8B5CF6"/>
        </w:pBdr>
        <w:shd w:fill="0D1C32"/>
        <w:spacing w:before="120" w:after="0"/>
        <w:rPr/>
      </w:pPr>
      <w:r>
        <w:rPr>
          <w:rFonts w:ascii="Inter Display" w:hAnsi="Inter Display"/>
          <w:b/>
          <w:color w:val="33C7F2"/>
          <w:sz w:val="14"/>
        </w:rPr>
        <w:t>MERMAID SOURCE</w:t>
      </w:r>
    </w:p>
    <w:p>
      <w:pPr>
        <w:pStyle w:val="CodeBlock"/>
        <w:keepLines/>
        <w:pBdr>
          <w:left w:val="single" w:sz="18" w:space="4" w:color="8B5CF6"/>
        </w:pBdr>
        <w:shd w:fill="0D1C32"/>
        <w:spacing w:lineRule="auto" w:line="240" w:before="0" w:after="140"/>
        <w:rPr/>
      </w:pPr>
      <w:r>
        <w:rPr>
          <w:color w:val="D9E5F5"/>
          <w:sz w:val="14"/>
        </w:rPr>
        <w:t>flowchart LR</w:t>
        <w:br/>
        <w:t xml:space="preserve">    WEBVIEW[Svelte WebView&lt;br/&gt;No Secrets] --&gt;|Validated IPC| CORE[Rust Trusted Core]</w:t>
        <w:br/>
        <w:t xml:space="preserve">    CORE --&gt; VAULT[OS Keychain / Vault]</w:t>
        <w:br/>
        <w:t xml:space="preserve">    CORE --&gt; DATA[(Encrypted Data)]</w:t>
        <w:br/>
        <w:t xml:space="preserve">    CORE --&gt; GATEWAY[Provider Gateway]</w:t>
        <w:br/>
        <w:t xml:space="preserve">    CORE --&gt; TOOL[AI Tool Gateway]</w:t>
        <w:br/>
        <w:t xml:space="preserve">    TOOL --&gt; MCP[Approved MCP Servers]</w:t>
        <w:br/>
        <w:t xml:space="preserve">    CORE --&gt; EXEC[Isolated Execution Boundary]</w:t>
      </w:r>
    </w:p>
    <w:p>
      <w:pPr>
        <w:pStyle w:val="Heading1"/>
        <w:pBdr>
          <w:bottom w:val="single" w:sz="12" w:space="5" w:color="33C7F2"/>
        </w:pBdr>
        <w:rPr/>
      </w:pPr>
      <w:bookmarkStart w:id="275" w:name="__RefHeading___Toc7270_2150751134"/>
      <w:bookmarkEnd w:id="275"/>
      <w:r>
        <w:rPr>
          <w:rFonts w:ascii="Lato" w:hAnsi="Lato"/>
          <w:color w:val="172236"/>
          <w:sz w:val="42"/>
        </w:rPr>
        <w:t>40. Source and Standards References</w:t>
      </w:r>
    </w:p>
    <w:p>
      <w:pPr>
        <w:pStyle w:val="Heading2"/>
        <w:pBdr>
          <w:left w:val="single" w:sz="14" w:space="4" w:color="8B5CF6"/>
        </w:pBdr>
        <w:rPr/>
      </w:pPr>
      <w:bookmarkStart w:id="276" w:name="__RefHeading___Toc7272_2150751134"/>
      <w:bookmarkEnd w:id="276"/>
      <w:r>
        <w:rPr>
          <w:rFonts w:ascii="Lato" w:hAnsi="Lato"/>
          <w:color w:val="172236"/>
          <w:sz w:val="29"/>
        </w:rPr>
        <w:t>Product Engineering Standards</w:t>
      </w:r>
    </w:p>
    <w:p>
      <w:pPr>
        <w:pStyle w:val="Normal"/>
        <w:rPr/>
      </w:pPr>
      <w:r>
        <w:rPr>
          <w:color w:val="172236"/>
          <w:sz w:val="19"/>
        </w:rPr>
        <w:t>This design is intended to follow the supplied engineering standards emphasizing production readiness, typed contracts, idempotency, bounded concurrency, observability, secure defaults, testing, documentation, project workbooks, supply-chain security, and cryptographic agility.</w:t>
      </w:r>
    </w:p>
    <w:p>
      <w:pPr>
        <w:pStyle w:val="Heading2"/>
        <w:pBdr>
          <w:left w:val="single" w:sz="14" w:space="4" w:color="8B5CF6"/>
        </w:pBdr>
        <w:rPr/>
      </w:pPr>
      <w:bookmarkStart w:id="277" w:name="__RefHeading___Toc7274_2150751134"/>
      <w:bookmarkEnd w:id="277"/>
      <w:r>
        <w:rPr>
          <w:rFonts w:ascii="Lato" w:hAnsi="Lato"/>
          <w:color w:val="172236"/>
          <w:sz w:val="29"/>
        </w:rPr>
        <w:t>Official External References</w:t>
      </w:r>
    </w:p>
    <w:p>
      <w:pPr>
        <w:pStyle w:val="ListBullet"/>
        <w:numPr>
          <w:ilvl w:val="0"/>
          <w:numId w:val="1"/>
        </w:numPr>
        <w:rPr/>
      </w:pPr>
      <w:r>
        <w:rPr>
          <w:color w:val="172236"/>
          <w:sz w:val="18"/>
        </w:rPr>
        <w:t>CoinGecko API documentation: https://docs.coingecko.com/</w:t>
      </w:r>
    </w:p>
    <w:p>
      <w:pPr>
        <w:pStyle w:val="ListBullet"/>
        <w:numPr>
          <w:ilvl w:val="0"/>
          <w:numId w:val="1"/>
        </w:numPr>
        <w:rPr/>
      </w:pPr>
      <w:r>
        <w:rPr>
          <w:color w:val="172236"/>
          <w:sz w:val="18"/>
        </w:rPr>
        <w:t>CoinGecko endpoint overview: https://docs.coingecko.com/reference/endpoint-overview</w:t>
      </w:r>
    </w:p>
    <w:p>
      <w:pPr>
        <w:pStyle w:val="ListBullet"/>
        <w:numPr>
          <w:ilvl w:val="0"/>
          <w:numId w:val="1"/>
        </w:numPr>
        <w:rPr/>
      </w:pPr>
      <w:r>
        <w:rPr>
          <w:color w:val="172236"/>
          <w:sz w:val="18"/>
        </w:rPr>
        <w:t>CoinGecko rate-limit guidance: https://docs.coingecko.com/docs/common-errors-rate-limit</w:t>
      </w:r>
    </w:p>
    <w:p>
      <w:pPr>
        <w:pStyle w:val="ListBullet"/>
        <w:numPr>
          <w:ilvl w:val="0"/>
          <w:numId w:val="1"/>
        </w:numPr>
        <w:rPr/>
      </w:pPr>
      <w:r>
        <w:rPr>
          <w:color w:val="172236"/>
          <w:sz w:val="18"/>
        </w:rPr>
        <w:t>CoinGecko data-delivery guidance: https://docs.coingecko.com/docs/data-delivery-methods</w:t>
      </w:r>
    </w:p>
    <w:p>
      <w:pPr>
        <w:pStyle w:val="ListBullet"/>
        <w:numPr>
          <w:ilvl w:val="0"/>
          <w:numId w:val="1"/>
        </w:numPr>
        <w:rPr/>
      </w:pPr>
      <w:r>
        <w:rPr>
          <w:color w:val="172236"/>
          <w:sz w:val="18"/>
        </w:rPr>
        <w:t>Unusual Whales API documentation: https://api.unusualwhales.com/docs</w:t>
      </w:r>
    </w:p>
    <w:p>
      <w:pPr>
        <w:pStyle w:val="ListBullet"/>
        <w:numPr>
          <w:ilvl w:val="0"/>
          <w:numId w:val="1"/>
        </w:numPr>
        <w:rPr/>
      </w:pPr>
      <w:r>
        <w:rPr>
          <w:color w:val="172236"/>
          <w:sz w:val="18"/>
        </w:rPr>
        <w:t>Unusual Whales public API: https://unusualwhales.com/public-api</w:t>
      </w:r>
    </w:p>
    <w:p>
      <w:pPr>
        <w:pStyle w:val="ListBullet"/>
        <w:numPr>
          <w:ilvl w:val="0"/>
          <w:numId w:val="1"/>
        </w:numPr>
        <w:rPr/>
      </w:pPr>
      <w:r>
        <w:rPr>
          <w:color w:val="172236"/>
          <w:sz w:val="18"/>
        </w:rPr>
        <w:t>Unusual Whales MCP guidance: https://unusualwhales.com/public-api/mcp</w:t>
      </w:r>
    </w:p>
    <w:p>
      <w:pPr>
        <w:pStyle w:val="ListBullet"/>
        <w:numPr>
          <w:ilvl w:val="0"/>
          <w:numId w:val="1"/>
        </w:numPr>
        <w:rPr/>
      </w:pPr>
      <w:r>
        <w:rPr>
          <w:color w:val="172236"/>
          <w:sz w:val="18"/>
        </w:rPr>
        <w:t>SEC EDGAR APIs: https://www.sec.gov/search-filings/edgar-application-programming-interfaces</w:t>
      </w:r>
    </w:p>
    <w:p>
      <w:pPr>
        <w:pStyle w:val="ListBullet"/>
        <w:numPr>
          <w:ilvl w:val="0"/>
          <w:numId w:val="1"/>
        </w:numPr>
        <w:rPr/>
      </w:pPr>
      <w:r>
        <w:rPr>
          <w:color w:val="172236"/>
          <w:sz w:val="18"/>
        </w:rPr>
        <w:t>SEC developer resources: https://www.sec.gov/about/developer-resources</w:t>
      </w:r>
    </w:p>
    <w:p>
      <w:pPr>
        <w:pStyle w:val="ListBullet"/>
        <w:numPr>
          <w:ilvl w:val="0"/>
          <w:numId w:val="1"/>
        </w:numPr>
        <w:rPr/>
      </w:pPr>
      <w:r>
        <w:rPr>
          <w:color w:val="172236"/>
          <w:sz w:val="18"/>
        </w:rPr>
        <w:t>CFTC Commitments of Traders: https://www.cftc.gov/MarketReports/CommitmentsofTraders/index.htm</w:t>
      </w:r>
    </w:p>
    <w:p>
      <w:pPr>
        <w:pStyle w:val="ListBullet"/>
        <w:numPr>
          <w:ilvl w:val="0"/>
          <w:numId w:val="1"/>
        </w:numPr>
        <w:rPr/>
      </w:pPr>
      <w:r>
        <w:rPr>
          <w:color w:val="172236"/>
          <w:sz w:val="18"/>
        </w:rPr>
        <w:t>CFTC Public Reporting Environment guide: https://publicreporting.cftc.gov/stories/s/User-s-Guide/p2fg-u73y/</w:t>
      </w:r>
    </w:p>
    <w:p>
      <w:pPr>
        <w:pStyle w:val="ListBullet"/>
        <w:numPr>
          <w:ilvl w:val="0"/>
          <w:numId w:val="1"/>
        </w:numPr>
        <w:rPr/>
      </w:pPr>
      <w:r>
        <w:rPr>
          <w:color w:val="172236"/>
          <w:sz w:val="18"/>
        </w:rPr>
        <w:t>NIST Post-Quantum Cryptography: https://csrc.nist.gov/projects/post-quantum-cryptography</w:t>
      </w:r>
    </w:p>
    <w:p>
      <w:pPr>
        <w:pStyle w:val="ListBullet"/>
        <w:numPr>
          <w:ilvl w:val="0"/>
          <w:numId w:val="1"/>
        </w:numPr>
        <w:rPr/>
      </w:pPr>
      <w:r>
        <w:rPr>
          <w:color w:val="172236"/>
          <w:sz w:val="18"/>
        </w:rPr>
        <w:t>NIST FIPS 203, ML-KEM: https://csrc.nist.gov/pubs/fips/203/final</w:t>
      </w:r>
    </w:p>
    <w:p>
      <w:pPr>
        <w:pStyle w:val="ListBullet"/>
        <w:numPr>
          <w:ilvl w:val="0"/>
          <w:numId w:val="1"/>
        </w:numPr>
        <w:rPr/>
      </w:pPr>
      <w:r>
        <w:rPr>
          <w:color w:val="172236"/>
          <w:sz w:val="18"/>
        </w:rPr>
        <w:t>NIST FIPS 204, ML-DSA: https://csrc.nist.gov/pubs/fips/204/final</w:t>
      </w:r>
    </w:p>
    <w:p>
      <w:pPr>
        <w:pStyle w:val="ListBullet"/>
        <w:numPr>
          <w:ilvl w:val="0"/>
          <w:numId w:val="1"/>
        </w:numPr>
        <w:rPr/>
      </w:pPr>
      <w:r>
        <w:rPr>
          <w:color w:val="172236"/>
          <w:sz w:val="18"/>
        </w:rPr>
        <w:t>Tauri security: https://v2.tauri.app/security/</w:t>
      </w:r>
    </w:p>
    <w:p>
      <w:pPr>
        <w:pStyle w:val="ListBullet"/>
        <w:numPr>
          <w:ilvl w:val="0"/>
          <w:numId w:val="1"/>
        </w:numPr>
        <w:rPr/>
      </w:pPr>
      <w:r>
        <w:rPr>
          <w:color w:val="172236"/>
          <w:sz w:val="18"/>
        </w:rPr>
        <w:t>Tauri capabilities: https://v2.tauri.app/security/capabilities/</w:t>
      </w:r>
    </w:p>
    <w:p>
      <w:pPr>
        <w:pStyle w:val="ListBullet"/>
        <w:numPr>
          <w:ilvl w:val="0"/>
          <w:numId w:val="1"/>
        </w:numPr>
        <w:rPr/>
      </w:pPr>
      <w:r>
        <w:rPr>
          <w:color w:val="172236"/>
          <w:sz w:val="18"/>
        </w:rPr>
        <w:t>Svelte documentation: https://svelte.dev/docs/svelte</w:t>
      </w:r>
    </w:p>
    <w:p>
      <w:pPr>
        <w:pStyle w:val="ListBullet"/>
        <w:numPr>
          <w:ilvl w:val="0"/>
          <w:numId w:val="1"/>
        </w:numPr>
        <w:rPr/>
      </w:pPr>
      <w:r>
        <w:rPr>
          <w:color w:val="172236"/>
          <w:sz w:val="18"/>
        </w:rPr>
        <w:t>wgpu: https://wgpu.rs/</w:t>
      </w:r>
    </w:p>
    <w:p>
      <w:pPr>
        <w:pStyle w:val="Heading1"/>
        <w:pBdr>
          <w:bottom w:val="single" w:sz="12" w:space="5" w:color="33C7F2"/>
        </w:pBdr>
        <w:rPr/>
      </w:pPr>
      <w:bookmarkStart w:id="278" w:name="__RefHeading___Toc7276_2150751134"/>
      <w:bookmarkEnd w:id="278"/>
      <w:r>
        <w:rPr>
          <w:rFonts w:ascii="Lato" w:hAnsi="Lato"/>
          <w:color w:val="172236"/>
          <w:sz w:val="42"/>
        </w:rPr>
        <w:t>Closing Direction</w:t>
      </w:r>
    </w:p>
    <w:p>
      <w:pPr>
        <w:pStyle w:val="Normal"/>
        <w:rPr/>
      </w:pPr>
      <w:r>
        <w:rPr>
          <w:color w:val="172236"/>
          <w:sz w:val="19"/>
        </w:rPr>
        <w:t>PRISMATIK should be built as a disciplined intelligence platform, not a decorative dashboard and not a black-box signal seller. Its strongest identity will come from combining:</w:t>
      </w:r>
    </w:p>
    <w:p>
      <w:pPr>
        <w:pStyle w:val="ListBullet"/>
        <w:numPr>
          <w:ilvl w:val="0"/>
          <w:numId w:val="1"/>
        </w:numPr>
        <w:rPr/>
      </w:pPr>
      <w:r>
        <w:rPr>
          <w:color w:val="172236"/>
          <w:sz w:val="18"/>
        </w:rPr>
        <w:t>Broad but provenance-aware market data.</w:t>
      </w:r>
    </w:p>
    <w:p>
      <w:pPr>
        <w:pStyle w:val="ListBullet"/>
        <w:numPr>
          <w:ilvl w:val="0"/>
          <w:numId w:val="1"/>
        </w:numPr>
        <w:rPr/>
      </w:pPr>
      <w:r>
        <w:rPr>
          <w:color w:val="172236"/>
          <w:sz w:val="18"/>
        </w:rPr>
        <w:t>Institutional and event context.</w:t>
      </w:r>
    </w:p>
    <w:p>
      <w:pPr>
        <w:pStyle w:val="ListBullet"/>
        <w:numPr>
          <w:ilvl w:val="0"/>
          <w:numId w:val="1"/>
        </w:numPr>
        <w:rPr/>
      </w:pPr>
      <w:r>
        <w:rPr>
          <w:color w:val="172236"/>
          <w:sz w:val="18"/>
        </w:rPr>
        <w:t>Deep options intelligence.</w:t>
      </w:r>
    </w:p>
    <w:p>
      <w:pPr>
        <w:pStyle w:val="ListBullet"/>
        <w:numPr>
          <w:ilvl w:val="0"/>
          <w:numId w:val="1"/>
        </w:numPr>
        <w:rPr/>
      </w:pPr>
      <w:r>
        <w:rPr>
          <w:color w:val="172236"/>
          <w:sz w:val="18"/>
        </w:rPr>
        <w:t>Credible quantitative validation.</w:t>
      </w:r>
    </w:p>
    <w:p>
      <w:pPr>
        <w:pStyle w:val="ListBullet"/>
        <w:numPr>
          <w:ilvl w:val="0"/>
          <w:numId w:val="1"/>
        </w:numPr>
        <w:rPr/>
      </w:pPr>
      <w:r>
        <w:rPr>
          <w:color w:val="172236"/>
          <w:sz w:val="18"/>
        </w:rPr>
        <w:t>Transparent uncertainty.</w:t>
      </w:r>
    </w:p>
    <w:p>
      <w:pPr>
        <w:pStyle w:val="ListBullet"/>
        <w:numPr>
          <w:ilvl w:val="0"/>
          <w:numId w:val="1"/>
        </w:numPr>
        <w:rPr/>
      </w:pPr>
      <w:r>
        <w:rPr>
          <w:color w:val="172236"/>
          <w:sz w:val="18"/>
        </w:rPr>
        <w:t>Secure local and enterprise deployment.</w:t>
      </w:r>
    </w:p>
    <w:p>
      <w:pPr>
        <w:pStyle w:val="ListBullet"/>
        <w:numPr>
          <w:ilvl w:val="0"/>
          <w:numId w:val="1"/>
        </w:numPr>
        <w:rPr/>
      </w:pPr>
      <w:r>
        <w:rPr>
          <w:color w:val="172236"/>
          <w:sz w:val="18"/>
        </w:rPr>
        <w:t>A captivating but operationally responsible interface.</w:t>
      </w:r>
    </w:p>
    <w:p>
      <w:pPr>
        <w:pStyle w:val="ListBullet"/>
        <w:numPr>
          <w:ilvl w:val="0"/>
          <w:numId w:val="1"/>
        </w:numPr>
        <w:rPr/>
      </w:pPr>
      <w:r>
        <w:rPr>
          <w:color w:val="172236"/>
          <w:sz w:val="18"/>
        </w:rPr>
        <w:t>A provider-neutral, Rust-centered architecture that can evolve for decades.</w:t>
      </w:r>
    </w:p>
    <w:p>
      <w:pPr>
        <w:pStyle w:val="Normal"/>
        <w:rPr/>
      </w:pPr>
      <w:r>
        <w:rPr>
          <w:color w:val="172236"/>
          <w:sz w:val="19"/>
        </w:rPr>
        <w:t>The first implementation should prove that architecture through CoinGecko-powered crypto intelligence, then add SEC/CFTC context, then establish the core options wedge with Unusual Whales, followed by quant validation, simulations, paper trading, and only later controlled execution.</w:t>
      </w:r>
    </w:p>
    <w:p>
      <w:pPr>
        <w:pStyle w:val="Normal"/>
        <w:spacing w:before="0" w:after="0"/>
        <w:jc w:val="center"/>
        <w:rPr/>
      </w:pPr>
      <w:r>
        <w:rPr/>
        <w:drawing>
          <wp:inline distT="0" distB="0" distL="0" distR="0">
            <wp:extent cx="6546850" cy="8174990"/>
            <wp:effectExtent l="0" t="0" r="0" b="0"/>
            <wp:docPr id="18" name="Picture 18" descr="Image: image18.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title=""/>
                    <pic:cNvPicPr>
                      <a:picLocks noChangeAspect="1" noChangeArrowheads="1"/>
                    </pic:cNvPicPr>
                  </pic:nvPicPr>
                  <pic:blipFill>
                    <a:blip r:embed="rId61"/>
                    <a:stretch>
                      <a:fillRect/>
                    </a:stretch>
                  </pic:blipFill>
                  <pic:spPr bwMode="auto">
                    <a:xfrm>
                      <a:off x="0" y="0"/>
                      <a:ext cx="6546850" cy="8174990"/>
                    </a:xfrm>
                    <a:prstGeom prst="rect">
                      <a:avLst/>
                    </a:prstGeom>
                    <a:noFill/>
                  </pic:spPr>
                </pic:pic>
              </a:graphicData>
            </a:graphic>
          </wp:inline>
        </w:drawing>
      </w:r>
    </w:p>
    <w:p>
      <w:pPr>
        <w:pStyle w:val="Normal"/>
        <w:rPr/>
      </w:pPr>
      <w:r>
        <w:rPr/>
      </w:r>
    </w:p>
    <w:p>
      <w:pPr>
        <w:sectPr>
          <w:headerReference w:type="even" r:id="rId62"/>
          <w:headerReference w:type="default" r:id="rId63"/>
          <w:headerReference w:type="first" r:id="rId64"/>
          <w:footerReference w:type="even" r:id="rId65"/>
          <w:footerReference w:type="default" r:id="rId66"/>
          <w:footerReference w:type="first" r:id="rId67"/>
          <w:type w:val="nextPage"/>
          <w:pgSz w:w="12240" w:h="15840"/>
          <w:pgMar w:left="965" w:right="965" w:gutter="0" w:header="360" w:top="893" w:footer="360" w:bottom="835"/>
          <w:pgNumType w:fmt="decimal"/>
          <w:formProt w:val="false"/>
          <w:textDirection w:val="lrTb"/>
          <w:docGrid w:type="default" w:linePitch="312" w:charSpace="4096"/>
        </w:sectPr>
      </w:pPr>
    </w:p>
    <w:p>
      <w:pPr>
        <w:pStyle w:val="Heading1"/>
        <w:pageBreakBefore w:val="false"/>
        <w:rPr/>
      </w:pPr>
      <w:bookmarkStart w:id="279" w:name="__RefHeading___Toc7278_2150751134"/>
      <w:bookmarkEnd w:id="279"/>
      <w:r>
        <w:rPr/>
        <w:t>Architecture Evolution v0.2 - Integrated Build-Ready Contracts</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8B5CF6"/>
            </w:tcBorders>
            <w:shd w:fill="F2EDFF"/>
          </w:tcPr>
          <w:p>
            <w:pPr>
              <w:pStyle w:val="Normal"/>
              <w:spacing w:before="0" w:after="100"/>
              <w:rPr/>
            </w:pPr>
            <w:r>
              <w:rPr>
                <w:rFonts w:ascii="Inter Display" w:hAnsi="Inter Display"/>
                <w:b/>
                <w:color w:val="8B5CF6"/>
                <w:sz w:val="16"/>
              </w:rPr>
              <w:t xml:space="preserve">INTEGRATION NOTE  </w:t>
            </w:r>
            <w:r>
              <w:rPr>
                <w:color w:val="172236"/>
                <w:sz w:val="18"/>
              </w:rPr>
              <w:t>The following material preserves the complete Architecture Evolution v0.2 companion and integrates it into this cornerstone report as the implementation contract for strategy runtimes, risk, brokers, AI tools, data lineage, model serving, compliance, notifications, backup, and migration.</w:t>
            </w:r>
          </w:p>
        </w:tc>
      </w:tr>
    </w:tbl>
    <w:p>
      <w:pPr>
        <w:pStyle w:val="Normal"/>
        <w:spacing w:before="0" w:after="0"/>
        <w:rPr/>
      </w:pPr>
      <w:r>
        <w:rPr/>
      </w:r>
    </w:p>
    <w:p>
      <w:pPr>
        <w:pStyle w:val="Heading2"/>
        <w:pBdr>
          <w:left w:val="single" w:sz="14" w:space="4" w:color="8B5CF6"/>
        </w:pBdr>
        <w:rPr/>
      </w:pPr>
      <w:bookmarkStart w:id="280" w:name="__RefHeading___Toc7280_2150751134"/>
      <w:bookmarkEnd w:id="280"/>
      <w:r>
        <w:rPr>
          <w:rFonts w:ascii="Lato" w:hAnsi="Lato"/>
          <w:color w:val="172236"/>
          <w:sz w:val="29"/>
        </w:rPr>
        <w:t>How to Use This Document</w:t>
      </w:r>
    </w:p>
    <w:p>
      <w:pPr>
        <w:sectPr>
          <w:type w:val="continuous"/>
          <w:pgSz w:w="12240" w:h="15840"/>
          <w:pgMar w:left="965" w:right="965" w:gutter="0" w:header="360" w:top="893" w:footer="360" w:bottom="835"/>
          <w:formProt w:val="false"/>
          <w:textDirection w:val="lrTb"/>
          <w:docGrid w:type="default" w:linePitch="312" w:charSpace="4096"/>
        </w:sectPr>
        <w:pStyle w:val="Normal"/>
        <w:rPr/>
      </w:pPr>
      <w:r>
        <w:rPr>
          <w:color w:val="172236"/>
          <w:sz w:val="19"/>
        </w:rPr>
        <w:t>Each section maps to a gap in the v0.1 overview. They are ordered by implementation leverage, not document order. The Rust trait definitions in Part I are the single highest-priority addition — they are the actual architectural contract that every workstream in v0.1 §33 depends on.</w:t>
      </w:r>
    </w:p>
    <w:p>
      <w:pPr>
        <w:pStyle w:val="Heading1"/>
        <w:pBdr>
          <w:bottom w:val="single" w:sz="12" w:space="5" w:color="33C7F2"/>
        </w:pBdr>
        <w:rPr/>
      </w:pPr>
      <w:bookmarkStart w:id="281" w:name="__RefHeading___Toc7282_2150751134"/>
      <w:bookmarkEnd w:id="281"/>
      <w:r>
        <w:rPr>
          <w:rFonts w:ascii="Lato" w:hAnsi="Lato"/>
          <w:color w:val="172236"/>
          <w:sz w:val="42"/>
        </w:rPr>
        <w:t>Part I — Load-Bearing Trait Surfaces</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8B5CF6"/>
            </w:tcBorders>
            <w:shd w:fill="F2EDFF"/>
          </w:tcPr>
          <w:p>
            <w:pPr>
              <w:pStyle w:val="Normal"/>
              <w:spacing w:before="0" w:after="100"/>
              <w:rPr/>
            </w:pPr>
            <w:r>
              <w:rPr>
                <w:rFonts w:ascii="Inter Display" w:hAnsi="Inter Display"/>
                <w:b/>
                <w:color w:val="8B5CF6"/>
                <w:sz w:val="16"/>
              </w:rPr>
              <w:t xml:space="preserve">DESIGN PRINCIPLE  </w:t>
            </w:r>
            <w:r>
              <w:rPr>
                <w:color w:val="172236"/>
                <w:sz w:val="18"/>
              </w:rPr>
              <w:t>The v0.1 overview defines one Rust trait (MarketDataProvider) out of approximately twelve load-bearing interfaces. This part defines the rest. Each trait is written to be reviewable as a standalone ADR.</w:t>
            </w:r>
          </w:p>
        </w:tc>
      </w:tr>
    </w:tbl>
    <w:p>
      <w:pPr>
        <w:pStyle w:val="Normal"/>
        <w:spacing w:before="0" w:after="0"/>
        <w:rPr/>
      </w:pPr>
      <w:r>
        <w:rPr/>
      </w:r>
    </w:p>
    <w:p>
      <w:pPr>
        <w:pStyle w:val="Heading2"/>
        <w:pBdr>
          <w:left w:val="single" w:sz="14" w:space="4" w:color="8B5CF6"/>
        </w:pBdr>
        <w:rPr/>
      </w:pPr>
      <w:bookmarkStart w:id="282" w:name="__RefHeading___Toc7284_2150751134"/>
      <w:bookmarkEnd w:id="282"/>
      <w:r>
        <w:rPr>
          <w:rFonts w:ascii="Lato" w:hAnsi="Lato"/>
          <w:color w:val="172236"/>
          <w:sz w:val="29"/>
        </w:rPr>
        <w:t>1. Strategy and Strategy Runtime</w:t>
      </w:r>
    </w:p>
    <w:p>
      <w:pPr>
        <w:pStyle w:val="Normal"/>
        <w:rPr/>
      </w:pPr>
      <w:r>
        <w:rPr>
          <w:color w:val="172236"/>
          <w:sz w:val="19"/>
        </w:rPr>
        <w:t>The v0.1 overview (§11.1) mandates a typed DSL that "MUST compile to a typed intermediate representation" but never defines the IR or the trait a strategy must implement to be runnable by the backtest engine, paper broker, and live execution boundary. This is the contract that makes a strategy portable across all three runtimes.</w:t>
      </w:r>
    </w:p>
    <w:p>
      <w:pPr>
        <w:pStyle w:val="Heading3"/>
        <w:rPr/>
      </w:pPr>
      <w:bookmarkStart w:id="283" w:name="__RefHeading___Toc7286_2150751134"/>
      <w:bookmarkEnd w:id="283"/>
      <w:r>
        <w:rPr>
          <w:rFonts w:ascii="Lato" w:hAnsi="Lato"/>
          <w:color w:val="172236"/>
          <w:sz w:val="21"/>
        </w:rPr>
        <w:t>1.1 Strategy Intermediate Representation</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 A compiled, type-checked strategy in intermediate representation form.</w:t>
        <w:br/>
        <w:t>/// Produced by the DSL compiler, the visual builder codegen, or hand-written</w:t>
        <w:br/>
        <w:t>/// Rust strategies via the SDK. All strategies — regardless of origin —</w:t>
        <w:br/>
        <w:t>/// converge to this type before they touch a runtime.</w:t>
        <w:br/>
        <w:t>#[derive(Clone, Debug, Serialize, Deserialize)]</w:t>
        <w:br/>
        <w:t>pub struct StrategyIR {</w:t>
        <w:br/>
        <w:t xml:space="preserve">    pub id: StrategyId,</w:t>
        <w:br/>
        <w:t xml:space="preserve">    pub name: String,</w:t>
        <w:br/>
        <w:t xml:space="preserve">    pub version: SemanticVersion,</w:t>
        <w:br/>
        <w:t xml:space="preserve">    pub universe: UniverseSpec,</w:t>
        <w:br/>
        <w:t xml:space="preserve">    pub entry: Vec&lt;EntryRule&gt;,</w:t>
        <w:br/>
        <w:t xml:space="preserve">    pub exit: Vec&lt;ExitRule&gt;,</w:t>
        <w:br/>
        <w:t xml:space="preserve">    pub risk: RiskBinding,</w:t>
        <w:br/>
        <w:t xml:space="preserve">    pub parameters: ParameterSet,</w:t>
        <w:br/>
        <w:t xml:space="preserve">    pub capabilities: StrategyCapabilities,</w:t>
        <w:br/>
        <w:t xml:space="preserve">    pub source_hash: ContentHash,</w:t>
        <w:br/>
        <w:t xml:space="preserve">    pub compiled_at: OffsetDateTime,</w:t>
        <w:br/>
        <w:t xml:space="preserve">    pub compiler_version: SemanticVersion,</w:t>
        <w:br/>
        <w:t>}</w:t>
        <w:br/>
        <w:br/>
        <w:t>/// What a strategy is allowed to do. The runtime enforces these.</w:t>
        <w:br/>
        <w:t>/// A backtest strategy gets data access; a live strategy additionally</w:t>
        <w:br/>
        <w:t>/// gets order draft access — but never direct submit.</w:t>
        <w:br/>
        <w:t>#[derive(Clone, Debug, Serialize, Deserialize)]</w:t>
        <w:br/>
        <w:t>pub struct StrategyCapabilities {</w:t>
        <w:br/>
        <w:t xml:space="preserve">    pub data_access: DataAccessScope,</w:t>
        <w:br/>
        <w:t xml:space="preserve">    pub can_read_options: bool,</w:t>
        <w:br/>
        <w:t xml:space="preserve">    pub can_read_filings: bool,</w:t>
        <w:br/>
        <w:t xml:space="preserve">    pub can_read_crypto: bool,</w:t>
        <w:br/>
        <w:t xml:space="preserve">    pub can_draft_orders: bool,</w:t>
        <w:br/>
        <w:t xml:space="preserve">    pub can_access_network: bool,  // always false in backtest</w:t>
        <w:br/>
        <w:t xml:space="preserve">    pub max_position_concentration: Option&lt;Ratio&gt;,</w:t>
        <w:br/>
        <w:t xml:space="preserve">    pub max_premium_at_risk: Option&lt;Ratio&gt;,</w:t>
        <w:br/>
        <w:t>}</w:t>
      </w:r>
    </w:p>
    <w:p>
      <w:pPr>
        <w:pStyle w:val="Heading3"/>
        <w:rPr/>
      </w:pPr>
      <w:bookmarkStart w:id="284" w:name="__RefHeading___Toc7288_2150751134"/>
      <w:bookmarkEnd w:id="284"/>
      <w:r>
        <w:rPr>
          <w:rFonts w:ascii="Lato" w:hAnsi="Lato"/>
          <w:color w:val="172236"/>
          <w:sz w:val="21"/>
        </w:rPr>
        <w:t>1.2 The Strategy Trait</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pBdr>
          <w:left w:val="single" w:sz="18" w:space="4" w:color="8B5CF6"/>
        </w:pBdr>
        <w:shd w:fill="0D1C32"/>
        <w:spacing w:lineRule="auto" w:line="240" w:before="0" w:after="140"/>
        <w:rPr/>
      </w:pPr>
      <w:r>
        <w:rPr>
          <w:color w:val="D9E5F5"/>
          <w:sz w:val="14"/>
        </w:rPr>
        <w:t>/// The core trait every strategy implements, regardless of authoring mode.</w:t>
        <w:br/>
        <w:t>/// The runtime calls `on_event` with a deterministic clock and scoped data.</w:t>
        <w:br/>
        <w:t>/// Strategies are stateful but must be reproducible: same events + same</w:t>
        <w:br/>
        <w:t>/// seed = same decisions.</w:t>
        <w:br/>
        <w:t>#[async_trait::async_trait]</w:t>
        <w:br/>
        <w:t>pub trait Strategy: Send + Sync {</w:t>
        <w:br/>
        <w:t xml:space="preserve">    /// Unique identity for this strategy instance.</w:t>
        <w:br/>
        <w:t xml:space="preserve">    fn id(&amp;self) -&gt; StrategyId;</w:t>
        <w:br/>
        <w:br/>
        <w:t xml:space="preserve">    /// The compiled IR this instance was created from.</w:t>
        <w:br/>
        <w:t xml:space="preserve">    fn ir(&amp;self) -&gt; &amp;StrategyIR;</w:t>
        <w:br/>
        <w:br/>
        <w:t xml:space="preserve">    /// Called once at the start of a run (backtest, paper, or live).</w:t>
        <w:br/>
        <w:t xml:space="preserve">    /// Provides the deterministic clock, scoped data reader, and seed.</w:t>
        <w:br/>
        <w:t xml:space="preserve">    async fn initialize(</w:t>
        <w:br/>
        <w:t xml:space="preserve">        &amp;mut self,</w:t>
        <w:br/>
        <w:t xml:space="preserve">        ctx: &amp;StrategyContext,</w:t>
        <w:br/>
        <w:t xml:space="preserve">    ) -&gt; Result&lt;(), StrategyError&gt;;</w:t>
        <w:br/>
        <w:br/>
        <w:t xml:space="preserve">    /// Called for every event the strategy's universe produces.</w:t>
        <w:br/>
        <w:t xml:space="preserve">    /// Market data, option prints, filings, and scheduled triggers</w:t>
        <w:br/>
        <w:t xml:space="preserve">    /// all arrive as typed events. The strategy returns zero or more</w:t>
        <w:br/>
        <w:t xml:space="preserve">    /// order intents — never orders directly.</w:t>
        <w:br/>
        <w:t xml:space="preserve">    async fn on_event(</w:t>
        <w:br/>
        <w:t xml:space="preserve">        &amp;mut self,</w:t>
        <w:br/>
        <w:t xml:space="preserve">        event: &amp;MarketEvent,</w:t>
        <w:br/>
        <w:t xml:space="preserve">        ctx: &amp;StrategyContext,</w:t>
        <w:br/>
        <w:t xml:space="preserve">    ) -&gt; Result&lt;Vec&lt;OrderIntent&gt;, StrategyError&gt;;</w:t>
        <w:br/>
        <w:br/>
        <w:t xml:space="preserve">    /// Called once at the end of a run. Allows the strategy to</w:t>
        <w:br/>
        <w:t xml:space="preserve">    /// emit summary metadata, close state, and record final</w:t>
        <w:br/>
        <w:t xml:space="preserve">    /// decisions for the journal and audit log.</w:t>
        <w:br/>
        <w:t xml:space="preserve">    async fn finalize(</w:t>
        <w:br/>
        <w:t xml:space="preserve">        &amp;mut self,</w:t>
        <w:br/>
        <w:t xml:space="preserve">        ctx: &amp;StrategyContext,</w:t>
        <w:br/>
        <w:t xml:space="preserve">    ) -&gt; Result&lt;StrategySummary, StrategyError&gt;;</w:t>
        <w:br/>
        <w:t>}</w:t>
        <w:br/>
        <w:br/>
        <w:t>/// Scoped context passed to every strategy call. Prevents direct</w:t>
        <w:br/>
        <w:t>/// access to the network, the broker, or data outside the strategy's</w:t>
        <w:br/>
        <w:t>/// declared universe and capabilities.</w:t>
        <w:br/>
        <w:t>pub struct StrategyContext {</w:t>
        <w:br/>
        <w:t xml:space="preserve">    clock: DeterministicClock,</w:t>
        <w:br/>
        <w:t xml:space="preserve">    data: ScopedDataReader,</w:t>
        <w:br/>
        <w:t xml:space="preserve">    rng: SeededRng,</w:t>
        <w:br/>
        <w:t xml:space="preserve">    run_id: RunId,</w:t>
        <w:br/>
        <w:t xml:space="preserve">    manifest: ManifestBuilder,  // accumulates reproducibility metadata</w:t>
        <w:br/>
        <w:t>}</w:t>
      </w:r>
    </w:p>
    <w:p>
      <w:pPr>
        <w:pStyle w:val="Heading3"/>
        <w:rPr/>
      </w:pPr>
      <w:bookmarkStart w:id="285" w:name="__RefHeading___Toc7290_2150751134"/>
      <w:bookmarkEnd w:id="285"/>
      <w:r>
        <w:rPr>
          <w:rFonts w:ascii="Lato" w:hAnsi="Lato"/>
          <w:color w:val="172236"/>
          <w:sz w:val="21"/>
        </w:rPr>
        <w:t>1.3 Why This Design</w:t>
      </w:r>
    </w:p>
    <w:p>
      <w:pPr>
        <w:pStyle w:val="ListBullet"/>
        <w:numPr>
          <w:ilvl w:val="0"/>
          <w:numId w:val="1"/>
        </w:numPr>
        <w:rPr/>
      </w:pPr>
      <w:r>
        <w:rPr>
          <w:b/>
          <w:color w:val="172236"/>
          <w:sz w:val="18"/>
        </w:rPr>
        <w:t>One trait, three runtimes.</w:t>
      </w:r>
      <w:r>
        <w:rPr>
          <w:color w:val="172236"/>
          <w:sz w:val="18"/>
        </w:rPr>
        <w:t xml:space="preserve"> The backtest engine, paper broker, and live execution boundary all call </w:t>
      </w:r>
      <w:r>
        <w:rPr>
          <w:rFonts w:ascii="Liberation Mono" w:hAnsi="Liberation Mono"/>
          <w:color w:val="8B5CF6"/>
          <w:sz w:val="17"/>
          <w:shd w:fill="F0EDFF" w:val="clear"/>
        </w:rPr>
        <w:t>on_event</w:t>
      </w:r>
      <w:r>
        <w:rPr>
          <w:color w:val="172236"/>
          <w:sz w:val="18"/>
        </w:rPr>
        <w:t xml:space="preserve">. The difference is what the </w:t>
      </w:r>
      <w:r>
        <w:rPr>
          <w:rFonts w:ascii="Liberation Mono" w:hAnsi="Liberation Mono"/>
          <w:color w:val="8B5CF6"/>
          <w:sz w:val="17"/>
          <w:shd w:fill="F0EDFF" w:val="clear"/>
        </w:rPr>
        <w:t>StrategyContext</w:t>
      </w:r>
      <w:r>
        <w:rPr>
          <w:color w:val="172236"/>
          <w:sz w:val="18"/>
        </w:rPr>
        <w:t xml:space="preserve"> permits and what happens to the returned </w:t>
      </w:r>
      <w:r>
        <w:rPr>
          <w:rFonts w:ascii="Liberation Mono" w:hAnsi="Liberation Mono"/>
          <w:color w:val="8B5CF6"/>
          <w:sz w:val="17"/>
          <w:shd w:fill="F0EDFF" w:val="clear"/>
        </w:rPr>
        <w:t>OrderIntent</w:t>
      </w:r>
      <w:r>
        <w:rPr>
          <w:color w:val="172236"/>
          <w:sz w:val="18"/>
        </w:rPr>
        <w:t xml:space="preserve"> — in backtest it is simulated, in paper it is recorded against the paper broker, in live it enters the deterministic execution workflow (v0.1 §17.5).</w:t>
      </w:r>
    </w:p>
    <w:p>
      <w:pPr>
        <w:pStyle w:val="ListBullet"/>
        <w:numPr>
          <w:ilvl w:val="0"/>
          <w:numId w:val="1"/>
        </w:numPr>
        <w:rPr/>
      </w:pPr>
      <w:r>
        <w:rPr>
          <w:b/>
          <w:color w:val="172236"/>
          <w:sz w:val="18"/>
        </w:rPr>
        <w:t>Capabilities are structural, not advisory.</w:t>
      </w:r>
      <w:r>
        <w:rPr>
          <w:color w:val="172236"/>
          <w:sz w:val="18"/>
        </w:rPr>
        <w:t xml:space="preserve"> </w:t>
      </w:r>
      <w:r>
        <w:rPr>
          <w:rFonts w:ascii="Liberation Mono" w:hAnsi="Liberation Mono"/>
          <w:color w:val="8B5CF6"/>
          <w:sz w:val="17"/>
          <w:shd w:fill="F0EDFF" w:val="clear"/>
        </w:rPr>
        <w:t>can_access_network</w:t>
      </w:r>
      <w:r>
        <w:rPr>
          <w:color w:val="172236"/>
          <w:sz w:val="18"/>
        </w:rPr>
        <w:t xml:space="preserve"> is enforced by the runtime, not by convention. A backtest cannot accidentally call a live API.</w:t>
      </w:r>
    </w:p>
    <w:p>
      <w:pPr>
        <w:pStyle w:val="ListBullet"/>
        <w:numPr>
          <w:ilvl w:val="0"/>
          <w:numId w:val="1"/>
        </w:numPr>
        <w:rPr/>
      </w:pPr>
      <w:r>
        <w:rPr>
          <w:rFonts w:ascii="Liberation Mono" w:hAnsi="Liberation Mono"/>
          <w:b/>
          <w:color w:val="8B5CF6"/>
          <w:sz w:val="17"/>
          <w:shd w:fill="F0EDFF" w:val="clear"/>
        </w:rPr>
        <w:t>OrderIntent</w:t>
      </w:r>
      <w:r>
        <w:rPr>
          <w:b/>
          <w:color w:val="172236"/>
          <w:sz w:val="18"/>
        </w:rPr>
        <w:t xml:space="preserve">, not </w:t>
      </w:r>
      <w:r>
        <w:rPr>
          <w:rFonts w:ascii="Liberation Mono" w:hAnsi="Liberation Mono"/>
          <w:b/>
          <w:color w:val="8B5CF6"/>
          <w:sz w:val="17"/>
          <w:shd w:fill="F0EDFF" w:val="clear"/>
        </w:rPr>
        <w:t>Order</w:t>
      </w:r>
      <w:r>
        <w:rPr>
          <w:b/>
          <w:color w:val="172236"/>
          <w:sz w:val="18"/>
        </w:rPr>
        <w:t>.</w:t>
      </w:r>
      <w:r>
        <w:rPr>
          <w:color w:val="172236"/>
          <w:sz w:val="18"/>
        </w:rPr>
        <w:t xml:space="preserve"> Strategies never produce orders. They produce intents that pass through risk checks (§3 below), user approval, and the execution boundary before becoming orders. This is the architectural enforcement of v0.1 §16.2: "Live order submission MUST not be directly available to a general conversational model."</w:t>
      </w:r>
    </w:p>
    <w:p>
      <w:pPr>
        <w:pStyle w:val="Heading2"/>
        <w:pBdr>
          <w:left w:val="single" w:sz="14" w:space="4" w:color="8B5CF6"/>
        </w:pBdr>
        <w:rPr/>
      </w:pPr>
      <w:bookmarkStart w:id="286" w:name="__RefHeading___Toc7292_2150751134"/>
      <w:bookmarkEnd w:id="286"/>
      <w:r>
        <w:rPr>
          <w:rFonts w:ascii="Lato" w:hAnsi="Lato"/>
          <w:color w:val="172236"/>
          <w:sz w:val="29"/>
        </w:rPr>
        <w:t>2. Risk Policy and Pre-Trade Checks</w:t>
      </w:r>
    </w:p>
    <w:p>
      <w:pPr>
        <w:pStyle w:val="Normal"/>
        <w:rPr/>
      </w:pPr>
      <w:r>
        <w:rPr>
          <w:color w:val="172236"/>
          <w:sz w:val="19"/>
        </w:rPr>
        <w:t>The v0.1 overview (§17.3) lists 13 pre-trade checks but defines no trait, no evaluation model, and no fail-closed return type. Risk enforcement must be structural — a strategy or AI tool cannot bypass it by construction.</w:t>
      </w:r>
    </w:p>
    <w:p>
      <w:pPr>
        <w:pStyle w:val="Heading3"/>
        <w:rPr/>
      </w:pPr>
      <w:bookmarkStart w:id="287" w:name="__RefHeading___Toc7294_2150751134"/>
      <w:bookmarkEnd w:id="287"/>
      <w:r>
        <w:rPr>
          <w:rFonts w:ascii="Lato" w:hAnsi="Lato"/>
          <w:color w:val="172236"/>
          <w:sz w:val="21"/>
        </w:rPr>
        <w:t>2.1 Risk Trait</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pBdr>
          <w:left w:val="single" w:sz="18" w:space="4" w:color="8B5CF6"/>
        </w:pBdr>
        <w:shd w:fill="0D1C32"/>
        <w:spacing w:lineRule="auto" w:line="240" w:before="0" w:after="140"/>
        <w:rPr/>
      </w:pPr>
      <w:r>
        <w:rPr>
          <w:color w:val="D9E5F5"/>
          <w:sz w:val="14"/>
        </w:rPr>
        <w:t>/// A risk policy is a collection of checks evaluated before any order</w:t>
        <w:br/>
        <w:t>/// leaves the system. Checks are short-circuiting: the first hard deny</w:t>
        <w:br/>
        <w:t>/// stops evaluation. All checks (including those that passed) are</w:t>
        <w:br/>
        <w:t>/// recorded in the audit log.</w:t>
        <w:br/>
        <w:t>pub trait RiskPolicy: Send + Sync {</w:t>
        <w:br/>
        <w:t xml:space="preserve">    /// Evaluate an order intent against all applicable checks.</w:t>
        <w:br/>
        <w:t xml:space="preserve">    /// Returns a decision with the full evidence chain.</w:t>
        <w:br/>
        <w:t xml:space="preserve">    fn evaluate(</w:t>
        <w:br/>
        <w:t xml:space="preserve">        &amp;self,</w:t>
        <w:br/>
        <w:t xml:space="preserve">        intent: &amp;OrderIntent,</w:t>
        <w:br/>
        <w:t xml:space="preserve">        portfolio: &amp;PortfolioState,</w:t>
        <w:br/>
        <w:t xml:space="preserve">        ctx: &amp;RiskContext,</w:t>
        <w:br/>
        <w:t xml:space="preserve">    ) -&gt; RiskDecision;</w:t>
        <w:br/>
        <w:t>}</w:t>
        <w:br/>
        <w:br/>
        <w:t>/// The decision returned by risk evaluation. Never silent.</w:t>
        <w:br/>
        <w:t>#[derive(Clone, Debug, Serialize, Deserialize)]</w:t>
        <w:br/>
        <w:t>pub enum RiskDecision {</w:t>
        <w:br/>
        <w:t xml:space="preserve">    /// All checks passed. The intent may proceed to the execution boundary.</w:t>
        <w:br/>
        <w:t xml:space="preserve">    Allow {</w:t>
        <w:br/>
        <w:t xml:space="preserve">        checks_evaluated: Vec&lt;CheckResult&gt;,</w:t>
        <w:br/>
        <w:t xml:space="preserve">    },</w:t>
        <w:br/>
        <w:t xml:space="preserve">    /// A soft warning fired but did not block. The intent proceeds,</w:t>
        <w:br/>
        <w:t xml:space="preserve">    /// but the warning is recorded and surfaced to the user.</w:t>
        <w:br/>
        <w:t xml:space="preserve">    Warn {</w:t>
        <w:br/>
        <w:t xml:space="preserve">        warning: CheckWarning,</w:t>
        <w:br/>
        <w:t xml:space="preserve">        checks_evaluated: Vec&lt;CheckResult&gt;,</w:t>
        <w:br/>
        <w:t xml:space="preserve">    },</w:t>
        <w:br/>
        <w:t xml:space="preserve">    /// A hard deny. The intent is blocked. No further processing.</w:t>
        <w:br/>
        <w:t xml:space="preserve">    /// The reason, the check that triggered, and the portfolio state</w:t>
        <w:br/>
        <w:t xml:space="preserve">    /// at evaluation time are all captured for audit.</w:t>
        <w:br/>
        <w:t xml:space="preserve">    Deny {</w:t>
        <w:br/>
        <w:t xml:space="preserve">        reason: DenyReason,</w:t>
        <w:br/>
        <w:t xml:space="preserve">        blocking_check: CheckId,</w:t>
        <w:br/>
        <w:t xml:space="preserve">        portfolio_snapshot: PortfolioSnapshot,</w:t>
        <w:br/>
        <w:t xml:space="preserve">        checks_evaluated: Vec&lt;CheckResult&gt;,</w:t>
        <w:br/>
        <w:t xml:space="preserve">    },</w:t>
        <w:br/>
        <w:t>}</w:t>
        <w:br/>
        <w:br/>
        <w:t>/// Individual pre-trade check. Each is a pure function of</w:t>
        <w:br/>
        <w:t>/// (intent, portfolio, context) -&gt; CheckResult.</w:t>
        <w:br/>
        <w:t>pub trait PreTradeCheck: Send + Sync {</w:t>
        <w:br/>
        <w:t xml:space="preserve">    fn id(&amp;self) -&gt; CheckId;</w:t>
        <w:br/>
        <w:t xml:space="preserve">    fn severity(&amp;self) -&gt; CheckSeverity;  // HardDeny | SoftWarn</w:t>
        <w:br/>
        <w:t xml:space="preserve">    fn evaluate(</w:t>
        <w:br/>
        <w:t xml:space="preserve">        &amp;self,</w:t>
        <w:br/>
        <w:t xml:space="preserve">        intent: &amp;OrderIntent,</w:t>
        <w:br/>
        <w:t xml:space="preserve">        portfolio: &amp;PortfolioState,</w:t>
        <w:br/>
        <w:t xml:space="preserve">        ctx: &amp;RiskContext,</w:t>
        <w:br/>
        <w:t xml:space="preserve">    ) -&gt; CheckResult;</w:t>
        <w:br/>
        <w:t>}</w:t>
      </w:r>
    </w:p>
    <w:p>
      <w:pPr>
        <w:pStyle w:val="Heading3"/>
        <w:rPr/>
      </w:pPr>
      <w:bookmarkStart w:id="288" w:name="__RefHeading___Toc7296_2150751134"/>
      <w:bookmarkEnd w:id="288"/>
      <w:r>
        <w:rPr>
          <w:rFonts w:ascii="Lato" w:hAnsi="Lato"/>
          <w:color w:val="172236"/>
          <w:sz w:val="21"/>
        </w:rPr>
        <w:t>2.2 Check Catalog</w:t>
      </w:r>
    </w:p>
    <w:p>
      <w:pPr>
        <w:pStyle w:val="Normal"/>
        <w:rPr/>
      </w:pPr>
      <w:r>
        <w:rPr>
          <w:color w:val="172236"/>
          <w:sz w:val="19"/>
        </w:rPr>
        <w:t>Mapping the 13 checks from v0.1 §17.3 to concrete implementations:</w:t>
      </w:r>
    </w:p>
    <w:tbl>
      <w:tblPr>
        <w:tblW w:w="10311"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3437"/>
        <w:gridCol w:w="3437"/>
        <w:gridCol w:w="3437"/>
      </w:tblGrid>
      <w:tr>
        <w:trPr>
          <w:tblHeader w:val="true"/>
          <w:cantSplit/>
        </w:trPr>
        <w:tc>
          <w:tcPr>
            <w:tcW w:w="343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Check ID</w:t>
            </w:r>
          </w:p>
        </w:tc>
        <w:tc>
          <w:tcPr>
            <w:tcW w:w="343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Severity</w:t>
            </w:r>
          </w:p>
        </w:tc>
        <w:tc>
          <w:tcPr>
            <w:tcW w:w="343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Rule</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max_position</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HardDeny</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Position notional &gt; RiskPolicy.max_position</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max_premium</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HardDeny</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Premium at risk &gt; RiskPolicy.max_premium_pct of account</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max_account_loss</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HardDeny</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Realized + unrealized loss &gt; daily limit</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sector_concentration</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HardDeny</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Sector exposure &gt; RiskPolicy.max_sector_pct</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correlation_cluster</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SoftWarn</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Adding position raises portfolio correlation &gt; threshold</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event_proximity</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SoftWarn</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Earnings/macro event within N hours</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spread_width</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SoftWarn</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Bid-ask spread &gt; RiskPolicy.max_spread_pct</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liquidity_volume</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SoftWarn</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30-day avg volume &lt; threshold</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open_interest</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SoftWarn</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Open interest &lt; threshold</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account_permissions</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HardDeny</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Account not enabled for this asset/strategy type</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market_status</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HardDeny</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Market closed, halted, or in pre/post with no permission</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stale_data</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HardDeny</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Quote/filing/IV data older than RiskPolicy.max_data_age</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duplicate_order</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HardDeny</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Idempotency key collision or same-contract intent within window</w:t>
            </w:r>
          </w:p>
        </w:tc>
      </w:tr>
    </w:tbl>
    <w:p>
      <w:pPr>
        <w:pStyle w:val="Normal"/>
        <w:spacing w:before="0" w:after="0"/>
        <w:rPr/>
      </w:pPr>
      <w:r>
        <w:rPr/>
      </w:r>
    </w:p>
    <w:p>
      <w:pPr>
        <w:pStyle w:val="Heading2"/>
        <w:pBdr>
          <w:left w:val="single" w:sz="14" w:space="4" w:color="8B5CF6"/>
        </w:pBdr>
        <w:rPr/>
      </w:pPr>
      <w:bookmarkStart w:id="289" w:name="__RefHeading___Toc7298_2150751134"/>
      <w:bookmarkEnd w:id="289"/>
      <w:r>
        <w:rPr>
          <w:rFonts w:ascii="Lato" w:hAnsi="Lato"/>
          <w:color w:val="172236"/>
          <w:sz w:val="29"/>
        </w:rPr>
        <w:t>3. Broker Gateway and Execution Boundary</w:t>
      </w:r>
    </w:p>
    <w:p>
      <w:pPr>
        <w:pStyle w:val="Normal"/>
        <w:spacing w:before="140" w:after="20"/>
        <w:jc w:val="center"/>
        <w:rPr/>
      </w:pPr>
      <w:r>
        <w:rPr/>
        <w:drawing>
          <wp:inline distT="0" distB="0" distL="0" distR="0">
            <wp:extent cx="6263640" cy="2886075"/>
            <wp:effectExtent l="0" t="0" r="0" b="0"/>
            <wp:docPr id="19" name="Picture 19" descr="Image: image19.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title=""/>
                    <pic:cNvPicPr>
                      <a:picLocks noChangeAspect="1" noChangeArrowheads="1"/>
                    </pic:cNvPicPr>
                  </pic:nvPicPr>
                  <pic:blipFill>
                    <a:blip r:embed="rId68"/>
                    <a:stretch>
                      <a:fillRect/>
                    </a:stretch>
                  </pic:blipFill>
                  <pic:spPr bwMode="auto">
                    <a:xfrm>
                      <a:off x="0" y="0"/>
                      <a:ext cx="6263640" cy="2886075"/>
                    </a:xfrm>
                    <a:prstGeom prst="rect">
                      <a:avLst/>
                    </a:prstGeom>
                    <a:noFill/>
                  </pic:spPr>
                </pic:pic>
              </a:graphicData>
            </a:graphic>
          </wp:inline>
        </w:drawing>
      </w:r>
    </w:p>
    <w:p>
      <w:pPr>
        <w:pStyle w:val="CaptionCustom"/>
        <w:rPr/>
      </w:pPr>
      <w:r>
        <w:rPr/>
        <w:t>Figure 10 - The controlled execution boundary: AI and users draft; deterministic policy and explicit approval govern submission.</w:t>
      </w:r>
    </w:p>
    <w:p>
      <w:pPr>
        <w:pStyle w:val="Normal"/>
        <w:rPr/>
      </w:pPr>
      <w:r>
        <w:rPr>
          <w:color w:val="172236"/>
          <w:sz w:val="19"/>
        </w:rPr>
        <w:t>The v0.1 overview (§17.5, §39.2) mandates idempotency keys, reconciliation, and an isolated execution boundary, but defines no gateway trait. This is the contract between PRISMATIK and any broker or exchange.</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pBdr>
          <w:left w:val="single" w:sz="18" w:space="4" w:color="8B5CF6"/>
        </w:pBdr>
        <w:shd w:fill="0D1C32"/>
        <w:spacing w:lineRule="auto" w:line="240" w:before="0" w:after="140"/>
        <w:rPr/>
      </w:pPr>
      <w:r>
        <w:rPr>
          <w:color w:val="D9E5F5"/>
          <w:sz w:val="14"/>
        </w:rPr>
        <w:t>/// The execution gateway abstraction. Broker adapters implement this.</w:t>
        <w:br/>
        <w:t>/// The execution service wraps every call with idempotency, audit,</w:t>
        <w:br/>
        <w:t>/// reconciliation, and the step-up auth gate from v0.1 §17.5.</w:t>
        <w:br/>
        <w:t>#[async_trait::async_trait]</w:t>
        <w:br/>
        <w:t>pub trait BrokerGateway: Send + Sync {</w:t>
        <w:br/>
        <w:t xml:space="preserve">    fn broker_id(&amp;self) -&gt; BrokerId;</w:t>
        <w:br/>
        <w:t xml:space="preserve">    fn capabilities(&amp;self) -&gt; BrokerCapabilities;</w:t>
        <w:br/>
        <w:br/>
        <w:t xml:space="preserve">    /// Submit an order that has passed risk checks and user approval.</w:t>
        <w:br/>
        <w:t xml:space="preserve">    /// Uses the idempotency key from the OrderIntent — a retry with</w:t>
        <w:br/>
        <w:t xml:space="preserve">    /// the same key returns the original result, never creates a duplicate.</w:t>
        <w:br/>
        <w:t xml:space="preserve">    async fn submit(</w:t>
        <w:br/>
        <w:t xml:space="preserve">        &amp;self,</w:t>
        <w:br/>
        <w:t xml:space="preserve">        order: ApprovedOrder,</w:t>
        <w:br/>
        <w:t xml:space="preserve">    ) -&gt; Result&lt;SubmissionResult, BrokerError&gt;;</w:t>
        <w:br/>
        <w:br/>
        <w:t xml:space="preserve">    /// Cancel a working order. Must be idempotent.</w:t>
        <w:br/>
        <w:t xml:space="preserve">    async fn cancel(</w:t>
        <w:br/>
        <w:t xml:space="preserve">        &amp;self,</w:t>
        <w:br/>
        <w:t xml:space="preserve">        order_id: BrokerOrderId,</w:t>
        <w:br/>
        <w:t xml:space="preserve">    ) -&gt; Result&lt;CancelResult, BrokerError&gt;;</w:t>
        <w:br/>
        <w:br/>
        <w:t xml:space="preserve">    /// Replace a working order (modify quantity, price, or stop).</w:t>
        <w:br/>
        <w:t xml:space="preserve">    /// Not all brokers support this. Check capabilities first.</w:t>
        <w:br/>
        <w:t xml:space="preserve">    async fn replace(</w:t>
        <w:br/>
        <w:t xml:space="preserve">        &amp;self,</w:t>
        <w:br/>
        <w:t xml:space="preserve">        order_id: BrokerOrderId,</w:t>
        <w:br/>
        <w:t xml:space="preserve">        modification: OrderModification,</w:t>
        <w:br/>
        <w:t xml:space="preserve">    ) -&gt; Result&lt;ReplaceResult, BrokerError&gt;;</w:t>
        <w:br/>
        <w:br/>
        <w:t xml:space="preserve">    /// Reconcile local state with broker state. Called after</w:t>
        <w:br/>
        <w:t xml:space="preserve">    /// timeouts, unknown results, disconnections, and periodically</w:t>
        <w:br/>
        <w:t xml:space="preserve">    /// as a safety net. Returns the delta between local belief</w:t>
        <w:br/>
        <w:t xml:space="preserve">    /// and broker truth.</w:t>
        <w:br/>
        <w:t xml:space="preserve">    async fn reconcile(</w:t>
        <w:br/>
        <w:t xml:space="preserve">        &amp;self,</w:t>
        <w:br/>
        <w:t xml:space="preserve">        local_state: &amp;LocalOrderState,</w:t>
        <w:br/>
        <w:t xml:space="preserve">    ) -&gt; Result&lt;ReconciliationDelta, BrokerError&gt;;</w:t>
        <w:br/>
        <w:br/>
        <w:t xml:space="preserve">    /// Stream fills and order state changes.</w:t>
        <w:br/>
        <w:t xml:space="preserve">    async fn stream_events(</w:t>
        <w:br/>
        <w:t xml:space="preserve">        &amp;self,</w:t>
        <w:br/>
        <w:t xml:space="preserve">    ) -&gt; BoxStream&lt;'static, BrokerEvent&gt;;</w:t>
        <w:br/>
        <w:t>}</w:t>
      </w:r>
    </w:p>
    <w:p>
      <w:pPr>
        <w:pStyle w:val="Heading2"/>
        <w:pBdr>
          <w:left w:val="single" w:sz="14" w:space="4" w:color="8B5CF6"/>
        </w:pBdr>
        <w:rPr/>
      </w:pPr>
      <w:bookmarkStart w:id="290" w:name="__RefHeading___Toc7300_2150751134"/>
      <w:bookmarkEnd w:id="290"/>
      <w:r>
        <w:rPr>
          <w:rFonts w:ascii="Lato" w:hAnsi="Lato"/>
          <w:color w:val="172236"/>
          <w:sz w:val="29"/>
        </w:rPr>
        <w:t>4. AI Tool Gateway</w:t>
      </w:r>
    </w:p>
    <w:p>
      <w:pPr>
        <w:pStyle w:val="Normal"/>
        <w:rPr/>
      </w:pPr>
      <w:r>
        <w:rPr>
          <w:color w:val="172236"/>
          <w:sz w:val="19"/>
        </w:rPr>
        <w:t>The v0.1 overview (§16.2, §31.5) lists 11 controlled tools and 10 gateway enforcement points, but the dispatch trait is undefined. This is the boundary between the conversational AI and the platform's controlled surface area.</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 The AI tool gateway. Every tool the AI can invoke passes through</w:t>
        <w:br/>
        <w:t>/// this trait. The gateway enforces schema validation, rate limits,</w:t>
        <w:br/>
        <w:t>/// approval hooks, output filtering, and audit logging — not the tool.</w:t>
        <w:br/>
        <w:t>#[async_trait::async_trait]</w:t>
        <w:br/>
        <w:t>pub trait ToolGateway: Send + Sync {</w:t>
        <w:br/>
        <w:t xml:space="preserve">    /// Dispatch a tool call from the AI. The gateway validates</w:t>
        <w:br/>
        <w:t xml:space="preserve">    /// the input schema, checks rate limits, optionally requests</w:t>
        <w:br/>
        <w:t xml:space="preserve">    /// human approval, executes the tool, filters the output,</w:t>
        <w:br/>
        <w:t xml:space="preserve">    /// and returns a controlled result.</w:t>
        <w:br/>
        <w:t xml:space="preserve">    async fn dispatch(</w:t>
        <w:br/>
        <w:t xml:space="preserve">        &amp;self,</w:t>
        <w:br/>
        <w:t xml:space="preserve">        call: ToolCall,</w:t>
        <w:br/>
        <w:t xml:space="preserve">        ctx: &amp;ToolContext,</w:t>
        <w:br/>
        <w:t xml:space="preserve">    ) -&gt; Result&lt;ToolResult, ToolError&gt;;</w:t>
        <w:br/>
        <w:br/>
        <w:t xml:space="preserve">    /// List the tools available to the current session,</w:t>
        <w:br/>
        <w:t xml:space="preserve">    /// respecting trust level and capability scope.</w:t>
        <w:br/>
        <w:t xml:space="preserve">    fn available_tools(&amp;self, trust: TrustLevel) -&gt; Vec&lt;ToolDescriptor&gt;;</w:t>
        <w:br/>
        <w:t>}</w:t>
        <w:br/>
        <w:br/>
        <w:t>/// A single tool in the gateway registry.</w:t>
        <w:br/>
        <w:t>pub trait ControlledTool: Send + Sync {</w:t>
        <w:br/>
        <w:t xml:space="preserve">    fn descriptor(&amp;self) -&gt; ToolDescriptor;</w:t>
        <w:br/>
        <w:t xml:space="preserve">    fn trust_level(&amp;self) -&gt; TrustLevel;  // ReadOnly | DraftOnly | Sensitive</w:t>
        <w:br/>
        <w:t xml:space="preserve">    fn requires_approval(&amp;self) -&gt; bool;</w:t>
        <w:br/>
        <w:br/>
        <w:t xml:space="preserve">    async fn execute(</w:t>
        <w:br/>
        <w:t xml:space="preserve">        &amp;self,</w:t>
        <w:br/>
        <w:t xml:space="preserve">        input: ToolInput,</w:t>
        <w:br/>
        <w:t xml:space="preserve">        ctx: &amp;ToolContext,</w:t>
        <w:br/>
        <w:t xml:space="preserve">    ) -&gt; Result&lt;ToolOutput, ToolError&gt;;</w:t>
        <w:br/>
        <w:t>}</w:t>
      </w:r>
    </w:p>
    <w:p>
      <w:pPr>
        <w:pStyle w:val="Heading3"/>
        <w:rPr/>
      </w:pPr>
      <w:bookmarkStart w:id="291" w:name="__RefHeading___Toc7302_2150751134"/>
      <w:bookmarkEnd w:id="291"/>
      <w:r>
        <w:rPr>
          <w:rFonts w:ascii="Lato" w:hAnsi="Lato"/>
          <w:color w:val="172236"/>
          <w:sz w:val="21"/>
        </w:rPr>
        <w:t>Tool Catalog with Trust Levels</w:t>
      </w:r>
    </w:p>
    <w:tbl>
      <w:tblPr>
        <w:tblW w:w="10308"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2577"/>
        <w:gridCol w:w="2577"/>
        <w:gridCol w:w="2577"/>
        <w:gridCol w:w="2576"/>
      </w:tblGrid>
      <w:tr>
        <w:trPr>
          <w:tblHeader w:val="true"/>
          <w:cantSplit/>
        </w:trPr>
        <w:tc>
          <w:tcPr>
            <w:tcW w:w="257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Tool</w:t>
            </w:r>
          </w:p>
        </w:tc>
        <w:tc>
          <w:tcPr>
            <w:tcW w:w="257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Trust Level</w:t>
            </w:r>
          </w:p>
        </w:tc>
        <w:tc>
          <w:tcPr>
            <w:tcW w:w="257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Approval?</w:t>
            </w:r>
          </w:p>
        </w:tc>
        <w:tc>
          <w:tcPr>
            <w:tcW w:w="2576"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Maps to v0.1 §16.2</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market_query</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ReadOnly</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No</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Read-only market query</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filing_query</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ReadOnly</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No</w:t>
            </w:r>
          </w:p>
        </w:tc>
        <w:tc>
          <w:tcPr>
            <w:tcW w:w="2576"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Filing query</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cot_query</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ReadOnly</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No</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COT query</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backtest_request</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ReadOnly</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No</w:t>
            </w:r>
          </w:p>
        </w:tc>
        <w:tc>
          <w:tcPr>
            <w:tcW w:w="2576"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Backtest request</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simulation_request</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ReadOnly</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No</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Simulation request</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chart_snapshot</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ReadOnly</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No</w:t>
            </w:r>
          </w:p>
        </w:tc>
        <w:tc>
          <w:tcPr>
            <w:tcW w:w="2576"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Chart snapshot</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portfolio_analysis</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ReadOnly</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No</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Portfolio analysis</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journal_search</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ReadOnly</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No</w:t>
            </w:r>
          </w:p>
        </w:tc>
        <w:tc>
          <w:tcPr>
            <w:tcW w:w="2576"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Journal search</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draft_alert</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DraftOnly</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No</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Draft alert</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draft_strategy</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DraftOnly</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No</w:t>
            </w:r>
          </w:p>
        </w:tc>
        <w:tc>
          <w:tcPr>
            <w:tcW w:w="2576"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Draft strategy</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draft_order</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Sensitive</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Yes — user must approve</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Draft order</w:t>
            </w:r>
          </w:p>
        </w:tc>
      </w:tr>
    </w:tbl>
    <w:p>
      <w:pPr>
        <w:pStyle w:val="Normal"/>
        <w:spacing w:before="0" w:after="0"/>
        <w:rPr/>
      </w:pPr>
      <w:r>
        <w:rPr/>
      </w:r>
    </w:p>
    <w:p>
      <w:pPr>
        <w:pStyle w:val="Normal"/>
        <w:rPr/>
      </w:pPr>
      <w:r>
        <w:rPr>
          <w:color w:val="172236"/>
          <w:sz w:val="19"/>
        </w:rPr>
        <w:t xml:space="preserve">Live order submission is intentionally absent from this table. It is not a tool. It is a deterministic workflow (v0.1 §17.5) that the </w:t>
      </w:r>
      <w:r>
        <w:rPr>
          <w:rFonts w:ascii="Liberation Mono" w:hAnsi="Liberation Mono"/>
          <w:color w:val="8B5CF6"/>
          <w:sz w:val="18"/>
          <w:shd w:fill="F0EDFF" w:val="clear"/>
        </w:rPr>
        <w:t>draft_order</w:t>
      </w:r>
      <w:r>
        <w:rPr>
          <w:color w:val="172236"/>
          <w:sz w:val="19"/>
        </w:rPr>
        <w:t xml:space="preserve"> tool feeds into, but the AI never calls submit directly.</w:t>
      </w:r>
    </w:p>
    <w:p>
      <w:pPr>
        <w:pStyle w:val="Heading2"/>
        <w:pBdr>
          <w:left w:val="single" w:sz="14" w:space="4" w:color="8B5CF6"/>
        </w:pBdr>
        <w:rPr/>
      </w:pPr>
      <w:bookmarkStart w:id="292" w:name="__RefHeading___Toc7304_2150751134"/>
      <w:bookmarkEnd w:id="292"/>
      <w:r>
        <w:rPr>
          <w:rFonts w:ascii="Lato" w:hAnsi="Lato"/>
          <w:color w:val="172236"/>
          <w:sz w:val="29"/>
        </w:rPr>
        <w:t>5. Alert Rule Evaluator</w:t>
      </w:r>
    </w:p>
    <w:p>
      <w:pPr>
        <w:pStyle w:val="Normal"/>
        <w:rPr/>
      </w:pPr>
      <w:r>
        <w:rPr>
          <w:color w:val="172236"/>
          <w:sz w:val="19"/>
        </w:rPr>
        <w:t>The v0.1 overview (§8.8) lists 12 alert targets and 9 delivery channels but defines no rule schema, no evaluator trait, and no streaming-vs-polling boundary.</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 An alert rule. Compiled from the rule DSL into a typed, evaluable form.</w:t>
        <w:br/>
        <w:t>/// Rules are either streaming (evaluated on every event) or scheduled</w:t>
        <w:br/>
        <w:t>/// (evaluated on a cron-like trigger).</w:t>
        <w:br/>
        <w:t>pub trait AlertRule: Send + Sync {</w:t>
        <w:br/>
        <w:t xml:space="preserve">    fn id(&amp;self) -&gt; AlertRuleId;</w:t>
        <w:br/>
        <w:t xml:space="preserve">    fn evaluation_mode(&amp;self) -&gt; EvaluationMode;  // Streaming | Scheduled</w:t>
        <w:br/>
        <w:t xml:space="preserve">    fn dedup_key(&amp;self, event: &amp;MarketEvent) -&gt; Option&lt;DedupKey&gt;;</w:t>
        <w:br/>
        <w:br/>
        <w:t xml:space="preserve">    /// Evaluate against the current state. Returns Some(AlertFiring)</w:t>
        <w:br/>
        <w:t xml:space="preserve">    /// if the condition is met, None otherwise.</w:t>
        <w:br/>
        <w:t xml:space="preserve">    fn evaluate(&amp;self, state: &amp;AlertContext) -&gt; Option&lt;AlertFiring&gt;;</w:t>
        <w:br/>
        <w:t>}</w:t>
        <w:br/>
        <w:br/>
        <w:t>pub enum EvaluationMode {</w:t>
        <w:br/>
        <w:t xml:space="preserve">    /// Evaluated on every incoming market event. Used for price,</w:t>
        <w:br/>
        <w:t xml:space="preserve">    /// volume, IV, and flow conditions.</w:t>
        <w:br/>
        <w:t xml:space="preserve">    Streaming,</w:t>
        <w:br/>
        <w:t xml:space="preserve">    /// Evaluated on a schedule. Used for filings, COT releases,</w:t>
        <w:br/>
        <w:t xml:space="preserve">    /// and daily risk summaries.</w:t>
        <w:br/>
        <w:t xml:space="preserve">    Scheduled(Schedule),</w:t>
        <w:br/>
        <w:t>}</w:t>
      </w:r>
    </w:p>
    <w:p>
      <w:pPr>
        <w:pStyle w:val="Heading3"/>
        <w:rPr/>
      </w:pPr>
      <w:bookmarkStart w:id="293" w:name="__RefHeading___Toc7306_2150751134"/>
      <w:bookmarkEnd w:id="293"/>
      <w:r>
        <w:rPr>
          <w:rFonts w:ascii="Lato" w:hAnsi="Lato"/>
          <w:color w:val="172236"/>
          <w:sz w:val="21"/>
        </w:rPr>
        <w:t>Streaming vs Scheduled Boundary</w:t>
      </w:r>
    </w:p>
    <w:tbl>
      <w:tblPr>
        <w:tblW w:w="10311"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3437"/>
        <w:gridCol w:w="3437"/>
        <w:gridCol w:w="3437"/>
      </w:tblGrid>
      <w:tr>
        <w:trPr>
          <w:tblHeader w:val="true"/>
          <w:cantSplit/>
        </w:trPr>
        <w:tc>
          <w:tcPr>
            <w:tcW w:w="343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Condition</w:t>
            </w:r>
          </w:p>
        </w:tc>
        <w:tc>
          <w:tcPr>
            <w:tcW w:w="343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Mode</w:t>
            </w:r>
          </w:p>
        </w:tc>
        <w:tc>
          <w:tcPr>
            <w:tcW w:w="343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Rationale</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Price threshold</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Streaming</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Sub-second relevance</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Technical indicator</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Streaming</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Recomputed on every tick/bar</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Volume / relative volume</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Streaming</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Intraday signal</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Options flow</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Streaming</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Print-level detection</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Implied volatility</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Streaming</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Updated with chain refresh</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Filing arrival</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Scheduled</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SEC RSS poll or webhook</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COT extreme</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Scheduled</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Weekly data, no intraday value</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Event proximity</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Scheduled</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Calendar-driven</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Portfolio risk threshold</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Scheduled</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Recompute on fill + periodic</w:t>
            </w:r>
          </w:p>
        </w:tc>
      </w:tr>
    </w:tbl>
    <w:p>
      <w:pPr>
        <w:pStyle w:val="Normal"/>
        <w:spacing w:before="0" w:after="0"/>
        <w:rPr/>
      </w:pPr>
      <w:r>
        <w:rPr/>
      </w:r>
    </w:p>
    <w:p>
      <w:pPr>
        <w:pStyle w:val="Heading2"/>
        <w:pBdr>
          <w:left w:val="single" w:sz="14" w:space="4" w:color="8B5CF6"/>
        </w:pBdr>
        <w:rPr/>
      </w:pPr>
      <w:bookmarkStart w:id="294" w:name="__RefHeading___Toc7308_2150751134"/>
      <w:bookmarkEnd w:id="294"/>
      <w:r>
        <w:rPr>
          <w:rFonts w:ascii="Lato" w:hAnsi="Lato"/>
          <w:color w:val="172236"/>
          <w:sz w:val="29"/>
        </w:rPr>
        <w:t>6. Repository Port Pattern</w:t>
      </w:r>
    </w:p>
    <w:p>
      <w:pPr>
        <w:pStyle w:val="Normal"/>
        <w:rPr/>
      </w:pPr>
      <w:r>
        <w:rPr>
          <w:color w:val="172236"/>
          <w:sz w:val="19"/>
        </w:rPr>
        <w:t>The v0.1 overview (§18.3) lists "Persistence" as a Rust responsibility but defines no repository traits, leaving domain crates coupled to concrete stores. This is the hexagonal port that keeps the domain pure.</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 Generic repository port. Domain crates depend on this trait,</w:t>
        <w:br/>
        <w:t>/// never on SQLx or a concrete store. The application layer wires</w:t>
        <w:br/>
        <w:t>/// concrete implementations (PostgresUserRepository, SqliteUserRepository).</w:t>
        <w:br/>
        <w:t>#[async_trait::async_trait]</w:t>
        <w:br/>
        <w:t>pub trait Repository&lt;T: Aggregate&gt;: Send + Sync {</w:t>
        <w:br/>
        <w:t xml:space="preserve">    async fn get(&amp;self, id: &amp;T::Id) -&gt; Result&lt;Option&lt;T&gt;, RepoError&gt;;</w:t>
        <w:br/>
        <w:t xml:space="preserve">    async fn save(&amp;self, aggregate: &amp;T) -&gt; Result&lt;(), RepoError&gt;;</w:t>
        <w:br/>
        <w:t xml:space="preserve">    async fn delete(&amp;self, id: &amp;T::Id) -&gt; Result&lt;(), RepoError&gt;;</w:t>
        <w:br/>
        <w:t xml:space="preserve">    async fn exists(&amp;self, id: &amp;T::Id) -&gt; Result&lt;bool, RepoError&gt;;</w:t>
        <w:br/>
        <w:t>}</w:t>
        <w:br/>
        <w:br/>
        <w:t>/// Marker trait for domain aggregates that can be persisted.</w:t>
        <w:br/>
        <w:t>pub trait Aggregate: Send + Sync + Clone {</w:t>
        <w:br/>
        <w:t xml:space="preserve">    type Id: Clone + Send + Sync;</w:t>
        <w:br/>
        <w:t xml:space="preserve">    fn id(&amp;self) -&gt; Self::Id;</w:t>
        <w:br/>
        <w:t xml:space="preserve">    fn version(&amp;self) -&gt; AggregateVersion;  // optimistic concurrency</w:t>
        <w:br/>
        <w:t>}</w:t>
      </w:r>
    </w:p>
    <w:p>
      <w:pPr>
        <w:pStyle w:val="Heading1"/>
        <w:pBdr>
          <w:bottom w:val="single" w:sz="12" w:space="5" w:color="33C7F2"/>
        </w:pBdr>
        <w:rPr/>
      </w:pPr>
      <w:bookmarkStart w:id="295" w:name="__RefHeading___Toc7310_2150751134"/>
      <w:bookmarkEnd w:id="295"/>
      <w:r>
        <w:rPr>
          <w:rFonts w:ascii="Lato" w:hAnsi="Lato"/>
          <w:color w:val="172236"/>
          <w:sz w:val="42"/>
        </w:rPr>
        <w:t>Part II — Pipeline Orchestration and Lineage</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8B5CF6"/>
            </w:tcBorders>
            <w:shd w:fill="F2EDFF"/>
          </w:tcPr>
          <w:p>
            <w:pPr>
              <w:pStyle w:val="Normal"/>
              <w:spacing w:before="0" w:after="100"/>
              <w:rPr/>
            </w:pPr>
            <w:r>
              <w:rPr>
                <w:rFonts w:ascii="Inter Display" w:hAnsi="Inter Display"/>
                <w:b/>
                <w:color w:val="8B5CF6"/>
                <w:sz w:val="16"/>
              </w:rPr>
              <w:t xml:space="preserve">DESIGN PRINCIPLE  </w:t>
            </w:r>
            <w:r>
              <w:rPr>
                <w:color w:val="172236"/>
                <w:sz w:val="18"/>
              </w:rPr>
              <w:t>The v0.1 overview (§10.1, §22.1) defines six data layers and lists bus candidates, but never specifies the orchestrator, lineage schema, invalidation model, or freshness targets. This part fills those gaps.</w:t>
            </w:r>
          </w:p>
        </w:tc>
      </w:tr>
    </w:tbl>
    <w:p>
      <w:pPr>
        <w:pStyle w:val="Normal"/>
        <w:spacing w:before="0" w:after="0"/>
        <w:rPr/>
      </w:pPr>
      <w:r>
        <w:rPr/>
      </w:r>
    </w:p>
    <w:p>
      <w:pPr>
        <w:pStyle w:val="Heading2"/>
        <w:pBdr>
          <w:left w:val="single" w:sz="14" w:space="4" w:color="8B5CF6"/>
        </w:pBdr>
        <w:rPr/>
      </w:pPr>
      <w:bookmarkStart w:id="296" w:name="__RefHeading___Toc7312_2150751134"/>
      <w:bookmarkEnd w:id="296"/>
      <w:r>
        <w:rPr>
          <w:rFonts w:ascii="Lato" w:hAnsi="Lato"/>
          <w:color w:val="172236"/>
          <w:sz w:val="29"/>
        </w:rPr>
        <w:t>7. Orchestrator Architecture</w:t>
      </w:r>
    </w:p>
    <w:p>
      <w:pPr>
        <w:pStyle w:val="Heading3"/>
        <w:rPr/>
      </w:pPr>
      <w:bookmarkStart w:id="297" w:name="__RefHeading___Toc7314_2150751134"/>
      <w:bookmarkEnd w:id="297"/>
      <w:r>
        <w:rPr>
          <w:rFonts w:ascii="Lato" w:hAnsi="Lato"/>
          <w:color w:val="172236"/>
          <w:sz w:val="21"/>
        </w:rPr>
        <w:t>7.1 Design Decision</w:t>
      </w:r>
    </w:p>
    <w:p>
      <w:pPr>
        <w:pStyle w:val="Normal"/>
        <w:rPr/>
      </w:pPr>
      <w:r>
        <w:rPr>
          <w:color w:val="172236"/>
          <w:sz w:val="19"/>
        </w:rPr>
        <w:t xml:space="preserve">For the desktop deployment (Phase 0–1), use an </w:t>
      </w:r>
      <w:r>
        <w:rPr>
          <w:b/>
          <w:color w:val="172236"/>
          <w:sz w:val="19"/>
        </w:rPr>
        <w:t>in-process Tokio task graph</w:t>
      </w:r>
      <w:r>
        <w:rPr>
          <w:color w:val="172236"/>
          <w:sz w:val="19"/>
        </w:rPr>
        <w:t>. No external orchestrator (Temporal, Airflow) is needed for a single-user local-first application. The task graph persists its state to SQLite so it survives restarts.</w:t>
      </w:r>
    </w:p>
    <w:p>
      <w:pPr>
        <w:pStyle w:val="Normal"/>
        <w:rPr/>
      </w:pPr>
      <w:r>
        <w:rPr>
          <w:color w:val="172236"/>
          <w:sz w:val="19"/>
        </w:rPr>
        <w:t xml:space="preserve">For the enterprise deployment (Phase 8), evaluate </w:t>
      </w:r>
      <w:r>
        <w:rPr>
          <w:b/>
          <w:color w:val="172236"/>
          <w:sz w:val="19"/>
        </w:rPr>
        <w:t>Temporal</w:t>
      </w:r>
      <w:r>
        <w:rPr>
          <w:color w:val="172236"/>
          <w:sz w:val="19"/>
        </w:rPr>
        <w:t xml:space="preserve"> for durable cross-service workflows, keeping the same </w:t>
      </w:r>
      <w:r>
        <w:rPr>
          <w:rFonts w:ascii="Liberation Mono" w:hAnsi="Liberation Mono"/>
          <w:color w:val="8B5CF6"/>
          <w:sz w:val="18"/>
          <w:shd w:fill="F0EDFF" w:val="clear"/>
        </w:rPr>
        <w:t>TaskRunner</w:t>
      </w:r>
      <w:r>
        <w:rPr>
          <w:color w:val="172236"/>
          <w:sz w:val="19"/>
        </w:rPr>
        <w:t xml:space="preserve"> trait so the domain logic is portable.</w:t>
      </w:r>
    </w:p>
    <w:p>
      <w:pPr>
        <w:pStyle w:val="Heading3"/>
        <w:rPr/>
      </w:pPr>
      <w:bookmarkStart w:id="298" w:name="__RefHeading___Toc7316_2150751134"/>
      <w:bookmarkEnd w:id="298"/>
      <w:r>
        <w:rPr>
          <w:rFonts w:ascii="Lato" w:hAnsi="Lato"/>
          <w:color w:val="172236"/>
          <w:sz w:val="21"/>
        </w:rPr>
        <w:t>7.2 Core Types</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pBdr>
          <w:left w:val="single" w:sz="18" w:space="4" w:color="8B5CF6"/>
        </w:pBdr>
        <w:shd w:fill="0D1C32"/>
        <w:spacing w:lineRule="auto" w:line="240" w:before="0" w:after="140"/>
        <w:rPr/>
      </w:pPr>
      <w:r>
        <w:rPr>
          <w:color w:val="D9E5F5"/>
          <w:sz w:val="14"/>
        </w:rPr>
        <w:t>/// A pipeline task. Idempotent: running it twice with the same inputs</w:t>
        <w:br/>
        <w:t>/// produces the same result (or a no-op if already complete).</w:t>
        <w:br/>
        <w:t>#[async_trait::async_trait]</w:t>
        <w:br/>
        <w:t>pub trait PipelineTask: Send + Sync {</w:t>
        <w:br/>
        <w:t xml:space="preserve">    fn id(&amp;self) -&gt; TaskId;</w:t>
        <w:br/>
        <w:t xml:space="preserve">    fn task_type(&amp;self) -&gt; TaskType;</w:t>
        <w:br/>
        <w:t xml:space="preserve">    fn input_hash(&amp;self) -&gt; ContentHash;</w:t>
        <w:br/>
        <w:br/>
        <w:t xml:space="preserve">    async fn run(&amp;self, ctx: &amp;PipelineContext) -&gt; Result&lt;TaskOutput, TaskError&gt;;</w:t>
        <w:br/>
        <w:br/>
        <w:t xml:space="preserve">    /// Whether this task can be safely retried after a partial failure.</w:t>
        <w:br/>
        <w:t xml:space="preserve">    fn idempotent(&amp;self) -&gt; bool { true }</w:t>
        <w:br/>
        <w:t>}</w:t>
        <w:br/>
        <w:br/>
        <w:t>/// The task graph. Tasks declare their dependencies; the scheduler</w:t>
        <w:br/>
        <w:t>/// resolves execution order. State persists to SQLite for crash recovery.</w:t>
        <w:br/>
        <w:t>pub struct TaskGraph {</w:t>
        <w:br/>
        <w:t xml:space="preserve">    tasks: Vec&lt;TaskNode&gt;,</w:t>
        <w:br/>
        <w:t xml:space="preserve">    edges: Vec&lt;(TaskId, TaskId)&gt;,  // (dependency, dependent)</w:t>
        <w:br/>
        <w:t>}</w:t>
        <w:br/>
        <w:br/>
        <w:t>pub struct TaskNode {</w:t>
        <w:br/>
        <w:t xml:space="preserve">    task: Box&lt;dyn PipelineTask&gt;,</w:t>
        <w:br/>
        <w:t xml:space="preserve">    trigger: Trigger,</w:t>
        <w:br/>
        <w:t xml:space="preserve">    status: TaskStatus,</w:t>
        <w:br/>
        <w:t xml:space="preserve">    last_run: Option&lt;OffsetDateTime&gt;,</w:t>
        <w:br/>
        <w:t xml:space="preserve">    last_output: Option&lt;TaskOutput&gt;,</w:t>
        <w:br/>
        <w:t>}</w:t>
        <w:br/>
        <w:br/>
        <w:t>pub enum Trigger {</w:t>
        <w:br/>
        <w:t xml:space="preserve">    /// Runs on a schedule (cron-like).</w:t>
        <w:br/>
        <w:t xml:space="preserve">    Scheduled(Schedule),</w:t>
        <w:br/>
        <w:t xml:space="preserve">    /// Runs when an upstream task completes.</w:t>
        <w:br/>
        <w:t xml:space="preserve">    Dependency(TaskId),</w:t>
        <w:br/>
        <w:t xml:space="preserve">    /// Runs when new data arrives from a provider.</w:t>
        <w:br/>
        <w:t xml:space="preserve">    DataEvent(ProviderId, EventPattern),</w:t>
        <w:br/>
        <w:t xml:space="preserve">    /// Runs on explicit user request.</w:t>
        <w:br/>
        <w:t xml:space="preserve">    OnDemand,</w:t>
        <w:br/>
        <w:t>}</w:t>
      </w:r>
    </w:p>
    <w:p>
      <w:pPr>
        <w:pStyle w:val="Heading3"/>
        <w:rPr/>
      </w:pPr>
      <w:bookmarkStart w:id="299" w:name="__RefHeading___Toc7318_2150751134"/>
      <w:bookmarkEnd w:id="299"/>
      <w:r>
        <w:rPr>
          <w:rFonts w:ascii="Lato" w:hAnsi="Lato"/>
          <w:color w:val="172236"/>
          <w:sz w:val="21"/>
        </w:rPr>
        <w:t>7.3 Task Types Mapped to v0.1 Layers</w:t>
      </w:r>
    </w:p>
    <w:tbl>
      <w:tblPr>
        <w:tblW w:w="10308"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2577"/>
        <w:gridCol w:w="2577"/>
        <w:gridCol w:w="2577"/>
        <w:gridCol w:w="2576"/>
      </w:tblGrid>
      <w:tr>
        <w:trPr>
          <w:tblHeader w:val="true"/>
          <w:cantSplit/>
        </w:trPr>
        <w:tc>
          <w:tcPr>
            <w:tcW w:w="257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Task Type</w:t>
            </w:r>
          </w:p>
        </w:tc>
        <w:tc>
          <w:tcPr>
            <w:tcW w:w="257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Input Layer</w:t>
            </w:r>
          </w:p>
        </w:tc>
        <w:tc>
          <w:tcPr>
            <w:tcW w:w="257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Output Layer</w:t>
            </w:r>
          </w:p>
        </w:tc>
        <w:tc>
          <w:tcPr>
            <w:tcW w:w="2576"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Example</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Ingest</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(external)</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Raw</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Fetch CoinGecko markets snapshot</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Normalize</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Raw</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Normalized</w:t>
            </w:r>
          </w:p>
        </w:tc>
        <w:tc>
          <w:tcPr>
            <w:tcW w:w="2576"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Parse CoinGecko JSON → canonical MarketSnapshot</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QualityCheck</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Normalized</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Curated</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Score freshness, detect outliers, deduplicate</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FeatureCompute</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Curated</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Feature</w:t>
            </w:r>
          </w:p>
        </w:tc>
        <w:tc>
          <w:tcPr>
            <w:tcW w:w="2576"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Compute RSI, IV rank, relative volume</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IntelligenceCompute</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Feature</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Intelligence</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Score opportunity, run model prediction</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Materialize</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Curated/Feature</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Presentation</w:t>
            </w:r>
          </w:p>
        </w:tc>
        <w:tc>
          <w:tcPr>
            <w:tcW w:w="2576"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Build user-specific watchlist view</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Backfill</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(external)</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Raw</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Fetch historical OHLC for a new asset</w:t>
            </w:r>
          </w:p>
        </w:tc>
      </w:tr>
    </w:tbl>
    <w:p>
      <w:pPr>
        <w:pStyle w:val="Normal"/>
        <w:spacing w:before="0" w:after="0"/>
        <w:rPr/>
      </w:pPr>
      <w:r>
        <w:rPr/>
      </w:r>
    </w:p>
    <w:p>
      <w:pPr>
        <w:pStyle w:val="Heading2"/>
        <w:pBdr>
          <w:left w:val="single" w:sz="14" w:space="4" w:color="8B5CF6"/>
        </w:pBdr>
        <w:rPr/>
      </w:pPr>
      <w:bookmarkStart w:id="300" w:name="__RefHeading___Toc7320_2150751134"/>
      <w:bookmarkEnd w:id="300"/>
      <w:r>
        <w:rPr>
          <w:rFonts w:ascii="Lato" w:hAnsi="Lato"/>
          <w:color w:val="172236"/>
          <w:sz w:val="29"/>
        </w:rPr>
        <w:t>8. Lineage Schema</w:t>
      </w:r>
    </w:p>
    <w:p>
      <w:pPr>
        <w:pStyle w:val="Normal"/>
        <w:rPr/>
      </w:pPr>
      <w:r>
        <w:rPr>
          <w:color w:val="172236"/>
          <w:sz w:val="19"/>
        </w:rPr>
        <w:t>Every record in the curated, feature, and intelligence layers carries lineage back to its raw sources. This is the enforcement of v0.1 §4.1 ("Evidence Before Conclusion") at the data level.</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 Attached to every curated, feature, and intelligence record.</w:t>
        <w:br/>
        <w:t>/// Allows tracing any derived value back to its raw source(s).</w:t>
        <w:br/>
        <w:t>#[derive(Clone, Debug, Serialize, Deserialize)]</w:t>
        <w:br/>
        <w:t>pub struct Lineage {</w:t>
        <w:br/>
        <w:t xml:space="preserve">    /// The raw record IDs this record was computed from.</w:t>
        <w:br/>
        <w:t xml:space="preserve">    pub upstream_record_ids: Vec&lt;RecordId&gt;,</w:t>
        <w:br/>
        <w:t xml:space="preserve">    /// The transform that produced this record.</w:t>
        <w:br/>
        <w:t xml:space="preserve">    pub transform_id: TransformId,</w:t>
        <w:br/>
        <w:t xml:space="preserve">    /// The version of the transform code.</w:t>
        <w:br/>
        <w:t xml:space="preserve">    pub transform_version: SemanticVersion,</w:t>
        <w:br/>
        <w:t xml:space="preserve">    /// When this record was computed.</w:t>
        <w:br/>
        <w:t xml:space="preserve">    pub computed_at: OffsetDateTime,</w:t>
        <w:br/>
        <w:t xml:space="preserve">    /// Hash of all upstream record IDs + transform + version.</w:t>
        <w:br/>
        <w:t xml:space="preserve">    /// If any input changes, this hash changes, and the record</w:t>
        <w:br/>
        <w:t xml:space="preserve">    /// is considered stale.</w:t>
        <w:br/>
        <w:t xml:space="preserve">    pub inputs_hash: ContentHash,</w:t>
        <w:br/>
        <w:t>}</w:t>
      </w:r>
    </w:p>
    <w:p>
      <w:pPr>
        <w:pStyle w:val="Heading2"/>
        <w:pBdr>
          <w:left w:val="single" w:sz="14" w:space="4" w:color="8B5CF6"/>
        </w:pBdr>
        <w:rPr/>
      </w:pPr>
      <w:bookmarkStart w:id="301" w:name="__RefHeading___Toc7322_2150751134"/>
      <w:bookmarkEnd w:id="301"/>
      <w:r>
        <w:rPr>
          <w:rFonts w:ascii="Lato" w:hAnsi="Lato"/>
          <w:color w:val="172236"/>
          <w:sz w:val="29"/>
        </w:rPr>
        <w:t>9. Invalidation Model</w:t>
      </w:r>
    </w:p>
    <w:p>
      <w:pPr>
        <w:pStyle w:val="Normal"/>
        <w:rPr/>
      </w:pPr>
      <w:r>
        <w:rPr>
          <w:color w:val="172236"/>
          <w:sz w:val="19"/>
        </w:rPr>
        <w:t>When a raw record is corrected (e.g., a restated 13F, a corrected macro series, a CoinGecko metadata fix), the system must determine which downstream records are affected and whether they need recomputation.</w:t>
      </w:r>
    </w:p>
    <w:p>
      <w:pPr>
        <w:pStyle w:val="Heading3"/>
        <w:rPr/>
      </w:pPr>
      <w:bookmarkStart w:id="302" w:name="__RefHeading___Toc7324_2150751134"/>
      <w:bookmarkEnd w:id="302"/>
      <w:r>
        <w:rPr>
          <w:rFonts w:ascii="Lato" w:hAnsi="Lato"/>
          <w:color w:val="172236"/>
          <w:sz w:val="21"/>
        </w:rPr>
        <w:t>9.1 Invalidation Propagation</w:t>
      </w:r>
    </w:p>
    <w:p>
      <w:pPr>
        <w:pStyle w:val="Normal"/>
        <w:keepNext w:val="true"/>
        <w:pBdr>
          <w:left w:val="single" w:sz="18" w:space="4" w:color="8B5CF6"/>
        </w:pBdr>
        <w:shd w:fill="0D1C32"/>
        <w:spacing w:before="120" w:after="0"/>
        <w:rPr/>
      </w:pPr>
      <w:r>
        <w:rPr>
          <w:rFonts w:ascii="Inter Display" w:hAnsi="Inter Display"/>
          <w:b/>
          <w:color w:val="33C7F2"/>
          <w:sz w:val="14"/>
        </w:rPr>
        <w:t>CODE</w:t>
      </w:r>
    </w:p>
    <w:p>
      <w:pPr>
        <w:pStyle w:val="CodeBlock"/>
        <w:keepLines/>
        <w:pBdr>
          <w:left w:val="single" w:sz="18" w:space="4" w:color="8B5CF6"/>
        </w:pBdr>
        <w:shd w:fill="0D1C32"/>
        <w:spacing w:lineRule="auto" w:line="240" w:before="0" w:after="140"/>
        <w:rPr/>
      </w:pPr>
      <w:r>
        <w:rPr>
          <w:color w:val="D9E5F5"/>
          <w:sz w:val="14"/>
        </w:rPr>
        <w:t>Raw record corrected</w:t>
        <w:br/>
        <w:t xml:space="preserve">    │</w:t>
        <w:br/>
        <w:t xml:space="preserve">    ▼</w:t>
        <w:br/>
        <w:t>Find all curated records with this raw ID in upstream_record_ids</w:t>
        <w:br/>
        <w:t xml:space="preserve">    │</w:t>
        <w:br/>
        <w:t xml:space="preserve">    ▼</w:t>
        <w:br/>
        <w:t>Mark those curated records as STALE (do not delete — preserve for audit)</w:t>
        <w:br/>
        <w:t xml:space="preserve">    │</w:t>
        <w:br/>
        <w:t xml:space="preserve">    ▼</w:t>
        <w:br/>
        <w:t>Find all feature records depending on those curated records</w:t>
        <w:br/>
        <w:t xml:space="preserve">    │</w:t>
        <w:br/>
        <w:t xml:space="preserve">    ▼</w:t>
        <w:br/>
        <w:t>Mark feature records as STALE</w:t>
        <w:br/>
        <w:t xml:space="preserve">    │</w:t>
        <w:br/>
        <w:t xml:space="preserve">    ▼</w:t>
        <w:br/>
        <w:t>Find all intelligence records (opportunities, predictions) depending on those features</w:t>
        <w:br/>
        <w:t xml:space="preserve">    │</w:t>
        <w:br/>
        <w:t xml:space="preserve">    ▼</w:t>
        <w:br/>
        <w:t>Mark intelligence records as STALE</w:t>
        <w:br/>
        <w:t xml:space="preserve">    │</w:t>
        <w:br/>
        <w:t xml:space="preserve">    ▼</w:t>
        <w:br/>
        <w:t>Re-trigger the pipeline tasks that produced the stale records</w:t>
        <w:br/>
        <w:t xml:space="preserve">    │</w:t>
        <w:br/>
        <w:t xml:space="preserve">    ▼</w:t>
        <w:br/>
        <w:t>New records created with new lineage; old records retained for audit</w:t>
      </w:r>
    </w:p>
    <w:p>
      <w:pPr>
        <w:pStyle w:val="Heading3"/>
        <w:rPr/>
      </w:pPr>
      <w:bookmarkStart w:id="303" w:name="__RefHeading___Toc7326_2150751134"/>
      <w:bookmarkEnd w:id="303"/>
      <w:r>
        <w:rPr>
          <w:rFonts w:ascii="Lato" w:hAnsi="Lato"/>
          <w:color w:val="172236"/>
          <w:sz w:val="21"/>
        </w:rPr>
        <w:t>9.2 Stale-vs-Source vs Recompute</w:t>
      </w:r>
    </w:p>
    <w:p>
      <w:pPr>
        <w:pStyle w:val="Normal"/>
        <w:rPr/>
      </w:pPr>
      <w:r>
        <w:rPr>
          <w:color w:val="172236"/>
          <w:sz w:val="19"/>
        </w:rPr>
        <w:t>Not every correction requires recomputation:</w:t>
      </w:r>
    </w:p>
    <w:tbl>
      <w:tblPr>
        <w:tblW w:w="10311"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3437"/>
        <w:gridCol w:w="3437"/>
        <w:gridCol w:w="3437"/>
      </w:tblGrid>
      <w:tr>
        <w:trPr>
          <w:tblHeader w:val="true"/>
          <w:cantSplit/>
        </w:trPr>
        <w:tc>
          <w:tcPr>
            <w:tcW w:w="343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Correction Type</w:t>
            </w:r>
          </w:p>
        </w:tc>
        <w:tc>
          <w:tcPr>
            <w:tcW w:w="343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Action</w:t>
            </w:r>
          </w:p>
        </w:tc>
        <w:tc>
          <w:tcPr>
            <w:tcW w:w="343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Reason</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Metadata fix (name, description)</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Recompute downstream</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Low cost, high correctness value</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Price/bar correction</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Recompute + flag affected backtests</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Critical — backtest results may change</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Filing amendment</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Recompute intelligence</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Opportunities may be invalidated</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COT revision</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Recompute positioning metrics</w:t>
            </w:r>
          </w:p>
        </w:tc>
        <w:tc>
          <w:tcPr>
            <w:tcW w:w="343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Crowding scores change</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Delayed-but-unchanged data</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No action</w:t>
            </w:r>
          </w:p>
        </w:tc>
        <w:tc>
          <w:tcPr>
            <w:tcW w:w="343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Same data, later arrival — no invalidation</w:t>
            </w:r>
          </w:p>
        </w:tc>
      </w:tr>
    </w:tbl>
    <w:p>
      <w:pPr>
        <w:pStyle w:val="Normal"/>
        <w:spacing w:before="0" w:after="0"/>
        <w:rPr/>
      </w:pPr>
      <w:r>
        <w:rPr/>
      </w:r>
    </w:p>
    <w:p>
      <w:pPr>
        <w:pStyle w:val="Heading2"/>
        <w:pBdr>
          <w:left w:val="single" w:sz="14" w:space="4" w:color="8B5CF6"/>
        </w:pBdr>
        <w:rPr/>
      </w:pPr>
      <w:bookmarkStart w:id="304" w:name="__RefHeading___Toc7328_2150751134"/>
      <w:bookmarkEnd w:id="304"/>
      <w:r>
        <w:rPr>
          <w:rFonts w:ascii="Lato" w:hAnsi="Lato"/>
          <w:color w:val="172236"/>
          <w:sz w:val="29"/>
        </w:rPr>
        <w:t>10. Per-Layer Freshness Targets</w:t>
      </w:r>
    </w:p>
    <w:p>
      <w:pPr>
        <w:pStyle w:val="Normal"/>
        <w:rPr/>
      </w:pPr>
      <w:r>
        <w:rPr>
          <w:color w:val="172236"/>
          <w:sz w:val="19"/>
        </w:rPr>
        <w:t>The v0.1 overview (§26.3) lists "Critical provider freshness" as an SLO but does not map targets per dataset. These are the targets for the Phase 0/1 data set:</w:t>
      </w:r>
    </w:p>
    <w:tbl>
      <w:tblPr>
        <w:tblW w:w="10308"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2577"/>
        <w:gridCol w:w="2577"/>
        <w:gridCol w:w="2577"/>
        <w:gridCol w:w="2576"/>
      </w:tblGrid>
      <w:tr>
        <w:trPr>
          <w:tblHeader w:val="true"/>
          <w:cantSplit/>
        </w:trPr>
        <w:tc>
          <w:tcPr>
            <w:tcW w:w="257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Dataset</w:t>
            </w:r>
          </w:p>
        </w:tc>
        <w:tc>
          <w:tcPr>
            <w:tcW w:w="257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Layer</w:t>
            </w:r>
          </w:p>
        </w:tc>
        <w:tc>
          <w:tcPr>
            <w:tcW w:w="257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Target Freshness</w:t>
            </w:r>
          </w:p>
        </w:tc>
        <w:tc>
          <w:tcPr>
            <w:tcW w:w="2576"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Degradation Behavior</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CoinGecko market snapshot (prices, cap, volume)</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Raw</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 xml:space="preserve">≤ </w:t>
            </w:r>
            <w:r>
              <w:rPr>
                <w:color w:val="172236"/>
                <w:sz w:val="14"/>
              </w:rPr>
              <w:t>60 seconds</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Show "delayed" badge at 120s; stop scoring at 300s</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CoinGecko trending</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Raw</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 xml:space="preserve">≤ </w:t>
            </w:r>
            <w:r>
              <w:rPr>
                <w:color w:val="172236"/>
                <w:sz w:val="14"/>
              </w:rPr>
              <w:t>5 minutes</w:t>
            </w:r>
          </w:p>
        </w:tc>
        <w:tc>
          <w:tcPr>
            <w:tcW w:w="2576"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Acceptable to be stale; no degradation</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CoinGecko metadata</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Raw</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 xml:space="preserve">≤ </w:t>
            </w:r>
            <w:r>
              <w:rPr>
                <w:color w:val="172236"/>
                <w:sz w:val="14"/>
              </w:rPr>
              <w:t>24 hours</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Very low change rate; no degradation</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CoinGecko OHLC (historical)</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Raw</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Immutable after finalization</w:t>
            </w:r>
          </w:p>
        </w:tc>
        <w:tc>
          <w:tcPr>
            <w:tcW w:w="2576"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N/A — never goes stale</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SEC filings RSS</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Raw</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 xml:space="preserve">≤ </w:t>
            </w:r>
            <w:r>
              <w:rPr>
                <w:color w:val="172236"/>
                <w:sz w:val="14"/>
              </w:rPr>
              <w:t>5 minutes after publication</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Critical for event trading</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CFTC COT</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Raw</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 xml:space="preserve">≤ </w:t>
            </w:r>
            <w:r>
              <w:rPr>
                <w:color w:val="172236"/>
                <w:sz w:val="14"/>
              </w:rPr>
              <w:t>1 day after Tuesday release</w:t>
            </w:r>
          </w:p>
        </w:tc>
        <w:tc>
          <w:tcPr>
            <w:tcW w:w="2576"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Weekly data; no intraday value</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FRED macro</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Raw</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 xml:space="preserve">≤ </w:t>
            </w:r>
            <w:r>
              <w:rPr>
                <w:color w:val="172236"/>
                <w:sz w:val="14"/>
              </w:rPr>
              <w:t>1 day after release</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Quarterly/monthly cadence</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Normalized market snapshot</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Normalized</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 xml:space="preserve">≤ </w:t>
            </w:r>
            <w:r>
              <w:rPr>
                <w:color w:val="172236"/>
                <w:sz w:val="14"/>
              </w:rPr>
              <w:t>5 seconds behind raw</w:t>
            </w:r>
          </w:p>
        </w:tc>
        <w:tc>
          <w:tcPr>
            <w:tcW w:w="2576"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Pipeline must be fast</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Feature: RSI / indicators</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Feature</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 xml:space="preserve">≤ </w:t>
            </w:r>
            <w:r>
              <w:rPr>
                <w:color w:val="172236"/>
                <w:sz w:val="14"/>
              </w:rPr>
              <w:t>10 seconds behind normalized</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Recomputed on each bar close</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Feature: IV rank</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Feature</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 xml:space="preserve">≤ </w:t>
            </w:r>
            <w:r>
              <w:rPr>
                <w:color w:val="172236"/>
                <w:sz w:val="14"/>
              </w:rPr>
              <w:t>30 seconds behind normalized</w:t>
            </w:r>
          </w:p>
        </w:tc>
        <w:tc>
          <w:tcPr>
            <w:tcW w:w="2576"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Depends on chain refresh</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Intelligence: opportunity score</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Intelligence</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 xml:space="preserve">≤ </w:t>
            </w:r>
            <w:r>
              <w:rPr>
                <w:color w:val="172236"/>
                <w:sz w:val="14"/>
              </w:rPr>
              <w:t>30 seconds behind feature</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Recomputed when inputs change</w:t>
            </w:r>
          </w:p>
        </w:tc>
      </w:tr>
    </w:tbl>
    <w:p>
      <w:pPr>
        <w:pStyle w:val="Normal"/>
        <w:spacing w:before="0" w:after="0"/>
        <w:rPr/>
      </w:pPr>
      <w:r>
        <w:rPr/>
      </w:r>
    </w:p>
    <w:p>
      <w:pPr>
        <w:pStyle w:val="Heading1"/>
        <w:pBdr>
          <w:bottom w:val="single" w:sz="12" w:space="5" w:color="33C7F2"/>
        </w:pBdr>
        <w:rPr/>
      </w:pPr>
      <w:bookmarkStart w:id="305" w:name="__RefHeading___Toc7330_2150751134"/>
      <w:bookmarkEnd w:id="305"/>
      <w:r>
        <w:rPr>
          <w:rFonts w:ascii="Lato" w:hAnsi="Lato"/>
          <w:color w:val="172236"/>
          <w:sz w:val="42"/>
        </w:rPr>
        <w:t>Part III — Provider Cost Model</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8B5CF6"/>
            </w:tcBorders>
            <w:shd w:fill="F2EDFF"/>
          </w:tcPr>
          <w:p>
            <w:pPr>
              <w:pStyle w:val="Normal"/>
              <w:spacing w:before="0" w:after="100"/>
              <w:rPr/>
            </w:pPr>
            <w:r>
              <w:rPr>
                <w:rFonts w:ascii="Inter Display" w:hAnsi="Inter Display"/>
                <w:b/>
                <w:color w:val="8B5CF6"/>
                <w:sz w:val="16"/>
              </w:rPr>
              <w:t xml:space="preserve">DESIGN PRINCIPLE  </w:t>
            </w:r>
            <w:r>
              <w:rPr>
                <w:color w:val="172236"/>
                <w:sz w:val="18"/>
              </w:rPr>
              <w:t>The v0.1 overview (§10.5) lists what the budget governor MUST do but defines no cost unit, no budget policy, and no UI. This part makes it concrete.</w:t>
            </w:r>
          </w:p>
        </w:tc>
      </w:tr>
    </w:tbl>
    <w:p>
      <w:pPr>
        <w:pStyle w:val="Normal"/>
        <w:spacing w:before="0" w:after="0"/>
        <w:rPr/>
      </w:pPr>
      <w:r>
        <w:rPr/>
      </w:r>
    </w:p>
    <w:p>
      <w:pPr>
        <w:pStyle w:val="Heading2"/>
        <w:pBdr>
          <w:left w:val="single" w:sz="14" w:space="4" w:color="8B5CF6"/>
        </w:pBdr>
        <w:rPr/>
      </w:pPr>
      <w:bookmarkStart w:id="306" w:name="__RefHeading___Toc7332_2150751134"/>
      <w:bookmarkEnd w:id="306"/>
      <w:r>
        <w:rPr>
          <w:rFonts w:ascii="Lato" w:hAnsi="Lato"/>
          <w:color w:val="172236"/>
          <w:sz w:val="29"/>
        </w:rPr>
        <w:t>11. Cost Unit and Budget Architecture</w:t>
      </w:r>
    </w:p>
    <w:p>
      <w:pPr>
        <w:pStyle w:val="Heading3"/>
        <w:rPr/>
      </w:pPr>
      <w:bookmarkStart w:id="307" w:name="__RefHeading___Toc7334_2150751134"/>
      <w:bookmarkEnd w:id="307"/>
      <w:r>
        <w:rPr>
          <w:rFonts w:ascii="Lato" w:hAnsi="Lato"/>
          <w:color w:val="172236"/>
          <w:sz w:val="21"/>
        </w:rPr>
        <w:t>11.1 Cost Units</w:t>
      </w:r>
    </w:p>
    <w:p>
      <w:pPr>
        <w:pStyle w:val="Normal"/>
        <w:rPr/>
      </w:pPr>
      <w:r>
        <w:rPr>
          <w:color w:val="172236"/>
          <w:sz w:val="19"/>
        </w:rPr>
        <w:t xml:space="preserve">Providers charge in different units. The governor normalizes all of them to a common </w:t>
      </w:r>
      <w:r>
        <w:rPr>
          <w:rFonts w:ascii="Liberation Mono" w:hAnsi="Liberation Mono"/>
          <w:color w:val="8B5CF6"/>
          <w:sz w:val="18"/>
          <w:shd w:fill="F0EDFF" w:val="clear"/>
        </w:rPr>
        <w:t>CostUnit</w:t>
      </w:r>
      <w:r>
        <w:rPr>
          <w:color w:val="172236"/>
          <w:sz w:val="19"/>
        </w:rPr>
        <w:t xml:space="preserve"> for tracking, while preserving the native unit for display.</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 The native cost unit of a provider.</w:t>
        <w:br/>
        <w:t>pub enum CostUnit {</w:t>
        <w:br/>
        <w:t xml:space="preserve">    /// API calls (SEC EDGAR, FRED — free but rate-limited).</w:t>
        <w:br/>
        <w:t xml:space="preserve">    ApiCalls,</w:t>
        <w:br/>
        <w:t xml:space="preserve">    /// Credits (CoinGecko paid tiers — credits per endpoint).</w:t>
        <w:br/>
        <w:t xml:space="preserve">    Credits,</w:t>
        <w:br/>
        <w:t xml:space="preserve">    /// Plan-based (Unusual Whales — flat plan, soft rate limits).</w:t>
        <w:br/>
        <w:t xml:space="preserve">    PlanIncluded,</w:t>
        <w:br/>
        <w:t xml:space="preserve">    /// Dollars (paid per-call providers in later phases).</w:t>
        <w:br/>
        <w:t xml:space="preserve">    Dollars,</w:t>
        <w:br/>
        <w:t>}</w:t>
        <w:br/>
        <w:br/>
        <w:t>/// A single provider's cost model.</w:t>
        <w:br/>
        <w:t>pub struct ProviderCostModel {</w:t>
        <w:br/>
        <w:t xml:space="preserve">    pub provider_id: ProviderId,</w:t>
        <w:br/>
        <w:t xml:space="preserve">    pub unit: CostUnit,</w:t>
        <w:br/>
        <w:t xml:space="preserve">    pub period: BudgetPeriod,           // Hourly | Daily | Monthly</w:t>
        <w:br/>
        <w:t xml:space="preserve">    pub budget: u64,                     // calls, credits, or cents</w:t>
        <w:br/>
        <w:t xml:space="preserve">    pub remaining: u64,</w:t>
        <w:br/>
        <w:t xml:space="preserve">    pub reservation_pool: u64,           // reserved for critical workflows</w:t>
        <w:br/>
        <w:t xml:space="preserve">    pub endpoints: Vec&lt;EndpointWeight&gt;,  // credit weight per endpoint</w:t>
        <w:br/>
        <w:t>}</w:t>
        <w:br/>
        <w:br/>
        <w:t>pub struct EndpointWeight {</w:t>
        <w:br/>
        <w:t xml:space="preserve">    pub endpoint: EndpointPath,</w:t>
        <w:br/>
        <w:t xml:space="preserve">    pub weight: u32,   // e.g., CoinGecko /coins/{id} = 1 credit, /coins/markets = 1, historical = 5</w:t>
        <w:br/>
        <w:t>}</w:t>
      </w:r>
    </w:p>
    <w:p>
      <w:pPr>
        <w:pStyle w:val="Heading3"/>
        <w:rPr/>
      </w:pPr>
      <w:bookmarkStart w:id="308" w:name="__RefHeading___Toc7336_2150751134"/>
      <w:bookmarkEnd w:id="308"/>
      <w:r>
        <w:rPr>
          <w:rFonts w:ascii="Lato" w:hAnsi="Lato"/>
          <w:color w:val="172236"/>
          <w:sz w:val="21"/>
        </w:rPr>
        <w:t>11.2 Budget Policy and Priority Classes</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 Workflows are classified by priority. When the budget is under</w:t>
        <w:br/>
        <w:t>/// pressure, lower-priority requests are shed first.</w:t>
        <w:br/>
        <w:t>pub enum PriorityClass {</w:t>
        <w:br/>
        <w:t xml:space="preserve">    /// User-facing dashboard refresh, alert evaluation, live execution.</w:t>
        <w:br/>
        <w:t xml:space="preserve">    /// These always run, even if they exhaust the budget.</w:t>
        <w:br/>
        <w:t xml:space="preserve">    Critical,</w:t>
        <w:br/>
        <w:t xml:space="preserve">    /// Watchlist updates, scanner runs, chart data.</w:t>
        <w:br/>
        <w:t xml:space="preserve">    /// Run unless budget is below 20% remaining.</w:t>
        <w:br/>
        <w:t xml:space="preserve">    Standard,</w:t>
        <w:br/>
        <w:t xml:space="preserve">    /// Background data refresh, historical backfill, model retraining.</w:t>
        <w:br/>
        <w:t xml:space="preserve">    /// Run only when budget is above 50% remaining.</w:t>
        <w:br/>
        <w:t xml:space="preserve">    Background,</w:t>
        <w:br/>
        <w:t xml:space="preserve">    /// Prefetch, warm cache, pre-compute.</w:t>
        <w:br/>
        <w:t xml:space="preserve">    /// Run only when budget is above 80% remaining.</w:t>
        <w:br/>
        <w:t xml:space="preserve">    Opportunistic,</w:t>
        <w:br/>
        <w:t>}</w:t>
      </w:r>
    </w:p>
    <w:p>
      <w:pPr>
        <w:pStyle w:val="Heading3"/>
        <w:rPr/>
      </w:pPr>
      <w:bookmarkStart w:id="309" w:name="__RefHeading___Toc7338_2150751134"/>
      <w:bookmarkEnd w:id="309"/>
      <w:r>
        <w:rPr>
          <w:rFonts w:ascii="Lato" w:hAnsi="Lato"/>
          <w:color w:val="172236"/>
          <w:sz w:val="21"/>
        </w:rPr>
        <w:t>11.3 Rate-Budget UI Specification</w:t>
      </w:r>
    </w:p>
    <w:p>
      <w:pPr>
        <w:pStyle w:val="Normal"/>
        <w:rPr/>
      </w:pPr>
      <w:r>
        <w:rPr>
          <w:color w:val="172236"/>
          <w:sz w:val="19"/>
        </w:rPr>
        <w:t>The Phase 0 exit criteria require a "Provider health and rate-budget UI." This is what it shows:</w:t>
      </w:r>
    </w:p>
    <w:p>
      <w:pPr>
        <w:pStyle w:val="Normal"/>
        <w:rPr/>
      </w:pPr>
      <w:r>
        <w:rPr>
          <w:b/>
          <w:color w:val="172236"/>
          <w:sz w:val="19"/>
        </w:rPr>
        <w:t>Panel 1 — Provider Health Card (one per connected provider):</w:t>
      </w:r>
    </w:p>
    <w:p>
      <w:pPr>
        <w:pStyle w:val="ListBullet"/>
        <w:numPr>
          <w:ilvl w:val="0"/>
          <w:numId w:val="1"/>
        </w:numPr>
        <w:rPr/>
      </w:pPr>
      <w:r>
        <w:rPr>
          <w:color w:val="172236"/>
          <w:sz w:val="18"/>
        </w:rPr>
        <w:t>Provider name and plan tier</w:t>
      </w:r>
    </w:p>
    <w:p>
      <w:pPr>
        <w:pStyle w:val="ListBullet"/>
        <w:numPr>
          <w:ilvl w:val="0"/>
          <w:numId w:val="1"/>
        </w:numPr>
        <w:rPr/>
      </w:pPr>
      <w:r>
        <w:rPr>
          <w:color w:val="172236"/>
          <w:sz w:val="18"/>
        </w:rPr>
        <w:t>Current status: Healthy / Degraded / Rate-Limited / Down</w:t>
      </w:r>
    </w:p>
    <w:p>
      <w:pPr>
        <w:pStyle w:val="ListBullet"/>
        <w:numPr>
          <w:ilvl w:val="0"/>
          <w:numId w:val="1"/>
        </w:numPr>
        <w:rPr/>
      </w:pPr>
      <w:r>
        <w:rPr>
          <w:color w:val="172236"/>
          <w:sz w:val="18"/>
        </w:rPr>
        <w:t>Requests in current period / budget</w:t>
      </w:r>
    </w:p>
    <w:p>
      <w:pPr>
        <w:pStyle w:val="ListBullet"/>
        <w:numPr>
          <w:ilvl w:val="0"/>
          <w:numId w:val="1"/>
        </w:numPr>
        <w:rPr/>
      </w:pPr>
      <w:r>
        <w:rPr>
          <w:color w:val="172236"/>
          <w:sz w:val="18"/>
        </w:rPr>
        <w:t>Credits remaining (for credit-based providers)</w:t>
      </w:r>
    </w:p>
    <w:p>
      <w:pPr>
        <w:pStyle w:val="ListBullet"/>
        <w:numPr>
          <w:ilvl w:val="0"/>
          <w:numId w:val="1"/>
        </w:numPr>
        <w:rPr/>
      </w:pPr>
      <w:r>
        <w:rPr>
          <w:color w:val="172236"/>
          <w:sz w:val="18"/>
        </w:rPr>
        <w:t>Average latency (p50, p95)</w:t>
      </w:r>
    </w:p>
    <w:p>
      <w:pPr>
        <w:pStyle w:val="ListBullet"/>
        <w:numPr>
          <w:ilvl w:val="0"/>
          <w:numId w:val="1"/>
        </w:numPr>
        <w:rPr/>
      </w:pPr>
      <w:r>
        <w:rPr>
          <w:color w:val="172236"/>
          <w:sz w:val="18"/>
        </w:rPr>
        <w:t>Error rate</w:t>
      </w:r>
    </w:p>
    <w:p>
      <w:pPr>
        <w:pStyle w:val="ListBullet"/>
        <w:numPr>
          <w:ilvl w:val="0"/>
          <w:numId w:val="1"/>
        </w:numPr>
        <w:rPr/>
      </w:pPr>
      <w:r>
        <w:rPr>
          <w:color w:val="172236"/>
          <w:sz w:val="18"/>
        </w:rPr>
        <w:t>Last successful request timestamp</w:t>
      </w:r>
    </w:p>
    <w:p>
      <w:pPr>
        <w:pStyle w:val="ListBullet"/>
        <w:numPr>
          <w:ilvl w:val="0"/>
          <w:numId w:val="1"/>
        </w:numPr>
        <w:rPr/>
      </w:pPr>
      <w:r>
        <w:rPr>
          <w:color w:val="172236"/>
          <w:sz w:val="18"/>
        </w:rPr>
        <w:t>Next reset time</w:t>
      </w:r>
    </w:p>
    <w:p>
      <w:pPr>
        <w:pStyle w:val="Normal"/>
        <w:rPr/>
      </w:pPr>
      <w:r>
        <w:rPr>
          <w:b/>
          <w:color w:val="172236"/>
          <w:sz w:val="19"/>
        </w:rPr>
        <w:t>Panel 2 — Spend Trend:</w:t>
      </w:r>
    </w:p>
    <w:p>
      <w:pPr>
        <w:pStyle w:val="ListBullet"/>
        <w:numPr>
          <w:ilvl w:val="0"/>
          <w:numId w:val="1"/>
        </w:numPr>
        <w:rPr/>
      </w:pPr>
      <w:r>
        <w:rPr>
          <w:color w:val="172236"/>
          <w:sz w:val="18"/>
        </w:rPr>
        <w:t>Sparkline of request/credit consumption over the current period</w:t>
      </w:r>
    </w:p>
    <w:p>
      <w:pPr>
        <w:pStyle w:val="ListBullet"/>
        <w:numPr>
          <w:ilvl w:val="0"/>
          <w:numId w:val="1"/>
        </w:numPr>
        <w:rPr/>
      </w:pPr>
      <w:r>
        <w:rPr>
          <w:color w:val="172236"/>
          <w:sz w:val="18"/>
        </w:rPr>
        <w:t>Projected burn rate (linear extrapolation)</w:t>
      </w:r>
    </w:p>
    <w:p>
      <w:pPr>
        <w:pStyle w:val="ListBullet"/>
        <w:numPr>
          <w:ilvl w:val="0"/>
          <w:numId w:val="1"/>
        </w:numPr>
        <w:rPr/>
      </w:pPr>
      <w:r>
        <w:rPr>
          <w:color w:val="172236"/>
          <w:sz w:val="18"/>
        </w:rPr>
        <w:t>"At current rate, budget exhausted in X hours" warning</w:t>
      </w:r>
    </w:p>
    <w:p>
      <w:pPr>
        <w:pStyle w:val="Normal"/>
        <w:rPr/>
      </w:pPr>
      <w:r>
        <w:rPr>
          <w:b/>
          <w:color w:val="172236"/>
          <w:sz w:val="19"/>
        </w:rPr>
        <w:t>Panel 3 — Priority Breakdown:</w:t>
      </w:r>
    </w:p>
    <w:p>
      <w:pPr>
        <w:pStyle w:val="ListBullet"/>
        <w:numPr>
          <w:ilvl w:val="0"/>
          <w:numId w:val="1"/>
        </w:numPr>
        <w:rPr/>
      </w:pPr>
      <w:r>
        <w:rPr>
          <w:color w:val="172236"/>
          <w:sz w:val="18"/>
        </w:rPr>
        <w:t>Bar chart of requests by PriorityClass (Critical / Standard / Background / Opportunistic)</w:t>
      </w:r>
    </w:p>
    <w:p>
      <w:pPr>
        <w:pStyle w:val="ListBullet"/>
        <w:numPr>
          <w:ilvl w:val="0"/>
          <w:numId w:val="1"/>
        </w:numPr>
        <w:rPr/>
      </w:pPr>
      <w:r>
        <w:rPr>
          <w:color w:val="172236"/>
          <w:sz w:val="18"/>
        </w:rPr>
        <w:t>Shed count (how many Background/Opportunistic requests were rejected)</w:t>
      </w:r>
    </w:p>
    <w:p>
      <w:pPr>
        <w:pStyle w:val="Normal"/>
        <w:rPr/>
      </w:pPr>
      <w:r>
        <w:rPr>
          <w:b/>
          <w:color w:val="172236"/>
          <w:sz w:val="19"/>
        </w:rPr>
        <w:t>Panel 4 — Endpoint Breakdown (expandable per provider):</w:t>
      </w:r>
    </w:p>
    <w:p>
      <w:pPr>
        <w:pStyle w:val="ListBullet"/>
        <w:numPr>
          <w:ilvl w:val="0"/>
          <w:numId w:val="1"/>
        </w:numPr>
        <w:rPr/>
      </w:pPr>
      <w:r>
        <w:rPr>
          <w:color w:val="172236"/>
          <w:sz w:val="18"/>
        </w:rPr>
        <w:t>Table: endpoint path, call count, credit weight, total credits consumed</w:t>
      </w:r>
    </w:p>
    <w:p>
      <w:pPr>
        <w:pStyle w:val="Normal"/>
        <w:rPr/>
      </w:pPr>
      <w:r>
        <w:rPr>
          <w:b/>
          <w:color w:val="172236"/>
          <w:sz w:val="19"/>
        </w:rPr>
        <w:t>Controls:</w:t>
      </w:r>
    </w:p>
    <w:p>
      <w:pPr>
        <w:pStyle w:val="ListBullet"/>
        <w:numPr>
          <w:ilvl w:val="0"/>
          <w:numId w:val="1"/>
        </w:numPr>
        <w:rPr/>
      </w:pPr>
      <w:r>
        <w:rPr>
          <w:color w:val="172236"/>
          <w:sz w:val="18"/>
        </w:rPr>
        <w:t>Per-provider pause/resume toggle</w:t>
      </w:r>
    </w:p>
    <w:p>
      <w:pPr>
        <w:pStyle w:val="ListBullet"/>
        <w:numPr>
          <w:ilvl w:val="0"/>
          <w:numId w:val="1"/>
        </w:numPr>
        <w:rPr/>
      </w:pPr>
      <w:r>
        <w:rPr>
          <w:color w:val="172236"/>
          <w:sz w:val="18"/>
        </w:rPr>
        <w:t>Per-provider budget override (with confirmation)</w:t>
      </w:r>
    </w:p>
    <w:p>
      <w:pPr>
        <w:pStyle w:val="ListBullet"/>
        <w:numPr>
          <w:ilvl w:val="0"/>
          <w:numId w:val="1"/>
        </w:numPr>
        <w:rPr/>
      </w:pPr>
      <w:r>
        <w:rPr>
          <w:color w:val="172236"/>
          <w:sz w:val="18"/>
        </w:rPr>
        <w:t>"Reserve N credits for critical workflows" slider</w:t>
      </w:r>
    </w:p>
    <w:p>
      <w:pPr>
        <w:pStyle w:val="Heading1"/>
        <w:pBdr>
          <w:bottom w:val="single" w:sz="12" w:space="5" w:color="33C7F2"/>
        </w:pBdr>
        <w:rPr/>
      </w:pPr>
      <w:bookmarkStart w:id="310" w:name="__RefHeading___Toc7340_2150751134"/>
      <w:bookmarkEnd w:id="310"/>
      <w:r>
        <w:rPr>
          <w:rFonts w:ascii="Lato" w:hAnsi="Lato"/>
          <w:color w:val="172236"/>
          <w:sz w:val="42"/>
        </w:rPr>
        <w:t>Part IV — First-Run, Demo, and Suitability</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8B5CF6"/>
            </w:tcBorders>
            <w:shd w:fill="F2EDFF"/>
          </w:tcPr>
          <w:p>
            <w:pPr>
              <w:pStyle w:val="Normal"/>
              <w:spacing w:before="0" w:after="100"/>
              <w:rPr/>
            </w:pPr>
            <w:r>
              <w:rPr>
                <w:rFonts w:ascii="Inter Display" w:hAnsi="Inter Display"/>
                <w:b/>
                <w:color w:val="8B5CF6"/>
                <w:sz w:val="16"/>
              </w:rPr>
              <w:t xml:space="preserve">DESIGN PRINCIPLE  </w:t>
            </w:r>
            <w:r>
              <w:rPr>
                <w:color w:val="172236"/>
                <w:sz w:val="18"/>
              </w:rPr>
              <w:t>The v0.1 overview has no onboarding architecture despite Phase 0 requiring "CoinGecko demo integration" and §17.3 requiring "user-specific suitability filters."</w:t>
            </w:r>
          </w:p>
        </w:tc>
      </w:tr>
    </w:tbl>
    <w:p>
      <w:pPr>
        <w:pStyle w:val="Normal"/>
        <w:spacing w:before="0" w:after="0"/>
        <w:rPr/>
      </w:pPr>
      <w:r>
        <w:rPr/>
      </w:r>
    </w:p>
    <w:p>
      <w:pPr>
        <w:pStyle w:val="Heading2"/>
        <w:pBdr>
          <w:left w:val="single" w:sz="14" w:space="4" w:color="8B5CF6"/>
        </w:pBdr>
        <w:rPr/>
      </w:pPr>
      <w:bookmarkStart w:id="311" w:name="__RefHeading___Toc7342_2150751134"/>
      <w:bookmarkEnd w:id="311"/>
      <w:r>
        <w:rPr>
          <w:rFonts w:ascii="Lato" w:hAnsi="Lato"/>
          <w:color w:val="172236"/>
          <w:sz w:val="29"/>
        </w:rPr>
        <w:t>12. First-Run Experience</w:t>
      </w:r>
    </w:p>
    <w:p>
      <w:pPr>
        <w:pStyle w:val="Heading3"/>
        <w:rPr/>
      </w:pPr>
      <w:bookmarkStart w:id="312" w:name="__RefHeading___Toc7344_2150751134"/>
      <w:bookmarkEnd w:id="312"/>
      <w:r>
        <w:rPr>
          <w:rFonts w:ascii="Lato" w:hAnsi="Lato"/>
          <w:color w:val="172236"/>
          <w:sz w:val="21"/>
        </w:rPr>
        <w:t>12.1 Flow State Machine</w:t>
      </w:r>
    </w:p>
    <w:p>
      <w:pPr>
        <w:pStyle w:val="Normal"/>
        <w:keepNext w:val="true"/>
        <w:pBdr>
          <w:left w:val="single" w:sz="18" w:space="4" w:color="8B5CF6"/>
        </w:pBdr>
        <w:shd w:fill="0D1C32"/>
        <w:spacing w:before="120" w:after="0"/>
        <w:rPr/>
      </w:pPr>
      <w:r>
        <w:rPr>
          <w:rFonts w:ascii="Inter Display" w:hAnsi="Inter Display"/>
          <w:b/>
          <w:color w:val="33C7F2"/>
          <w:sz w:val="14"/>
        </w:rPr>
        <w:t>CODE</w:t>
      </w:r>
    </w:p>
    <w:p>
      <w:pPr>
        <w:pStyle w:val="CodeBlock"/>
        <w:pBdr>
          <w:left w:val="single" w:sz="18" w:space="4" w:color="8B5CF6"/>
        </w:pBdr>
        <w:shd w:fill="0D1C32"/>
        <w:spacing w:lineRule="auto" w:line="240" w:before="0" w:after="140"/>
        <w:rPr/>
      </w:pPr>
      <w:r>
        <w:rPr>
          <w:color w:val="D9E5F5"/>
          <w:sz w:val="14"/>
        </w:rPr>
        <w:t>[Launch]</w:t>
        <w:br/>
        <w:t xml:space="preserve">    │</w:t>
        <w:br/>
        <w:t xml:space="preserve">    ▼</w:t>
        <w:br/>
        <w:t>[Welcome Screen]</w:t>
        <w:br/>
        <w:t xml:space="preserve">    │</w:t>
        <w:br/>
        <w:t xml:space="preserve">    ├── "Get Started" ─────────────────▶ [Provider Setup]</w:t>
        <w:br/>
        <w:t xml:space="preserve">    │                                      │</w:t>
        <w:br/>
        <w:t xml:space="preserve">    │                                      ├── Enter CoinGecko key (optional)</w:t>
        <w:br/>
        <w:t xml:space="preserve">    │                                      │   (demo key pre-filled; user can upgrade later)</w:t>
        <w:br/>
        <w:t xml:space="preserve">    │                                      │</w:t>
        <w:br/>
        <w:t xml:space="preserve">    │                                      └── "Skip — use demo mode" ──▶ [Demo Mode Active]</w:t>
        <w:br/>
        <w:t xml:space="preserve">    │</w:t>
        <w:br/>
        <w:t xml:space="preserve">    ▼</w:t>
        <w:br/>
        <w:t>[Suitability Profile]</w:t>
        <w:br/>
        <w:t xml:space="preserve">    │</w:t>
        <w:br/>
        <w:t xml:space="preserve">    ├── Experience level: Novice / Intermediate / Advanced / Professional</w:t>
        <w:br/>
        <w:t xml:space="preserve">    ├── Risk tolerance: Conservative / Moderate / Aggressive</w:t>
        <w:br/>
        <w:t xml:space="preserve">    ├── Jurisdiction: Country + State (for feature gating)</w:t>
        <w:br/>
        <w:t xml:space="preserve">    ├── Primary asset interest: Crypto / Equities / Options / Multi-asset</w:t>
        <w:br/>
        <w:t xml:space="preserve">    └── Time horizon: Scalping / Day / Swing / Position / Long-term</w:t>
        <w:br/>
        <w:t xml:space="preserve">    │</w:t>
        <w:br/>
        <w:t xml:space="preserve">    ▼</w:t>
        <w:br/>
        <w:t>[Default Workspace Seeded]</w:t>
        <w:br/>
        <w:t xml:space="preserve">    │</w:t>
        <w:br/>
        <w:t xml:space="preserve">    ├── Watchlist: BTC, ETH, SPY, QQQ (+ top 10 by user interest)</w:t>
        <w:br/>
        <w:t xml:space="preserve">    ├── Sample strategy: "EventFlowMomentum" (read-only, for learning)</w:t>
        <w:br/>
        <w:t xml:space="preserve">    ├── Risk policy: Conservative defaults (max 2% per position, max 15% sector)</w:t>
        <w:br/>
        <w:t xml:space="preserve">    └── Layout: "First-Run" named layout with Command Center + one chart + watchlist</w:t>
        <w:br/>
        <w:t xml:space="preserve">    │</w:t>
        <w:br/>
        <w:t xml:space="preserve">    ▼</w:t>
        <w:br/>
        <w:t>[Guided Tour (skippable)]</w:t>
        <w:br/>
        <w:t xml:space="preserve">    │</w:t>
        <w:br/>
        <w:t xml:space="preserve">    ├── "This is your Command Center. Cards show..."</w:t>
        <w:br/>
        <w:t xml:space="preserve">    ├── "Every card links to its evidence. Click any source."</w:t>
        <w:br/>
        <w:t xml:space="preserve">    ├── "Probabilities are ranges, not predictions. See how..."</w:t>
        <w:br/>
        <w:t xml:space="preserve">    └── "Your risk limits are set. Here's how to change them."</w:t>
        <w:br/>
        <w:t xml:space="preserve">    │</w:t>
        <w:br/>
        <w:t xml:space="preserve">    ▼</w:t>
        <w:br/>
        <w:t>[Ready — Main Application]</w:t>
      </w:r>
    </w:p>
    <w:p>
      <w:pPr>
        <w:pStyle w:val="Heading3"/>
        <w:rPr/>
      </w:pPr>
      <w:bookmarkStart w:id="313" w:name="__RefHeading___Toc7346_2150751134"/>
      <w:bookmarkEnd w:id="313"/>
      <w:r>
        <w:rPr>
          <w:rFonts w:ascii="Lato" w:hAnsi="Lato"/>
          <w:color w:val="172236"/>
          <w:sz w:val="21"/>
        </w:rPr>
        <w:t>12.2 Demo Mode Architecture</w:t>
      </w:r>
    </w:p>
    <w:p>
      <w:pPr>
        <w:pStyle w:val="Normal"/>
        <w:rPr/>
      </w:pPr>
      <w:r>
        <w:rPr>
          <w:color w:val="172236"/>
          <w:sz w:val="19"/>
        </w:rPr>
        <w:t>Demo mode allows full exploration without API keys. It is not a separate app — it is a degraded-capability mode that is transparent to the user.</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pub struct DemoMode {</w:t>
        <w:br/>
        <w:t xml:space="preserve">    /// Pre-recorded provider responses, replayed deterministically.</w:t>
        <w:br/>
        <w:t xml:space="preserve">    /// Recorded from CoinGecko demo endpoints with a known timestamp.</w:t>
        <w:br/>
        <w:t xml:space="preserve">    fixtures: FixtureStore,</w:t>
        <w:br/>
        <w:t xml:space="preserve">    /// The "simulation clock" — demo data appears to advance in real-time</w:t>
        <w:br/>
        <w:t xml:space="preserve">    /// but is actually replayed from recorded snapshots at 1-minute granularity.</w:t>
        <w:br/>
        <w:t xml:space="preserve">    sim_clock: DemoClock,</w:t>
        <w:br/>
        <w:t xml:space="preserve">    /// Watermark shown on all data: "DEMO — Data as of 2026-07-10"</w:t>
        <w:br/>
        <w:t xml:space="preserve">    watermark: DemoWatermark,</w:t>
        <w:br/>
        <w:t xml:space="preserve">    /// Features disabled in demo: live execution, real broker sync, alerts to SMS.</w:t>
        <w:br/>
        <w:t xml:space="preserve">    disabled_features: Vec&lt;FeatureGate&gt;,</w:t>
        <w:br/>
        <w:t>}</w:t>
      </w:r>
    </w:p>
    <w:p>
      <w:pPr>
        <w:pStyle w:val="Normal"/>
        <w:rPr/>
      </w:pPr>
      <w:r>
        <w:rPr>
          <w:b/>
          <w:color w:val="172236"/>
          <w:sz w:val="19"/>
        </w:rPr>
        <w:t>Demo mode rules:</w:t>
      </w:r>
    </w:p>
    <w:p>
      <w:pPr>
        <w:pStyle w:val="ListBullet"/>
        <w:numPr>
          <w:ilvl w:val="0"/>
          <w:numId w:val="1"/>
        </w:numPr>
        <w:rPr/>
      </w:pPr>
      <w:r>
        <w:rPr>
          <w:color w:val="172236"/>
          <w:sz w:val="18"/>
        </w:rPr>
        <w:t>Market data shows a watermark on every chart and table: "DEMO — Data as of [date]"</w:t>
      </w:r>
    </w:p>
    <w:p>
      <w:pPr>
        <w:pStyle w:val="ListBullet"/>
        <w:numPr>
          <w:ilvl w:val="0"/>
          <w:numId w:val="1"/>
        </w:numPr>
        <w:rPr/>
      </w:pPr>
      <w:r>
        <w:rPr>
          <w:color w:val="172236"/>
          <w:sz w:val="18"/>
        </w:rPr>
        <w:t>No data is older than 7 days at time of recording</w:t>
      </w:r>
    </w:p>
    <w:p>
      <w:pPr>
        <w:pStyle w:val="ListBullet"/>
        <w:numPr>
          <w:ilvl w:val="0"/>
          <w:numId w:val="1"/>
        </w:numPr>
        <w:rPr/>
      </w:pPr>
      <w:r>
        <w:rPr>
          <w:color w:val="172236"/>
          <w:sz w:val="18"/>
        </w:rPr>
        <w:t>Alerts fire against demo data but cannot deliver to SMS, email, or webhooks</w:t>
      </w:r>
    </w:p>
    <w:p>
      <w:pPr>
        <w:pStyle w:val="ListBullet"/>
        <w:numPr>
          <w:ilvl w:val="0"/>
          <w:numId w:val="1"/>
        </w:numPr>
        <w:rPr/>
      </w:pPr>
      <w:r>
        <w:rPr>
          <w:color w:val="172236"/>
          <w:sz w:val="18"/>
        </w:rPr>
        <w:t>Paper trading works fully against demo data</w:t>
      </w:r>
    </w:p>
    <w:p>
      <w:pPr>
        <w:pStyle w:val="ListBullet"/>
        <w:numPr>
          <w:ilvl w:val="0"/>
          <w:numId w:val="1"/>
        </w:numPr>
        <w:rPr/>
      </w:pPr>
      <w:r>
        <w:rPr>
          <w:color w:val="172236"/>
          <w:sz w:val="18"/>
        </w:rPr>
        <w:t>The user can enter real API keys at any time to transition out of demo mode seamlessly</w:t>
      </w:r>
    </w:p>
    <w:p>
      <w:pPr>
        <w:pStyle w:val="ListBullet"/>
        <w:numPr>
          <w:ilvl w:val="0"/>
          <w:numId w:val="1"/>
        </w:numPr>
        <w:rPr/>
      </w:pPr>
      <w:r>
        <w:rPr>
          <w:color w:val="172236"/>
          <w:sz w:val="18"/>
        </w:rPr>
        <w:t>No real credentials are ever stored during demo mode</w:t>
      </w:r>
    </w:p>
    <w:p>
      <w:pPr>
        <w:pStyle w:val="Heading3"/>
        <w:rPr/>
      </w:pPr>
      <w:bookmarkStart w:id="314" w:name="__RefHeading___Toc7348_2150751134"/>
      <w:bookmarkEnd w:id="314"/>
      <w:r>
        <w:rPr>
          <w:rFonts w:ascii="Lato" w:hAnsi="Lato"/>
          <w:color w:val="172236"/>
          <w:sz w:val="21"/>
        </w:rPr>
        <w:t>12.3 Suitability Profile Aggregate</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 Captured during first-run and editable in settings.</w:t>
        <w:br/>
        <w:t>/// Consumed by the scanner (filters out unsuitable strategies),</w:t>
        <w:br/>
        <w:t>/// the opportunity engine (ranks by user fit), and the compliance</w:t>
        <w:br/>
        <w:t>/// layer (gates features by jurisdiction and experience).</w:t>
        <w:br/>
        <w:t>pub struct SuitabilityProfile {</w:t>
        <w:br/>
        <w:t xml:space="preserve">    pub experience_level: ExperienceLevel,</w:t>
        <w:br/>
        <w:t xml:space="preserve">    pub risk_tolerance: RiskTolerance,</w:t>
        <w:br/>
        <w:t xml:space="preserve">    pub jurisdiction: Jurisdiction,</w:t>
        <w:br/>
        <w:t xml:space="preserve">    pub primary_interests: Vec&lt;AssetClass&gt;,</w:t>
        <w:br/>
        <w:t xml:space="preserve">    pub time_horizon: TimeHorizon,</w:t>
        <w:br/>
        <w:t xml:space="preserve">    pub acknowledged_disclosures: Vec&lt;DisclosureAcknowledgment&gt;,</w:t>
        <w:br/>
        <w:t xml:space="preserve">    pub created_at: OffsetDateTime,</w:t>
        <w:br/>
        <w:t xml:space="preserve">    pub updated_at: OffsetDateTime,</w:t>
        <w:br/>
        <w:t>}</w:t>
      </w:r>
    </w:p>
    <w:p>
      <w:pPr>
        <w:pStyle w:val="Heading1"/>
        <w:pBdr>
          <w:bottom w:val="single" w:sz="12" w:space="5" w:color="33C7F2"/>
        </w:pBdr>
        <w:rPr/>
      </w:pPr>
      <w:bookmarkStart w:id="315" w:name="__RefHeading___Toc7350_2150751134"/>
      <w:bookmarkEnd w:id="315"/>
      <w:r>
        <w:rPr>
          <w:rFonts w:ascii="Lato" w:hAnsi="Lato"/>
          <w:color w:val="172236"/>
          <w:sz w:val="42"/>
        </w:rPr>
        <w:t>Part V — Notification Service</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8B5CF6"/>
            </w:tcBorders>
            <w:shd w:fill="F2EDFF"/>
          </w:tcPr>
          <w:p>
            <w:pPr>
              <w:pStyle w:val="Normal"/>
              <w:spacing w:before="0" w:after="100"/>
              <w:rPr/>
            </w:pPr>
            <w:r>
              <w:rPr>
                <w:rFonts w:ascii="Inter Display" w:hAnsi="Inter Display"/>
                <w:b/>
                <w:color w:val="8B5CF6"/>
                <w:sz w:val="16"/>
              </w:rPr>
              <w:t xml:space="preserve">DESIGN PRINCIPLE  </w:t>
            </w:r>
            <w:r>
              <w:rPr>
                <w:color w:val="172236"/>
                <w:sz w:val="18"/>
              </w:rPr>
              <w:t>The v0.1 overview (§8.8) lists alert targets and delivery channels with no service architecture.</w:t>
            </w:r>
          </w:p>
        </w:tc>
      </w:tr>
    </w:tbl>
    <w:p>
      <w:pPr>
        <w:pStyle w:val="Normal"/>
        <w:spacing w:before="0" w:after="0"/>
        <w:rPr/>
      </w:pPr>
      <w:r>
        <w:rPr/>
      </w:r>
    </w:p>
    <w:p>
      <w:pPr>
        <w:pStyle w:val="Heading2"/>
        <w:pBdr>
          <w:left w:val="single" w:sz="14" w:space="4" w:color="8B5CF6"/>
        </w:pBdr>
        <w:rPr/>
      </w:pPr>
      <w:bookmarkStart w:id="316" w:name="__RefHeading___Toc7352_2150751134"/>
      <w:bookmarkEnd w:id="316"/>
      <w:r>
        <w:rPr>
          <w:rFonts w:ascii="Lato" w:hAnsi="Lato"/>
          <w:color w:val="172236"/>
          <w:sz w:val="29"/>
        </w:rPr>
        <w:t>13. Notification Service Design</w:t>
      </w:r>
    </w:p>
    <w:p>
      <w:pPr>
        <w:pStyle w:val="Normal"/>
        <w:spacing w:before="140" w:after="20"/>
        <w:jc w:val="center"/>
        <w:rPr/>
      </w:pPr>
      <w:r>
        <w:rPr/>
        <w:drawing>
          <wp:inline distT="0" distB="0" distL="0" distR="0">
            <wp:extent cx="6263640" cy="3077210"/>
            <wp:effectExtent l="0" t="0" r="0" b="0"/>
            <wp:docPr id="20" name="Picture 20" descr="Image: image20.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title=""/>
                    <pic:cNvPicPr>
                      <a:picLocks noChangeAspect="1" noChangeArrowheads="1"/>
                    </pic:cNvPicPr>
                  </pic:nvPicPr>
                  <pic:blipFill>
                    <a:blip r:embed="rId69"/>
                    <a:stretch>
                      <a:fillRect/>
                    </a:stretch>
                  </pic:blipFill>
                  <pic:spPr bwMode="auto">
                    <a:xfrm>
                      <a:off x="0" y="0"/>
                      <a:ext cx="6263640" cy="3077210"/>
                    </a:xfrm>
                    <a:prstGeom prst="rect">
                      <a:avLst/>
                    </a:prstGeom>
                    <a:noFill/>
                  </pic:spPr>
                </pic:pic>
              </a:graphicData>
            </a:graphic>
          </wp:inline>
        </w:drawing>
      </w:r>
    </w:p>
    <w:p>
      <w:pPr>
        <w:pStyle w:val="CaptionCustom"/>
        <w:rPr/>
      </w:pPr>
      <w:r>
        <w:rPr/>
        <w:t>Figure 11 - Notification pipeline with deduplication, attention governance, severity routing, and quiet-hour controls.</w:t>
      </w:r>
    </w:p>
    <w:p>
      <w:pPr>
        <w:pStyle w:val="Normal"/>
        <w:keepNext w:val="true"/>
        <w:pBdr>
          <w:left w:val="single" w:sz="18" w:space="4" w:color="8B5CF6"/>
        </w:pBdr>
        <w:shd w:fill="0D1C32"/>
        <w:spacing w:before="120" w:after="0"/>
        <w:rPr/>
      </w:pPr>
      <w:r>
        <w:rPr>
          <w:rFonts w:ascii="Inter Display" w:hAnsi="Inter Display"/>
          <w:b/>
          <w:color w:val="33C7F2"/>
          <w:sz w:val="14"/>
        </w:rPr>
        <w:t>CODE</w:t>
      </w:r>
    </w:p>
    <w:p>
      <w:pPr>
        <w:pStyle w:val="CodeBlock"/>
        <w:keepLines/>
        <w:pBdr>
          <w:left w:val="single" w:sz="18" w:space="4" w:color="8B5CF6"/>
        </w:pBdr>
        <w:shd w:fill="0D1C32"/>
        <w:spacing w:lineRule="auto" w:line="240" w:before="0" w:after="140"/>
        <w:rPr/>
      </w:pPr>
      <w:r>
        <w:rPr>
          <w:color w:val="D9E5F5"/>
          <w:sz w:val="14"/>
        </w:rPr>
        <w:t>┌─────────────────────────────────────────────────────────┐</w:t>
      </w:r>
      <w:r>
        <w:rPr>
          <w:color w:val="D9E5F5"/>
          <w:sz w:val="14"/>
        </w:rPr>
        <w:br/>
        <w:t>│                    Alert Rules                           │</w:t>
        <w:br/>
        <w:t>│  (Streaming evaluator + Scheduled evaluator)             │</w:t>
        <w:br/>
        <w:t>└──────────────────────────┬──────────────────────────────┘</w:t>
        <w:br/>
        <w:t xml:space="preserve">                           │ AlertFiring</w:t>
        <w:br/>
        <w:t xml:space="preserve">                           ▼</w:t>
        <w:br/>
        <w:t>┌─────────────────────────────────────────────────────────┐</w:t>
        <w:br/>
        <w:t>│                  Dedup Window                            │</w:t>
        <w:br/>
        <w:t>│  Key = (rule_id, entity, direction, severity)            │</w:t>
        <w:br/>
        <w:t>│  If duplicate within window → suppress                   │</w:t>
        <w:br/>
        <w:t>│  If same entity, higher severity → escalate              │</w:t>
        <w:br/>
        <w:t>└──────────────────────────┬──────────────────────────────┘</w:t>
        <w:br/>
        <w:t xml:space="preserve">                           │ Unique AlertFiring</w:t>
        <w:br/>
        <w:t xml:space="preserve">                           ▼</w:t>
        <w:br/>
        <w:t>┌─────────────────────────────────────────────────────────┐</w:t>
        <w:br/>
        <w:t>│                Attention Governor                        │</w:t>
        <w:br/>
        <w:t>│  Prioritizes based on: portfolio exposure, watchlist     │</w:t>
        <w:br/>
        <w:t>│  relevance, strategy fit, event proximity, severity,     │</w:t>
        <w:br/>
        <w:t>│  novelty, historical usefulness.                         │</w:t>
        <w:br/>
        <w:t>│  Limits repeated low-value alerts.                       │</w:t>
        <w:br/>
        <w:t>└──────────────────────────┬──────────────────────────────┘</w:t>
        <w:br/>
        <w:t xml:space="preserve">                           │ Governed AlertFiring</w:t>
        <w:br/>
        <w:t xml:space="preserve">                           ▼</w:t>
        <w:br/>
        <w:t>┌─────────────────────────────────────────────────────────┐</w:t>
        <w:br/>
        <w:t>│                  Delivery Router                         │</w:t>
        <w:br/>
        <w:t>│  Routes to user-preferred channels by severity and time. │</w:t>
        <w:br/>
        <w:t>│  Quiet hours suppress non-critical.                      │</w:t>
        <w:br/>
        <w:t>│  Critical alerts bypass quiet hours.                     │</w:t>
        <w:br/>
        <w:t>└──────┬──────┬──────┬──────┬──────┬──────┬──────┬────────┘</w:t>
        <w:br/>
        <w:t xml:space="preserve">       │      │      │      │      │      │      │</w:t>
        <w:br/>
        <w:t xml:space="preserve">       ▼      ▼      ▼      ▼      ▼      ▼      ▼</w:t>
        <w:br/>
        <w:t xml:space="preserve">    Desktop  Mobile  Email  SMS   Webhook Slack  PagerDuty</w:t>
        <w:br/>
        <w:t xml:space="preserve">    Toast   Push                    /Teams</w:t>
      </w:r>
    </w:p>
    <w:p>
      <w:pPr>
        <w:pStyle w:val="Heading3"/>
        <w:rPr/>
      </w:pPr>
      <w:bookmarkStart w:id="317" w:name="__RefHeading___Toc7354_2150751134"/>
      <w:bookmarkEnd w:id="317"/>
      <w:r>
        <w:rPr>
          <w:rFonts w:ascii="Lato" w:hAnsi="Lato"/>
          <w:color w:val="172236"/>
          <w:sz w:val="21"/>
        </w:rPr>
        <w:t>13.1 Delivery Channel Abstraction</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#[async_trait::async_trait]</w:t>
        <w:br/>
        <w:t>pub trait DeliveryChannel: Send + Sync {</w:t>
        <w:br/>
        <w:t xml:space="preserve">    fn channel_id(&amp;self) -&gt; ChannelId;</w:t>
        <w:br/>
        <w:t xml:space="preserve">    fn min_severity(&amp;self) -&gt; AlertSeverity;</w:t>
        <w:br/>
        <w:br/>
        <w:t xml:space="preserve">    async fn deliver(</w:t>
        <w:br/>
        <w:t xml:space="preserve">        &amp;self,</w:t>
        <w:br/>
        <w:t xml:space="preserve">        alert: &amp;AlertFiring,</w:t>
        <w:br/>
        <w:t xml:space="preserve">        user_prefs: &amp;NotificationPreferences,</w:t>
        <w:br/>
        <w:t xml:space="preserve">    ) -&gt; Result&lt;DeliveryReceipt, DeliveryError&gt;;</w:t>
        <w:br/>
        <w:br/>
        <w:t xml:space="preserve">    /// Whether this channel is available (has credentials, is connected).</w:t>
        <w:br/>
        <w:t xml:space="preserve">    async fn is_available(&amp;self) -&gt; bool;</w:t>
        <w:br/>
        <w:t>}</w:t>
      </w:r>
    </w:p>
    <w:p>
      <w:pPr>
        <w:pStyle w:val="Heading3"/>
        <w:rPr/>
      </w:pPr>
      <w:bookmarkStart w:id="318" w:name="__RefHeading___Toc7356_2150751134"/>
      <w:bookmarkEnd w:id="318"/>
      <w:r>
        <w:rPr>
          <w:rFonts w:ascii="Lato" w:hAnsi="Lato"/>
          <w:color w:val="172236"/>
          <w:sz w:val="21"/>
        </w:rPr>
        <w:t>13.2 Dedup and Escalation</w:t>
      </w:r>
    </w:p>
    <w:tbl>
      <w:tblPr>
        <w:tblW w:w="10310"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5155"/>
        <w:gridCol w:w="5154"/>
      </w:tblGrid>
      <w:tr>
        <w:trPr>
          <w:tblHeader w:val="true"/>
          <w:cantSplit/>
        </w:trPr>
        <w:tc>
          <w:tcPr>
            <w:tcW w:w="5155"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Scenario</w:t>
            </w:r>
          </w:p>
        </w:tc>
        <w:tc>
          <w:tcPr>
            <w:tcW w:w="5154"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Action</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Same rule fires for same entity within dedup window</w:t>
            </w:r>
          </w:p>
        </w:tc>
        <w:tc>
          <w:tcPr>
            <w:tcW w:w="5154"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Suppress (count incremented on original)</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Same entity, higher severity than existing alert</w:t>
            </w:r>
          </w:p>
        </w:tc>
        <w:tc>
          <w:tcPr>
            <w:tcW w:w="5154"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Escalate (replace original, notify)</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Rule fires for entity already alerted → condition clears → refires</w:t>
            </w:r>
          </w:p>
        </w:tc>
        <w:tc>
          <w:tcPr>
            <w:tcW w:w="5154"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New alert (dedup window reset on clear)</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User dismisses alert; condition persists</w:t>
            </w:r>
          </w:p>
        </w:tc>
        <w:tc>
          <w:tcPr>
            <w:tcW w:w="5154"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Snooze for user-set duration, then re-fire if still active</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User disables rule</w:t>
            </w:r>
          </w:p>
        </w:tc>
        <w:tc>
          <w:tcPr>
            <w:tcW w:w="5154"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No alerts fire; rule state preserved for re-enable</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Quiet hours active, severity &lt; Critical</w:t>
            </w:r>
          </w:p>
        </w:tc>
        <w:tc>
          <w:tcPr>
            <w:tcW w:w="5154"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Queue for delivery at quiet-hours end</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Quiet hours active, severity = Critical</w:t>
            </w:r>
          </w:p>
        </w:tc>
        <w:tc>
          <w:tcPr>
            <w:tcW w:w="5154"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Deliver immediately, bypass quiet hours</w:t>
            </w:r>
          </w:p>
        </w:tc>
      </w:tr>
    </w:tbl>
    <w:p>
      <w:pPr>
        <w:pStyle w:val="Normal"/>
        <w:spacing w:before="0" w:after="0"/>
        <w:rPr/>
      </w:pPr>
      <w:r>
        <w:rPr/>
      </w:r>
    </w:p>
    <w:p>
      <w:pPr>
        <w:pStyle w:val="Heading1"/>
        <w:pBdr>
          <w:bottom w:val="single" w:sz="12" w:space="5" w:color="33C7F2"/>
        </w:pBdr>
        <w:rPr/>
      </w:pPr>
      <w:bookmarkStart w:id="319" w:name="__RefHeading___Toc7358_2150751134"/>
      <w:bookmarkEnd w:id="319"/>
      <w:r>
        <w:rPr>
          <w:rFonts w:ascii="Lato" w:hAnsi="Lato"/>
          <w:color w:val="172236"/>
          <w:sz w:val="42"/>
        </w:rPr>
        <w:t>Part VI — Compliance Architecture</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8B5CF6"/>
            </w:tcBorders>
            <w:shd w:fill="F2EDFF"/>
          </w:tcPr>
          <w:p>
            <w:pPr>
              <w:pStyle w:val="Normal"/>
              <w:spacing w:before="0" w:after="100"/>
              <w:rPr/>
            </w:pPr>
            <w:r>
              <w:rPr>
                <w:rFonts w:ascii="Inter Display" w:hAnsi="Inter Display"/>
                <w:b/>
                <w:color w:val="8B5CF6"/>
                <w:sz w:val="16"/>
              </w:rPr>
              <w:t xml:space="preserve">DESIGN PRINCIPLE  </w:t>
            </w:r>
            <w:r>
              <w:rPr>
                <w:color w:val="172236"/>
                <w:sz w:val="18"/>
              </w:rPr>
              <w:t>The v0.1 overview (§35.10) treats compliance as legal review. This makes it architecture.</w:t>
            </w:r>
          </w:p>
        </w:tc>
      </w:tr>
    </w:tbl>
    <w:p>
      <w:pPr>
        <w:pStyle w:val="Normal"/>
        <w:spacing w:before="0" w:after="0"/>
        <w:rPr/>
      </w:pPr>
      <w:r>
        <w:rPr/>
      </w:r>
    </w:p>
    <w:p>
      <w:pPr>
        <w:pStyle w:val="Heading2"/>
        <w:pBdr>
          <w:left w:val="single" w:sz="14" w:space="4" w:color="8B5CF6"/>
        </w:pBdr>
        <w:rPr/>
      </w:pPr>
      <w:bookmarkStart w:id="320" w:name="__RefHeading___Toc7360_2150751134"/>
      <w:bookmarkEnd w:id="320"/>
      <w:r>
        <w:rPr>
          <w:rFonts w:ascii="Lato" w:hAnsi="Lato"/>
          <w:color w:val="172236"/>
          <w:sz w:val="29"/>
        </w:rPr>
        <w:t>14. Jurisdiction Gating</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 Determined at first-run and verified periodically via IP check</w:t>
        <w:br/>
        <w:t>/// (server-side for cloud deployments) or self-declaration (desktop).</w:t>
        <w:br/>
        <w:t>/// Gates features that are legally restricted by jurisdiction.</w:t>
        <w:br/>
        <w:t>pub struct JurisdictionGate {</w:t>
        <w:br/>
        <w:t xml:space="preserve">    pub jurisdiction: Jurisdiction,</w:t>
        <w:br/>
        <w:t xml:space="preserve">    pub feature_overrides: HashMap&lt;FeatureId, FeatureState&gt;,</w:t>
        <w:br/>
        <w:t xml:space="preserve">    pub last_verified: OffsetDateTime,</w:t>
        <w:br/>
        <w:t>}</w:t>
        <w:br/>
        <w:br/>
        <w:t>pub enum FeatureState {</w:t>
        <w:br/>
        <w:t xml:space="preserve">    Enabled,</w:t>
        <w:br/>
        <w:t xml:space="preserve">    Disabled { reason: String },</w:t>
        <w:br/>
        <w:t xml:space="preserve">    RequiresDisclosure { disclosure_id: DisclosureId },</w:t>
        <w:br/>
        <w:t>}</w:t>
      </w:r>
    </w:p>
    <w:p>
      <w:pPr>
        <w:pStyle w:val="Normal"/>
        <w:rPr/>
      </w:pPr>
      <w:r>
        <w:rPr>
          <w:b/>
          <w:color w:val="172236"/>
          <w:sz w:val="19"/>
        </w:rPr>
        <w:t>Example gating rules:</w:t>
      </w:r>
    </w:p>
    <w:tbl>
      <w:tblPr>
        <w:tblW w:w="10310"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2062"/>
        <w:gridCol w:w="2062"/>
        <w:gridCol w:w="2062"/>
        <w:gridCol w:w="2062"/>
        <w:gridCol w:w="2062"/>
      </w:tblGrid>
      <w:tr>
        <w:trPr>
          <w:tblHeader w:val="true"/>
          <w:cantSplit/>
        </w:trPr>
        <w:tc>
          <w:tcPr>
            <w:tcW w:w="2062"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Feature</w:t>
            </w:r>
          </w:p>
        </w:tc>
        <w:tc>
          <w:tcPr>
            <w:tcW w:w="2062"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US</w:t>
            </w:r>
          </w:p>
        </w:tc>
        <w:tc>
          <w:tcPr>
            <w:tcW w:w="2062"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EU</w:t>
            </w:r>
          </w:p>
        </w:tc>
        <w:tc>
          <w:tcPr>
            <w:tcW w:w="2062"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UK</w:t>
            </w:r>
          </w:p>
        </w:tc>
        <w:tc>
          <w:tcPr>
            <w:tcW w:w="2062"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Restricted jurisdictions</w:t>
            </w:r>
          </w:p>
        </w:tc>
      </w:tr>
      <w:tr>
        <w:trPr>
          <w:cantSplit/>
        </w:trPr>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Crypto market data</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Enabled</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Enabled</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Enabled</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Disabled if under OFAC sanctions</w:t>
            </w:r>
          </w:p>
        </w:tc>
      </w:tr>
      <w:tr>
        <w:trPr>
          <w:cantSplit/>
        </w:trPr>
        <w:tc>
          <w:tcPr>
            <w:tcW w:w="2062"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Options flow</w:t>
            </w:r>
          </w:p>
        </w:tc>
        <w:tc>
          <w:tcPr>
            <w:tcW w:w="2062"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Enabled</w:t>
            </w:r>
          </w:p>
        </w:tc>
        <w:tc>
          <w:tcPr>
            <w:tcW w:w="2062"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Requires disclosure</w:t>
            </w:r>
          </w:p>
        </w:tc>
        <w:tc>
          <w:tcPr>
            <w:tcW w:w="2062"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Requires disclosure</w:t>
            </w:r>
          </w:p>
        </w:tc>
        <w:tc>
          <w:tcPr>
            <w:tcW w:w="2062"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Disabled</w:t>
            </w:r>
          </w:p>
        </w:tc>
      </w:tr>
      <w:tr>
        <w:trPr>
          <w:cantSplit/>
        </w:trPr>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Congressional trading data</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Enabled</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Disabled (data licensing)</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Disabled</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Disabled</w:t>
            </w:r>
          </w:p>
        </w:tc>
      </w:tr>
      <w:tr>
        <w:trPr>
          <w:cantSplit/>
        </w:trPr>
        <w:tc>
          <w:tcPr>
            <w:tcW w:w="2062"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Live broker execution</w:t>
            </w:r>
          </w:p>
        </w:tc>
        <w:tc>
          <w:tcPr>
            <w:tcW w:w="2062"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Enabled (US brokers)</w:t>
            </w:r>
          </w:p>
        </w:tc>
        <w:tc>
          <w:tcPr>
            <w:tcW w:w="2062"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Enabled (EU brokers)</w:t>
            </w:r>
          </w:p>
        </w:tc>
        <w:tc>
          <w:tcPr>
            <w:tcW w:w="2062"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Enabled (UK brokers)</w:t>
            </w:r>
          </w:p>
        </w:tc>
        <w:tc>
          <w:tcPr>
            <w:tcW w:w="2062"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Disabled</w:t>
            </w:r>
          </w:p>
        </w:tc>
      </w:tr>
      <w:tr>
        <w:trPr>
          <w:cantSplit/>
        </w:trPr>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AI investment analysis</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Requires disclaimer</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Requires MiDIS disclaimer</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Requires FCA disclaimer</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Disabled</w:t>
            </w:r>
          </w:p>
        </w:tc>
      </w:tr>
    </w:tbl>
    <w:p>
      <w:pPr>
        <w:pStyle w:val="Normal"/>
        <w:spacing w:before="0" w:after="0"/>
        <w:rPr/>
      </w:pPr>
      <w:r>
        <w:rPr/>
      </w:r>
    </w:p>
    <w:p>
      <w:pPr>
        <w:pStyle w:val="Heading2"/>
        <w:pBdr>
          <w:left w:val="single" w:sz="14" w:space="4" w:color="8B5CF6"/>
        </w:pBdr>
        <w:rPr/>
      </w:pPr>
      <w:bookmarkStart w:id="321" w:name="__RefHeading___Toc7362_2150751134"/>
      <w:bookmarkEnd w:id="321"/>
      <w:r>
        <w:rPr>
          <w:rFonts w:ascii="Lato" w:hAnsi="Lato"/>
          <w:color w:val="172236"/>
          <w:sz w:val="29"/>
        </w:rPr>
        <w:t>15. Disclosure Registry</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 Every disclosure in the system is registered with an ID,</w:t>
        <w:br/>
        <w:t>/// context (where it appears), text, and version. When a</w:t>
        <w:br/>
        <w:t>/// disclosure is shown to a user, an audit event records it.</w:t>
        <w:br/>
        <w:t>pub struct Disclosure {</w:t>
        <w:br/>
        <w:t xml:space="preserve">    pub id: DisclosureId,</w:t>
        <w:br/>
        <w:t xml:space="preserve">    pub context: DisclosureContext,  // Onboarding | OpportunityCard | RiskPanel | AIResponse | ...</w:t>
        <w:br/>
        <w:t xml:space="preserve">    pub text: DisclosureText,</w:t>
        <w:br/>
        <w:t xml:space="preserve">    pub version: SemanticVersion,</w:t>
        <w:br/>
        <w:t xml:space="preserve">    pub jurisdiction: Option&lt;Jurisdiction&gt;,  // None = all jurisdictions</w:t>
        <w:br/>
        <w:t xml:space="preserve">    pub required_acknowledgment: bool,</w:t>
        <w:br/>
        <w:t>}</w:t>
        <w:br/>
        <w:br/>
        <w:t>/// When a disclosure is rendered, this event is emitted.</w:t>
        <w:br/>
        <w:t>/// It proves the user saw the disclosure for audit and compliance.</w:t>
        <w:br/>
        <w:t>pub struct DisclosureShownEvent {</w:t>
        <w:br/>
        <w:t xml:space="preserve">    pub disclosure_id: DisclosureId,</w:t>
        <w:br/>
        <w:t xml:space="preserve">    pub user_id: UserId,</w:t>
        <w:br/>
        <w:t xml:space="preserve">    pub shown_at: OffsetDateTime,</w:t>
        <w:br/>
        <w:t xml:space="preserve">    pub context: DisclosureContext,</w:t>
        <w:br/>
        <w:t xml:space="preserve">    pub acknowledged: bool,</w:t>
        <w:br/>
        <w:t>}</w:t>
      </w:r>
    </w:p>
    <w:p>
      <w:pPr>
        <w:pStyle w:val="Heading1"/>
        <w:pBdr>
          <w:bottom w:val="single" w:sz="12" w:space="5" w:color="33C7F2"/>
        </w:pBdr>
        <w:rPr/>
      </w:pPr>
      <w:bookmarkStart w:id="322" w:name="__RefHeading___Toc7364_2150751134"/>
      <w:bookmarkEnd w:id="322"/>
      <w:r>
        <w:rPr>
          <w:rFonts w:ascii="Lato" w:hAnsi="Lato"/>
          <w:color w:val="172236"/>
          <w:sz w:val="42"/>
        </w:rPr>
        <w:t>Part VII — Model Serving and Feature Store</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8B5CF6"/>
            </w:tcBorders>
            <w:shd w:fill="F2EDFF"/>
          </w:tcPr>
          <w:p>
            <w:pPr>
              <w:pStyle w:val="Normal"/>
              <w:spacing w:before="0" w:after="100"/>
              <w:rPr/>
            </w:pPr>
            <w:r>
              <w:rPr>
                <w:rFonts w:ascii="Inter Display" w:hAnsi="Inter Display"/>
                <w:b/>
                <w:color w:val="8B5CF6"/>
                <w:sz w:val="16"/>
              </w:rPr>
              <w:t xml:space="preserve">DESIGN PRINCIPLE  </w:t>
            </w:r>
            <w:r>
              <w:rPr>
                <w:color w:val="172236"/>
                <w:sz w:val="18"/>
              </w:rPr>
              <w:t>The v0.1 overview (§12) thoroughly covers model governance but has no runtime serving or feature store architecture.</w:t>
            </w:r>
          </w:p>
        </w:tc>
      </w:tr>
    </w:tbl>
    <w:p>
      <w:pPr>
        <w:pStyle w:val="Normal"/>
        <w:spacing w:before="0" w:after="0"/>
        <w:rPr/>
      </w:pPr>
      <w:r>
        <w:rPr/>
      </w:r>
    </w:p>
    <w:p>
      <w:pPr>
        <w:pStyle w:val="Heading2"/>
        <w:pBdr>
          <w:left w:val="single" w:sz="14" w:space="4" w:color="8B5CF6"/>
        </w:pBdr>
        <w:rPr/>
      </w:pPr>
      <w:bookmarkStart w:id="323" w:name="__RefHeading___Toc7366_2150751134"/>
      <w:bookmarkEnd w:id="323"/>
      <w:r>
        <w:rPr>
          <w:rFonts w:ascii="Lato" w:hAnsi="Lato"/>
          <w:color w:val="172236"/>
          <w:sz w:val="29"/>
        </w:rPr>
        <w:t>16. Feature Store</w:t>
      </w:r>
    </w:p>
    <w:p>
      <w:pPr>
        <w:pStyle w:val="Normal"/>
        <w:rPr/>
      </w:pPr>
      <w:r>
        <w:rPr>
          <w:color w:val="172236"/>
          <w:sz w:val="19"/>
        </w:rPr>
        <w:t xml:space="preserve">The single most important property of a feature store for a trading platform is </w:t>
      </w:r>
      <w:r>
        <w:rPr>
          <w:b/>
          <w:color w:val="172236"/>
          <w:sz w:val="19"/>
        </w:rPr>
        <w:t>point-in-time correctness</w:t>
      </w:r>
      <w:r>
        <w:rPr>
          <w:color w:val="172236"/>
          <w:sz w:val="19"/>
        </w:rPr>
        <w:t xml:space="preserve"> — a feature value used in training or inference must reflect exactly what was known at that timestamp, with no look-ahead.</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 Point-in-time feature query. Returns the feature value as it</w:t>
        <w:br/>
        <w:t>/// existed at `as_of`, not the current value. This is the</w:t>
        <w:br/>
        <w:t>/// mechanism that prevents look-ahead bias in backtests and</w:t>
        <w:br/>
        <w:t>/// ensures reproducibility in live inference.</w:t>
        <w:br/>
        <w:t>pub struct FeatureQuery {</w:t>
        <w:br/>
        <w:t xml:space="preserve">    pub feature_view: FeatureViewId,</w:t>
        <w:br/>
        <w:t xml:space="preserve">    pub entity_keys: Vec&lt;EntityKey&gt;,</w:t>
        <w:br/>
        <w:t xml:space="preserve">    pub as_of: OffsetDateTime,        // the point in time</w:t>
        <w:br/>
        <w:t xml:space="preserve">    pub feature_names: Vec&lt;String&gt;,    // which features to return</w:t>
        <w:br/>
        <w:t>}</w:t>
        <w:br/>
        <w:br/>
        <w:t>pub struct FeatureView {</w:t>
        <w:br/>
        <w:t xml:space="preserve">    pub id: FeatureViewId,</w:t>
        <w:br/>
        <w:t xml:space="preserve">    pub entities: Vec&lt;EntityKeySchema&gt;,</w:t>
        <w:br/>
        <w:t xml:space="preserve">    pub features: Vec&lt;FeatureSchema&gt;,</w:t>
        <w:br/>
        <w:t xml:space="preserve">    pub online_store: OnlineStore,    // SQLite (desktop) / Redis (enterprise)</w:t>
        <w:br/>
        <w:t xml:space="preserve">    pub offline_store: OfflineStore,  // Parquet/DuckDB</w:t>
        <w:br/>
        <w:t xml:space="preserve">    pub materialization: MaterializationSchedule,</w:t>
        <w:br/>
        <w:t xml:space="preserve">    pub version: SemanticVersion,</w:t>
        <w:br/>
        <w:t>}</w:t>
      </w:r>
    </w:p>
    <w:p>
      <w:pPr>
        <w:pStyle w:val="Heading3"/>
        <w:rPr/>
      </w:pPr>
      <w:bookmarkStart w:id="324" w:name="__RefHeading___Toc7368_2150751134"/>
      <w:bookmarkEnd w:id="324"/>
      <w:r>
        <w:rPr>
          <w:rFonts w:ascii="Lato" w:hAnsi="Lato"/>
          <w:color w:val="172236"/>
          <w:sz w:val="21"/>
        </w:rPr>
        <w:t>16.1 Online vs Offline Serving</w:t>
      </w:r>
    </w:p>
    <w:tbl>
      <w:tblPr>
        <w:tblW w:w="10308"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2577"/>
        <w:gridCol w:w="2577"/>
        <w:gridCol w:w="2577"/>
        <w:gridCol w:w="2576"/>
      </w:tblGrid>
      <w:tr>
        <w:trPr>
          <w:tblHeader w:val="true"/>
          <w:cantSplit/>
        </w:trPr>
        <w:tc>
          <w:tcPr>
            <w:tcW w:w="257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Store</w:t>
            </w:r>
          </w:p>
        </w:tc>
        <w:tc>
          <w:tcPr>
            <w:tcW w:w="257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Used By</w:t>
            </w:r>
          </w:p>
        </w:tc>
        <w:tc>
          <w:tcPr>
            <w:tcW w:w="2577"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Latency Target</w:t>
            </w:r>
          </w:p>
        </w:tc>
        <w:tc>
          <w:tcPr>
            <w:tcW w:w="2576"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Data</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Online (SQLite / Redis)</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Live inference, streaming alerts, real-time scoring</w:t>
            </w:r>
          </w:p>
        </w:tc>
        <w:tc>
          <w:tcPr>
            <w:tcW w:w="2577"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 xml:space="preserve">≤ </w:t>
            </w:r>
            <w:r>
              <w:rPr>
                <w:color w:val="172236"/>
                <w:sz w:val="14"/>
              </w:rPr>
              <w:t>5ms</w:t>
            </w:r>
          </w:p>
        </w:tc>
        <w:tc>
          <w:tcPr>
            <w:tcW w:w="2576"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Latest feature values, ~7 day window</w:t>
            </w:r>
          </w:p>
        </w:tc>
      </w:tr>
      <w:tr>
        <w:trPr>
          <w:cantSplit/>
        </w:trPr>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Offline (Parquet / DuckDB)</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Backtest, model training, batch research</w:t>
            </w:r>
          </w:p>
        </w:tc>
        <w:tc>
          <w:tcPr>
            <w:tcW w:w="2577"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Seconds acceptable</w:t>
            </w:r>
          </w:p>
        </w:tc>
        <w:tc>
          <w:tcPr>
            <w:tcW w:w="2576"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Full history, point-in-time queryable</w:t>
            </w:r>
          </w:p>
        </w:tc>
      </w:tr>
    </w:tbl>
    <w:p>
      <w:pPr>
        <w:pStyle w:val="Normal"/>
        <w:spacing w:before="0" w:after="0"/>
        <w:rPr/>
      </w:pPr>
      <w:r>
        <w:rPr/>
      </w:r>
    </w:p>
    <w:p>
      <w:pPr>
        <w:pStyle w:val="Heading3"/>
        <w:rPr/>
      </w:pPr>
      <w:bookmarkStart w:id="325" w:name="__RefHeading___Toc7370_2150751134"/>
      <w:bookmarkEnd w:id="325"/>
      <w:r>
        <w:rPr>
          <w:rFonts w:ascii="Lato" w:hAnsi="Lato"/>
          <w:color w:val="172236"/>
          <w:sz w:val="21"/>
        </w:rPr>
        <w:t>16.2 Materialization</w:t>
      </w:r>
    </w:p>
    <w:p>
      <w:pPr>
        <w:pStyle w:val="Normal"/>
        <w:rPr/>
      </w:pPr>
      <w:r>
        <w:rPr>
          <w:color w:val="172236"/>
          <w:sz w:val="19"/>
        </w:rPr>
        <w:t>Features are computed by pipeline tasks (Part II) and written to both stores. The online store retains only the latest value per entity. The offline store retains the full time-series with lineage.</w:t>
      </w:r>
    </w:p>
    <w:p>
      <w:pPr>
        <w:pStyle w:val="Heading2"/>
        <w:pBdr>
          <w:left w:val="single" w:sz="14" w:space="4" w:color="8B5CF6"/>
        </w:pBdr>
        <w:rPr/>
      </w:pPr>
      <w:bookmarkStart w:id="326" w:name="__RefHeading___Toc7372_2150751134"/>
      <w:bookmarkEnd w:id="326"/>
      <w:r>
        <w:rPr>
          <w:rFonts w:ascii="Lato" w:hAnsi="Lato"/>
          <w:color w:val="172236"/>
          <w:sz w:val="29"/>
        </w:rPr>
        <w:t>17. Model Serving</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pBdr>
          <w:left w:val="single" w:sz="18" w:space="4" w:color="8B5CF6"/>
        </w:pBdr>
        <w:shd w:fill="0D1C32"/>
        <w:spacing w:lineRule="auto" w:line="240" w:before="0" w:after="140"/>
        <w:rPr/>
      </w:pPr>
      <w:r>
        <w:rPr>
          <w:color w:val="D9E5F5"/>
          <w:sz w:val="14"/>
        </w:rPr>
        <w:t>/// A registered model in the model registry.</w:t>
        <w:br/>
        <w:t>pub struct ModelArtifact {</w:t>
        <w:br/>
        <w:t xml:space="preserve">    pub id: ModelId,</w:t>
        <w:br/>
        <w:t xml:space="preserve">    pub name: String,</w:t>
        <w:br/>
        <w:t xml:space="preserve">    pub version: SemanticVersion,</w:t>
        <w:br/>
        <w:t xml:space="preserve">    pub artifact_uri: String,          // local path or object storage</w:t>
        <w:br/>
        <w:t xml:space="preserve">    pub content_hash: ContentHash,</w:t>
        <w:br/>
        <w:t xml:space="preserve">    pub signature: ModelSignature,     // input/output schema</w:t>
        <w:br/>
        <w:t xml:space="preserve">    pub runtime: ModelRuntime,         // Onnx | LlamaCpp | CloudApi</w:t>
        <w:br/>
        <w:t xml:space="preserve">    pub owner: UserId,</w:t>
        <w:br/>
        <w:t xml:space="preserve">    pub validation_report: ValidationReportId,</w:t>
        <w:br/>
        <w:t xml:space="preserve">    pub calibration_report: Option&lt;CalibrationReportId&gt;,</w:t>
        <w:br/>
        <w:t xml:space="preserve">    pub status: ModelStatus,           // Draft | Validated | Promoted | Retired</w:t>
        <w:br/>
        <w:t>}</w:t>
        <w:br/>
        <w:br/>
        <w:t>/// Inference trait. The runtime binds the model version to every</w:t>
        <w:br/>
        <w:t>/// prediction so that v0.1 §12.4's "model version" requirement</w:t>
        <w:br/>
        <w:t>/// is enforced structurally.</w:t>
        <w:br/>
        <w:t>#[async_trait::async_trait]</w:t>
        <w:br/>
        <w:t>pub trait ModelRuntime: Send + Sync {</w:t>
        <w:br/>
        <w:t xml:space="preserve">    async fn predict(</w:t>
        <w:br/>
        <w:t xml:space="preserve">        &amp;self,</w:t>
        <w:br/>
        <w:t xml:space="preserve">        features: FeatureSet,</w:t>
        <w:br/>
        <w:t xml:space="preserve">    ) -&gt; Result&lt;Prediction, ModelError&gt;;</w:t>
        <w:br/>
        <w:br/>
        <w:t xml:space="preserve">    /// Metadata bound to every prediction for audit and reproducibility.</w:t>
        <w:br/>
        <w:t xml:space="preserve">    fn metadata(&amp;self) -&gt; ModelMetadata;</w:t>
        <w:br/>
        <w:t>}</w:t>
        <w:br/>
        <w:br/>
        <w:t>pub struct Prediction {</w:t>
        <w:br/>
        <w:t xml:space="preserve">    pub model_id: ModelId,</w:t>
        <w:br/>
        <w:t xml:space="preserve">    pub model_version: SemanticVersion,</w:t>
        <w:br/>
        <w:t xml:space="preserve">    pub value: PredictionValue,         // Distribution | Probability | Ranking</w:t>
        <w:br/>
        <w:t xml:space="preserve">    pub confidence_interval: Option&lt;Interval&gt;,</w:t>
        <w:br/>
        <w:t xml:space="preserve">    pub feature_contributions: Vec&lt;FeatureContribution&gt;,  // explainability</w:t>
        <w:br/>
        <w:t xml:space="preserve">    pub training_window: DateRange,</w:t>
        <w:br/>
        <w:t xml:space="preserve">    pub drift_status: DriftStatus,</w:t>
        <w:br/>
        <w:t xml:space="preserve">    pub predicted_at: OffsetDateTime,</w:t>
        <w:br/>
        <w:t>}</w:t>
      </w:r>
    </w:p>
    <w:p>
      <w:pPr>
        <w:pStyle w:val="Heading1"/>
        <w:pBdr>
          <w:bottom w:val="single" w:sz="12" w:space="5" w:color="33C7F2"/>
        </w:pBdr>
        <w:rPr/>
      </w:pPr>
      <w:bookmarkStart w:id="327" w:name="__RefHeading___Toc7374_2150751134"/>
      <w:bookmarkEnd w:id="327"/>
      <w:r>
        <w:rPr>
          <w:rFonts w:ascii="Lato" w:hAnsi="Lato"/>
          <w:color w:val="172236"/>
          <w:sz w:val="42"/>
        </w:rPr>
        <w:t>Part VIII — Reproducibility Manifest Schema</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8B5CF6"/>
            </w:tcBorders>
            <w:shd w:fill="F2EDFF"/>
          </w:tcPr>
          <w:p>
            <w:pPr>
              <w:pStyle w:val="Normal"/>
              <w:spacing w:before="0" w:after="100"/>
              <w:rPr/>
            </w:pPr>
            <w:r>
              <w:rPr>
                <w:rFonts w:ascii="Inter Display" w:hAnsi="Inter Display"/>
                <w:b/>
                <w:color w:val="8B5CF6"/>
                <w:sz w:val="16"/>
              </w:rPr>
              <w:t xml:space="preserve">DESIGN PRINCIPLE  </w:t>
            </w:r>
            <w:r>
              <w:rPr>
                <w:color w:val="172236"/>
                <w:sz w:val="18"/>
              </w:rPr>
              <w:t>The v0.1 overview mandates "signed result manifests" in sections 4.7, 11, 37.5, and Phase 4 exit criteria, but never defines the format.</w:t>
            </w:r>
          </w:p>
        </w:tc>
      </w:tr>
    </w:tbl>
    <w:p>
      <w:pPr>
        <w:pStyle w:val="Normal"/>
        <w:spacing w:before="0" w:after="0"/>
        <w:rPr/>
      </w:pPr>
      <w:r>
        <w:rPr/>
      </w:r>
    </w:p>
    <w:p>
      <w:pPr>
        <w:pStyle w:val="Heading2"/>
        <w:pBdr>
          <w:left w:val="single" w:sz="14" w:space="4" w:color="8B5CF6"/>
        </w:pBdr>
        <w:rPr/>
      </w:pPr>
      <w:bookmarkStart w:id="328" w:name="__RefHeading___Toc7376_2150751134"/>
      <w:bookmarkEnd w:id="328"/>
      <w:r>
        <w:rPr>
          <w:rFonts w:ascii="Lato" w:hAnsi="Lato"/>
          <w:color w:val="172236"/>
          <w:sz w:val="29"/>
        </w:rPr>
        <w:t>18. Manifest Schema</w:t>
      </w:r>
    </w:p>
    <w:p>
      <w:pPr>
        <w:pStyle w:val="Normal"/>
        <w:keepNext w:val="true"/>
        <w:pBdr>
          <w:left w:val="single" w:sz="18" w:space="4" w:color="8B5CF6"/>
        </w:pBdr>
        <w:shd w:fill="0D1C32"/>
        <w:spacing w:before="120" w:after="0"/>
        <w:rPr/>
      </w:pPr>
      <w:r>
        <w:rPr>
          <w:rFonts w:ascii="Inter Display" w:hAnsi="Inter Display"/>
          <w:b/>
          <w:color w:val="33C7F2"/>
          <w:sz w:val="14"/>
        </w:rPr>
        <w:t>JSON</w:t>
      </w:r>
    </w:p>
    <w:p>
      <w:pPr>
        <w:pStyle w:val="CodeBlock"/>
        <w:pBdr>
          <w:left w:val="single" w:sz="18" w:space="4" w:color="8B5CF6"/>
        </w:pBdr>
        <w:shd w:fill="0D1C32"/>
        <w:spacing w:lineRule="auto" w:line="240" w:before="0" w:after="140"/>
        <w:rPr/>
      </w:pPr>
      <w:r>
        <w:rPr>
          <w:color w:val="D9E5F5"/>
          <w:sz w:val="14"/>
        </w:rPr>
        <w:t>{</w:t>
        <w:br/>
        <w:t xml:space="preserve">  "manifest_type": "backtest",</w:t>
        <w:br/>
        <w:t xml:space="preserve">  "manifest_version": 1,</w:t>
        <w:br/>
        <w:t xml:space="preserve">  "manifest_id": "01J...",</w:t>
        <w:br/>
        <w:t xml:space="preserve">  "created_at": "2026-07-13T15:00:00Z",</w:t>
        <w:br/>
        <w:t xml:space="preserve">  "created_by": "user_id",</w:t>
        <w:br/>
        <w:br/>
        <w:t xml:space="preserve">  "dataset": {</w:t>
        <w:br/>
        <w:t xml:space="preserve">    "snapshot_id": "snap_01J...",</w:t>
        <w:br/>
        <w:t xml:space="preserve">    "snapshot_hash": "sha256:...",</w:t>
        <w:br/>
        <w:t xml:space="preserve">    "as_of": "2026-07-10T00:00:00Z",</w:t>
        <w:br/>
        <w:t xml:space="preserve">    "adjustment_policy": "TOTAL_RETURN",</w:t>
        <w:br/>
        <w:t xml:space="preserve">    "calendar_version": "2026.1",</w:t>
        <w:br/>
        <w:t xml:space="preserve">    "provider_versions": {</w:t>
        <w:br/>
        <w:t xml:space="preserve">      "coingecko": "2026-07-10",</w:t>
        <w:br/>
        <w:t xml:space="preserve">      "sec_edgar": "2026-07-10"</w:t>
        <w:br/>
        <w:t xml:space="preserve">    }</w:t>
        <w:br/>
        <w:t xml:space="preserve">  },</w:t>
        <w:br/>
        <w:br/>
        <w:t xml:space="preserve">  "strategy": {</w:t>
        <w:br/>
        <w:t xml:space="preserve">    "strategy_id": "strat_01J...",</w:t>
        <w:br/>
        <w:t xml:space="preserve">    "strategy_hash": "sha256:...",</w:t>
        <w:br/>
        <w:t xml:space="preserve">    "strategy_version": "1.2.0",</w:t>
        <w:br/>
        <w:t xml:space="preserve">    "compiler_version": "0.3.0",</w:t>
        <w:br/>
        <w:t xml:space="preserve">    "parameters": { "rsi_period": 14, "iv_rank_max": 45 }</w:t>
        <w:br/>
        <w:t xml:space="preserve">  },</w:t>
        <w:br/>
        <w:br/>
        <w:t xml:space="preserve">  "execution_assumptions": {</w:t>
        <w:br/>
        <w:t xml:space="preserve">    "commission": "0.65 per contract",</w:t>
        <w:br/>
        <w:t xml:space="preserve">    "slippage_model": "quarter_spread",</w:t>
        <w:br/>
        <w:t xml:space="preserve">    "fill_assumption": "market_open",</w:t>
        <w:br/>
        <w:t xml:space="preserve">    "partial_fill_policy": "proportional"</w:t>
        <w:br/>
        <w:t xml:space="preserve">  },</w:t>
        <w:br/>
        <w:br/>
        <w:t xml:space="preserve">  "random_seed": 42,</w:t>
        <w:br/>
        <w:br/>
        <w:t xml:space="preserve">  "code": {</w:t>
        <w:br/>
        <w:t xml:space="preserve">    "commit_hash": "abc123def456",</w:t>
        <w:br/>
        <w:t xml:space="preserve">    "dependency_hash": "sha256:Cargo.lock hash",</w:t>
        <w:br/>
        <w:t xml:space="preserve">    "build_flags": []</w:t>
        <w:br/>
        <w:t xml:space="preserve">  },</w:t>
        <w:br/>
        <w:br/>
        <w:t xml:space="preserve">  "metrics": {</w:t>
        <w:br/>
        <w:t xml:space="preserve">    "total_return": 0.234,</w:t>
        <w:br/>
        <w:t xml:space="preserve">    "sharpe": 1.82,</w:t>
        <w:br/>
        <w:t xml:space="preserve">    "max_drawdown": -0.087,</w:t>
        <w:br/>
        <w:t xml:space="preserve">    "win_rate": 0.61</w:t>
        <w:br/>
        <w:t xml:space="preserve">  },</w:t>
        <w:br/>
        <w:br/>
        <w:t xml:space="preserve">  "signatures": [</w:t>
        <w:br/>
        <w:t xml:space="preserve">    {</w:t>
        <w:br/>
        <w:t xml:space="preserve">      "algorithm": "ML-DSA",</w:t>
        <w:br/>
        <w:t xml:space="preserve">      "key_id": "key_01J...",</w:t>
        <w:br/>
        <w:t xml:space="preserve">      "signature": "base64..."</w:t>
        <w:br/>
        <w:t xml:space="preserve">    },</w:t>
        <w:br/>
        <w:t xml:space="preserve">    {</w:t>
        <w:br/>
        <w:t xml:space="preserve">      "algorithm": "Ed25519",</w:t>
        <w:br/>
        <w:t xml:space="preserve">      "key_id": "key_01J...",</w:t>
        <w:br/>
        <w:t xml:space="preserve">      "signature": "base64..."</w:t>
        <w:br/>
        <w:t xml:space="preserve">    }</w:t>
        <w:br/>
        <w:t xml:space="preserve">  ]</w:t>
        <w:br/>
        <w:t>}</w:t>
      </w:r>
    </w:p>
    <w:p>
      <w:pPr>
        <w:pStyle w:val="Heading3"/>
        <w:rPr/>
      </w:pPr>
      <w:bookmarkStart w:id="329" w:name="__RefHeading___Toc7378_2150751134"/>
      <w:bookmarkEnd w:id="329"/>
      <w:r>
        <w:rPr>
          <w:rFonts w:ascii="Lato" w:hAnsi="Lato"/>
          <w:color w:val="172236"/>
          <w:sz w:val="21"/>
        </w:rPr>
        <w:t>Verification Protocol</w:t>
      </w:r>
    </w:p>
    <w:p>
      <w:pPr>
        <w:pStyle w:val="Normal"/>
        <w:rPr/>
      </w:pPr>
      <w:r>
        <w:rPr>
          <w:color w:val="172236"/>
          <w:sz w:val="19"/>
        </w:rPr>
        <w:t>To verify a result reproduces from its manifest:</w:t>
      </w:r>
    </w:p>
    <w:p>
      <w:pPr>
        <w:pStyle w:val="ListNumber"/>
        <w:numPr>
          <w:ilvl w:val="0"/>
          <w:numId w:val="4"/>
        </w:numPr>
        <w:rPr/>
      </w:pPr>
      <w:r>
        <w:rPr>
          <w:color w:val="172236"/>
          <w:sz w:val="18"/>
        </w:rPr>
        <w:t xml:space="preserve">Reconstruct the dataset snapshot from </w:t>
      </w:r>
      <w:r>
        <w:rPr>
          <w:rFonts w:ascii="Liberation Mono" w:hAnsi="Liberation Mono"/>
          <w:color w:val="8B5CF6"/>
          <w:sz w:val="17"/>
          <w:shd w:fill="F0EDFF" w:val="clear"/>
        </w:rPr>
        <w:t>snapshot_hash</w:t>
      </w:r>
      <w:r>
        <w:rPr>
          <w:color w:val="172236"/>
          <w:sz w:val="18"/>
        </w:rPr>
        <w:t>.</w:t>
      </w:r>
    </w:p>
    <w:p>
      <w:pPr>
        <w:pStyle w:val="ListNumber"/>
        <w:numPr>
          <w:ilvl w:val="0"/>
          <w:numId w:val="4"/>
        </w:numPr>
        <w:rPr/>
      </w:pPr>
      <w:r>
        <w:rPr>
          <w:color w:val="172236"/>
          <w:sz w:val="18"/>
        </w:rPr>
        <w:t xml:space="preserve">Load the strategy from </w:t>
      </w:r>
      <w:r>
        <w:rPr>
          <w:rFonts w:ascii="Liberation Mono" w:hAnsi="Liberation Mono"/>
          <w:color w:val="8B5CF6"/>
          <w:sz w:val="17"/>
          <w:shd w:fill="F0EDFF" w:val="clear"/>
        </w:rPr>
        <w:t>strategy_hash</w:t>
      </w:r>
      <w:r>
        <w:rPr>
          <w:color w:val="172236"/>
          <w:sz w:val="18"/>
        </w:rPr>
        <w:t xml:space="preserve"> (content-addressed).</w:t>
      </w:r>
    </w:p>
    <w:p>
      <w:pPr>
        <w:pStyle w:val="ListNumber"/>
        <w:numPr>
          <w:ilvl w:val="0"/>
          <w:numId w:val="4"/>
        </w:numPr>
        <w:rPr/>
      </w:pPr>
      <w:r>
        <w:rPr>
          <w:color w:val="172236"/>
          <w:sz w:val="18"/>
        </w:rPr>
        <w:t xml:space="preserve">Check out code at </w:t>
      </w:r>
      <w:r>
        <w:rPr>
          <w:rFonts w:ascii="Liberation Mono" w:hAnsi="Liberation Mono"/>
          <w:color w:val="8B5CF6"/>
          <w:sz w:val="17"/>
          <w:shd w:fill="F0EDFF" w:val="clear"/>
        </w:rPr>
        <w:t>commit_hash</w:t>
      </w:r>
      <w:r>
        <w:rPr>
          <w:color w:val="172236"/>
          <w:sz w:val="18"/>
        </w:rPr>
        <w:t>.</w:t>
      </w:r>
    </w:p>
    <w:p>
      <w:pPr>
        <w:pStyle w:val="ListNumber"/>
        <w:numPr>
          <w:ilvl w:val="0"/>
          <w:numId w:val="4"/>
        </w:numPr>
        <w:rPr/>
      </w:pPr>
      <w:r>
        <w:rPr>
          <w:color w:val="172236"/>
          <w:sz w:val="18"/>
        </w:rPr>
        <w:t xml:space="preserve">Verify </w:t>
      </w:r>
      <w:r>
        <w:rPr>
          <w:rFonts w:ascii="Liberation Mono" w:hAnsi="Liberation Mono"/>
          <w:color w:val="8B5CF6"/>
          <w:sz w:val="17"/>
          <w:shd w:fill="F0EDFF" w:val="clear"/>
        </w:rPr>
        <w:t>dependency_hash</w:t>
      </w:r>
      <w:r>
        <w:rPr>
          <w:color w:val="172236"/>
          <w:sz w:val="18"/>
        </w:rPr>
        <w:t xml:space="preserve"> matches </w:t>
      </w:r>
      <w:r>
        <w:rPr>
          <w:rFonts w:ascii="Liberation Mono" w:hAnsi="Liberation Mono"/>
          <w:color w:val="8B5CF6"/>
          <w:sz w:val="17"/>
          <w:shd w:fill="F0EDFF" w:val="clear"/>
        </w:rPr>
        <w:t>Cargo.lock</w:t>
      </w:r>
      <w:r>
        <w:rPr>
          <w:color w:val="172236"/>
          <w:sz w:val="18"/>
        </w:rPr>
        <w:t>.</w:t>
      </w:r>
    </w:p>
    <w:p>
      <w:pPr>
        <w:pStyle w:val="ListNumber"/>
        <w:numPr>
          <w:ilvl w:val="0"/>
          <w:numId w:val="4"/>
        </w:numPr>
        <w:rPr/>
      </w:pPr>
      <w:r>
        <w:rPr>
          <w:color w:val="172236"/>
          <w:sz w:val="18"/>
        </w:rPr>
        <w:t>Run the backtest with the same parameters, seed, and execution assumptions.</w:t>
      </w:r>
    </w:p>
    <w:p>
      <w:pPr>
        <w:pStyle w:val="ListNumber"/>
        <w:numPr>
          <w:ilvl w:val="0"/>
          <w:numId w:val="4"/>
        </w:numPr>
        <w:rPr/>
      </w:pPr>
      <w:r>
        <w:rPr>
          <w:color w:val="172236"/>
          <w:sz w:val="18"/>
        </w:rPr>
        <w:t>Compare metrics within the documented numeric tolerance.</w:t>
      </w:r>
    </w:p>
    <w:p>
      <w:pPr>
        <w:pStyle w:val="ListNumber"/>
        <w:numPr>
          <w:ilvl w:val="0"/>
          <w:numId w:val="4"/>
        </w:numPr>
        <w:rPr/>
      </w:pPr>
      <w:r>
        <w:rPr>
          <w:color w:val="172236"/>
          <w:sz w:val="18"/>
        </w:rPr>
        <w:t>Verify both signatures against the trusted key store.</w:t>
      </w:r>
    </w:p>
    <w:p>
      <w:pPr>
        <w:pStyle w:val="Heading1"/>
        <w:pBdr>
          <w:bottom w:val="single" w:sz="12" w:space="5" w:color="33C7F2"/>
        </w:pBdr>
        <w:rPr/>
      </w:pPr>
      <w:bookmarkStart w:id="330" w:name="__RefHeading___Toc7380_2150751134"/>
      <w:bookmarkEnd w:id="330"/>
      <w:r>
        <w:rPr>
          <w:rFonts w:ascii="Lato" w:hAnsi="Lato"/>
          <w:color w:val="172236"/>
          <w:sz w:val="42"/>
        </w:rPr>
        <w:t>Part IX — Market Infrastructure Services</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8B5CF6"/>
            </w:tcBorders>
            <w:shd w:fill="F2EDFF"/>
          </w:tcPr>
          <w:p>
            <w:pPr>
              <w:pStyle w:val="Normal"/>
              <w:spacing w:before="0" w:after="100"/>
              <w:rPr/>
            </w:pPr>
            <w:r>
              <w:rPr>
                <w:rFonts w:ascii="Inter Display" w:hAnsi="Inter Display"/>
                <w:b/>
                <w:color w:val="8B5CF6"/>
                <w:sz w:val="16"/>
              </w:rPr>
              <w:t xml:space="preserve">DESIGN PRINCIPLE  </w:t>
            </w:r>
            <w:r>
              <w:rPr>
                <w:color w:val="172236"/>
                <w:sz w:val="18"/>
              </w:rPr>
              <w:t>The v0.1 overview requires trading calendars, corporate actions, and symbology (§8.3, §10.3, §11.2) but names no sources or services.</w:t>
            </w:r>
          </w:p>
        </w:tc>
      </w:tr>
    </w:tbl>
    <w:p>
      <w:pPr>
        <w:pStyle w:val="Normal"/>
        <w:spacing w:before="0" w:after="0"/>
        <w:rPr/>
      </w:pPr>
      <w:r>
        <w:rPr/>
      </w:r>
    </w:p>
    <w:p>
      <w:pPr>
        <w:pStyle w:val="Heading2"/>
        <w:pBdr>
          <w:left w:val="single" w:sz="14" w:space="4" w:color="8B5CF6"/>
        </w:pBdr>
        <w:rPr/>
      </w:pPr>
      <w:bookmarkStart w:id="331" w:name="__RefHeading___Toc7382_2150751134"/>
      <w:bookmarkEnd w:id="331"/>
      <w:r>
        <w:rPr>
          <w:rFonts w:ascii="Lato" w:hAnsi="Lato"/>
          <w:color w:val="172236"/>
          <w:sz w:val="29"/>
        </w:rPr>
        <w:t>19. Trading Calendar Service</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 Provides session boundaries, holidays, and half-days per venue.</w:t>
        <w:br/>
        <w:t>/// Used by the backtest engine (replay only on valid sessions),</w:t>
        <w:br/>
        <w:t>/// the execution boundary (block orders when market closed),</w:t>
        <w:br/>
        <w:t>/// and the chart (show session breaks).</w:t>
        <w:br/>
        <w:t>pub trait TradingCalendar: Send + Sync {</w:t>
        <w:br/>
        <w:t xml:space="preserve">    fn is_open(&amp;self, venue: Venue, at: OffsetDateTime) -&gt; bool;</w:t>
        <w:br/>
        <w:t xml:space="preserve">    fn next_open(&amp;self, venue: Venue, from: OffsetDateTime) -&gt; OffsetDateTime;</w:t>
        <w:br/>
        <w:t xml:space="preserve">    fn next_close(&amp;self, venue: Venue, from: OffsetDateTime) -&gt; OffsetDateTime;</w:t>
        <w:br/>
        <w:t xml:space="preserve">    fn session_for(&amp;self, venue: Venue, at: OffsetDateTime) -&gt; Option&lt;Session&gt;;</w:t>
        <w:br/>
        <w:t xml:space="preserve">    fn holidays(&amp;self, venue: Venue, year: i32) -&gt; Vec&lt;Holiday&gt;;</w:t>
        <w:br/>
        <w:t>}</w:t>
      </w:r>
    </w:p>
    <w:p>
      <w:pPr>
        <w:pStyle w:val="Normal"/>
        <w:rPr/>
      </w:pPr>
      <w:r>
        <w:rPr>
          <w:b/>
          <w:color w:val="172236"/>
          <w:sz w:val="19"/>
        </w:rPr>
        <w:t>Source:</w:t>
      </w:r>
      <w:r>
        <w:rPr>
          <w:color w:val="172236"/>
          <w:sz w:val="19"/>
        </w:rPr>
        <w:t xml:space="preserve"> Self-hosted calendar data generated from exchange-published schedules, stored as versioned JSON, updated via signed data patches. Version pinned in reproducibility manifests.</w:t>
      </w:r>
    </w:p>
    <w:p>
      <w:pPr>
        <w:pStyle w:val="Heading2"/>
        <w:pBdr>
          <w:left w:val="single" w:sz="14" w:space="4" w:color="8B5CF6"/>
        </w:pBdr>
        <w:rPr/>
      </w:pPr>
      <w:bookmarkStart w:id="332" w:name="__RefHeading___Toc7384_2150751134"/>
      <w:bookmarkEnd w:id="332"/>
      <w:r>
        <w:rPr>
          <w:rFonts w:ascii="Lato" w:hAnsi="Lato"/>
          <w:color w:val="172236"/>
          <w:sz w:val="29"/>
        </w:rPr>
        <w:t>20. Corporate Action Service</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 Corporate actions that affect price series and backtest integrity.</w:t>
        <w:br/>
        <w:t>/// Every action specifies how it propagates to historical bars.</w:t>
        <w:br/>
        <w:t>pub struct CorporateAction {</w:t>
        <w:br/>
        <w:t xml:space="preserve">    pub id: CorporateActionId,</w:t>
        <w:br/>
        <w:t xml:space="preserve">    pub asset_id: AssetId,</w:t>
        <w:br/>
        <w:t xml:space="preserve">    pub action_type: ActionType,       // Split | Dividend | Spinoff | Merger | Delisting</w:t>
        <w:br/>
        <w:t xml:space="preserve">    pub ex_date: Date,</w:t>
        <w:br/>
        <w:t xml:space="preserve">    pub record_date: Option&lt;Date&gt;,</w:t>
        <w:br/>
        <w:t xml:space="preserve">    pub payable_date: Option&lt;Date&gt;,</w:t>
        <w:br/>
        <w:t xml:space="preserve">    pub ratio: Option&lt;Ratio&gt;,          // split ratio, dividend amount</w:t>
        <w:br/>
        <w:t xml:space="preserve">    pub adjustment_policy: AdjustmentPolicy,</w:t>
        <w:br/>
        <w:t xml:space="preserve">    pub source: ProviderId,</w:t>
        <w:br/>
        <w:t xml:space="preserve">    pub source_reference: String,</w:t>
        <w:br/>
        <w:t xml:space="preserve">    pub parser_version: SemanticVersion,</w:t>
        <w:br/>
        <w:t>}</w:t>
      </w:r>
    </w:p>
    <w:p>
      <w:pPr>
        <w:pStyle w:val="Heading3"/>
        <w:rPr/>
      </w:pPr>
      <w:bookmarkStart w:id="333" w:name="__RefHeading___Toc7386_2150751134"/>
      <w:bookmarkEnd w:id="333"/>
      <w:r>
        <w:rPr>
          <w:rFonts w:ascii="Lato" w:hAnsi="Lato"/>
          <w:color w:val="172236"/>
          <w:sz w:val="21"/>
        </w:rPr>
        <w:t>Adjustment Propagation</w:t>
      </w:r>
    </w:p>
    <w:tbl>
      <w:tblPr>
        <w:tblW w:w="10310"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2062"/>
        <w:gridCol w:w="2062"/>
        <w:gridCol w:w="2062"/>
        <w:gridCol w:w="2062"/>
        <w:gridCol w:w="2062"/>
      </w:tblGrid>
      <w:tr>
        <w:trPr>
          <w:tblHeader w:val="true"/>
          <w:cantSplit/>
        </w:trPr>
        <w:tc>
          <w:tcPr>
            <w:tcW w:w="2062"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Action</w:t>
            </w:r>
          </w:p>
        </w:tc>
        <w:tc>
          <w:tcPr>
            <w:tcW w:w="2062"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Raw bars</w:t>
            </w:r>
          </w:p>
        </w:tc>
        <w:tc>
          <w:tcPr>
            <w:tcW w:w="2062"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Split-adj</w:t>
            </w:r>
          </w:p>
        </w:tc>
        <w:tc>
          <w:tcPr>
            <w:tcW w:w="2062"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Div-adj</w:t>
            </w:r>
          </w:p>
        </w:tc>
        <w:tc>
          <w:tcPr>
            <w:tcW w:w="2062" w:type="dxa"/>
            <w:tcBorders>
              <w:top w:val="single" w:sz="4" w:space="0" w:color="243753"/>
              <w:start w:val="single" w:sz="4" w:space="0" w:color="243753"/>
              <w:bottom w:val="single" w:sz="4" w:space="0" w:color="243753"/>
              <w:end w:val="single" w:sz="4" w:space="0" w:color="243753"/>
            </w:tcBorders>
            <w:shd w:fill="0D1C32"/>
          </w:tcPr>
          <w:p>
            <w:pPr>
              <w:pStyle w:val="Normal"/>
              <w:spacing w:before="0" w:after="100"/>
              <w:rPr/>
            </w:pPr>
            <w:r>
              <w:rPr>
                <w:rFonts w:ascii="Inter Display" w:hAnsi="Inter Display"/>
                <w:b/>
                <w:color w:val="FFFFFF"/>
                <w:sz w:val="14"/>
              </w:rPr>
              <w:t>Total-return</w:t>
            </w:r>
          </w:p>
        </w:tc>
      </w:tr>
      <w:tr>
        <w:trPr>
          <w:cantSplit/>
        </w:trPr>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2:1 split</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Unchanged</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Price ÷ 2, volume × 2</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Same as split-adj</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Same as split-adj + dividend reinvestment</w:t>
            </w:r>
          </w:p>
        </w:tc>
      </w:tr>
      <w:tr>
        <w:trPr>
          <w:cantSplit/>
        </w:trPr>
        <w:tc>
          <w:tcPr>
            <w:tcW w:w="2062"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$0.50 dividend</w:t>
            </w:r>
          </w:p>
        </w:tc>
        <w:tc>
          <w:tcPr>
            <w:tcW w:w="2062"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Unchanged</w:t>
            </w:r>
          </w:p>
        </w:tc>
        <w:tc>
          <w:tcPr>
            <w:tcW w:w="2062"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Unchanged</w:t>
            </w:r>
          </w:p>
        </w:tc>
        <w:tc>
          <w:tcPr>
            <w:tcW w:w="2062"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Price − $0.50 on ex-date</w:t>
            </w:r>
          </w:p>
        </w:tc>
        <w:tc>
          <w:tcPr>
            <w:tcW w:w="2062" w:type="dxa"/>
            <w:tcBorders>
              <w:top w:val="single" w:sz="2" w:space="0" w:color="D9E2EC"/>
              <w:start w:val="single" w:sz="2" w:space="0" w:color="D9E2EC"/>
              <w:bottom w:val="single" w:sz="2" w:space="0" w:color="D9E2EC"/>
              <w:end w:val="single" w:sz="2" w:space="0" w:color="D9E2EC"/>
            </w:tcBorders>
            <w:shd w:fill="EEF3F8"/>
            <w:tcMar>
              <w:top w:w="65" w:type="dxa"/>
              <w:start w:w="70" w:type="dxa"/>
              <w:bottom w:w="65" w:type="dxa"/>
              <w:end w:w="70" w:type="dxa"/>
            </w:tcMar>
          </w:tcPr>
          <w:p>
            <w:pPr>
              <w:pStyle w:val="TableText"/>
              <w:spacing w:before="0" w:after="80"/>
              <w:rPr/>
            </w:pPr>
            <w:r>
              <w:rPr>
                <w:color w:val="172236"/>
                <w:sz w:val="14"/>
              </w:rPr>
              <w:t>Dividend reinvested at ex-date close</w:t>
            </w:r>
          </w:p>
        </w:tc>
      </w:tr>
      <w:tr>
        <w:trPr>
          <w:cantSplit/>
        </w:trPr>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Delisting</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Unchanged</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Unchanged</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Unchanged</w:t>
            </w:r>
          </w:p>
        </w:tc>
        <w:tc>
          <w:tcPr>
            <w:tcW w:w="2062" w:type="dxa"/>
            <w:tcBorders>
              <w:top w:val="single" w:sz="2" w:space="0" w:color="D9E2EC"/>
              <w:start w:val="single" w:sz="2" w:space="0" w:color="D9E2EC"/>
              <w:bottom w:val="single" w:sz="2" w:space="0" w:color="D9E2EC"/>
              <w:end w:val="single" w:sz="2" w:space="0" w:color="D9E2EC"/>
            </w:tcBorders>
            <w:shd w:fill="F8FAFD"/>
            <w:tcMar>
              <w:top w:w="65" w:type="dxa"/>
              <w:start w:w="70" w:type="dxa"/>
              <w:bottom w:w="65" w:type="dxa"/>
              <w:end w:w="70" w:type="dxa"/>
            </w:tcMar>
          </w:tcPr>
          <w:p>
            <w:pPr>
              <w:pStyle w:val="TableText"/>
              <w:spacing w:before="0" w:after="80"/>
              <w:rPr/>
            </w:pPr>
            <w:r>
              <w:rPr>
                <w:color w:val="172236"/>
                <w:sz w:val="14"/>
              </w:rPr>
              <w:t>Position removed at last available price</w:t>
            </w:r>
          </w:p>
        </w:tc>
      </w:tr>
    </w:tbl>
    <w:p>
      <w:pPr>
        <w:pStyle w:val="Normal"/>
        <w:spacing w:before="0" w:after="0"/>
        <w:rPr/>
      </w:pPr>
      <w:r>
        <w:rPr/>
      </w:r>
    </w:p>
    <w:p>
      <w:pPr>
        <w:pStyle w:val="Normal"/>
        <w:rPr/>
      </w:pPr>
      <w:r>
        <w:rPr>
          <w:color w:val="172236"/>
          <w:sz w:val="19"/>
        </w:rPr>
        <w:t xml:space="preserve">The backtest engine and chart system default to </w:t>
      </w:r>
      <w:r>
        <w:rPr>
          <w:rFonts w:ascii="Liberation Mono" w:hAnsi="Liberation Mono"/>
          <w:color w:val="8B5CF6"/>
          <w:sz w:val="18"/>
          <w:shd w:fill="F0EDFF" w:val="clear"/>
        </w:rPr>
        <w:t>TotalReturn</w:t>
      </w:r>
      <w:r>
        <w:rPr>
          <w:color w:val="172236"/>
          <w:sz w:val="19"/>
        </w:rPr>
        <w:t xml:space="preserve"> adjustment but expose the policy as a parameter. Every reproducibility manifest pins the adjustment policy used.</w:t>
      </w:r>
    </w:p>
    <w:p>
      <w:pPr>
        <w:pStyle w:val="Heading2"/>
        <w:pBdr>
          <w:left w:val="single" w:sz="14" w:space="4" w:color="8B5CF6"/>
        </w:pBdr>
        <w:rPr/>
      </w:pPr>
      <w:bookmarkStart w:id="334" w:name="__RefHeading___Toc7388_2150751134"/>
      <w:bookmarkEnd w:id="334"/>
      <w:r>
        <w:rPr>
          <w:rFonts w:ascii="Lato" w:hAnsi="Lato"/>
          <w:color w:val="172236"/>
          <w:sz w:val="29"/>
        </w:rPr>
        <w:t>21. Symbology Resolution</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 Resolves user input ("AAPL", "apple inc", a CUSIP, a FIGI)</w:t>
        <w:br/>
        <w:t>/// to a canonical asset ID. Handles ambiguity, delistings, and</w:t>
        <w:br/>
        <w:t>/// ticker changes over time.</w:t>
        <w:br/>
        <w:t>pub struct SymbologyService {</w:t>
        <w:br/>
        <w:t xml:space="preserve">    /// Tries to resolve a user query to exactly one canonical asset.</w:t>
        <w:br/>
        <w:t xml:space="preserve">    /// Returns multiple candidates if ambiguous, requiring disambiguation.</w:t>
        <w:br/>
        <w:t xml:space="preserve">    pub fn resolve(</w:t>
        <w:br/>
        <w:t xml:space="preserve">        &amp;self,</w:t>
        <w:br/>
        <w:t xml:space="preserve">        query: &amp;str,</w:t>
        <w:br/>
        <w:t xml:space="preserve">        at: Option&lt;OffsetDateTime&gt;,  // None = current; Some = point in time</w:t>
        <w:br/>
        <w:t xml:space="preserve">    ) -&gt; ResolutionResult;</w:t>
        <w:br/>
        <w:t>}</w:t>
        <w:br/>
        <w:br/>
        <w:t>pub enum ResolutionResult {</w:t>
        <w:br/>
        <w:t xml:space="preserve">    Unique(AssetId),</w:t>
        <w:br/>
        <w:t xml:space="preserve">    Ambiguous(Vec&lt;AssetCandidate&gt;),    // user must pick</w:t>
        <w:br/>
        <w:t xml:space="preserve">    NotFound,</w:t>
        <w:br/>
        <w:t xml:space="preserve">    Delisted {</w:t>
        <w:br/>
        <w:t xml:space="preserve">        asset_id: AssetId,</w:t>
        <w:br/>
        <w:t xml:space="preserve">        last_valid_date: Date,</w:t>
        <w:br/>
        <w:t xml:space="preserve">        successor: Option&lt;AssetId&gt;,    // if ticker changed</w:t>
        <w:br/>
        <w:t xml:space="preserve">    },</w:t>
        <w:br/>
        <w:t>}</w:t>
      </w:r>
    </w:p>
    <w:p>
      <w:pPr>
        <w:pStyle w:val="Heading1"/>
        <w:pBdr>
          <w:bottom w:val="single" w:sz="12" w:space="5" w:color="33C7F2"/>
        </w:pBdr>
        <w:rPr/>
      </w:pPr>
      <w:bookmarkStart w:id="335" w:name="__RefHeading___Toc7390_2150751134"/>
      <w:bookmarkEnd w:id="335"/>
      <w:r>
        <w:rPr>
          <w:rFonts w:ascii="Lato" w:hAnsi="Lato"/>
          <w:color w:val="172236"/>
          <w:sz w:val="42"/>
        </w:rPr>
        <w:t>Part X — Desktop Backup, Restore, and Migration</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8B5CF6"/>
            </w:tcBorders>
            <w:shd w:fill="F2EDFF"/>
          </w:tcPr>
          <w:p>
            <w:pPr>
              <w:pStyle w:val="Normal"/>
              <w:spacing w:before="0" w:after="100"/>
              <w:rPr/>
            </w:pPr>
            <w:r>
              <w:rPr>
                <w:rFonts w:ascii="Inter Display" w:hAnsi="Inter Display"/>
                <w:b/>
                <w:color w:val="8B5CF6"/>
                <w:sz w:val="16"/>
              </w:rPr>
              <w:t xml:space="preserve">DESIGN PRINCIPLE  </w:t>
            </w:r>
            <w:r>
              <w:rPr>
                <w:color w:val="172236"/>
                <w:sz w:val="18"/>
              </w:rPr>
              <w:t>For a local-first application, the user's machine is the system of record. Backup and restore must be first-class.</w:t>
            </w:r>
          </w:p>
        </w:tc>
      </w:tr>
    </w:tbl>
    <w:p>
      <w:pPr>
        <w:pStyle w:val="Normal"/>
        <w:spacing w:before="0" w:after="0"/>
        <w:rPr/>
      </w:pPr>
      <w:r>
        <w:rPr/>
      </w:r>
    </w:p>
    <w:p>
      <w:pPr>
        <w:pStyle w:val="Heading2"/>
        <w:pBdr>
          <w:left w:val="single" w:sz="14" w:space="4" w:color="8B5CF6"/>
        </w:pBdr>
        <w:rPr/>
      </w:pPr>
      <w:bookmarkStart w:id="336" w:name="__RefHeading___Toc7392_2150751134"/>
      <w:bookmarkEnd w:id="336"/>
      <w:r>
        <w:rPr>
          <w:rFonts w:ascii="Lato" w:hAnsi="Lato"/>
          <w:color w:val="172236"/>
          <w:sz w:val="29"/>
        </w:rPr>
        <w:t>22. Backup Bundle</w:t>
      </w:r>
    </w:p>
    <w:p>
      <w:pPr>
        <w:pStyle w:val="Normal"/>
        <w:keepNext w:val="true"/>
        <w:pBdr>
          <w:left w:val="single" w:sz="18" w:space="4" w:color="8B5CF6"/>
        </w:pBdr>
        <w:shd w:fill="0D1C32"/>
        <w:spacing w:before="120" w:after="0"/>
        <w:rPr/>
      </w:pPr>
      <w:r>
        <w:rPr>
          <w:rFonts w:ascii="Inter Display" w:hAnsi="Inter Display"/>
          <w:b/>
          <w:color w:val="33C7F2"/>
          <w:sz w:val="14"/>
        </w:rPr>
        <w:t>RUST</w:t>
      </w:r>
    </w:p>
    <w:p>
      <w:pPr>
        <w:pStyle w:val="CodeBlock"/>
        <w:keepLines/>
        <w:pBdr>
          <w:left w:val="single" w:sz="18" w:space="4" w:color="8B5CF6"/>
        </w:pBdr>
        <w:shd w:fill="0D1C32"/>
        <w:spacing w:lineRule="auto" w:line="240" w:before="0" w:after="140"/>
        <w:rPr/>
      </w:pPr>
      <w:r>
        <w:rPr>
          <w:color w:val="D9E5F5"/>
          <w:sz w:val="14"/>
        </w:rPr>
        <w:t>/// A complete backup of the local-first store. Signed and encrypted.</w:t>
        <w:br/>
        <w:t>/// Contains all local databases, the vault (rewrapped to a backup key),</w:t>
        <w:br/>
        <w:t>/// configuration, and a manifest of contents.</w:t>
        <w:br/>
        <w:t>pub struct BackupBundle {</w:t>
        <w:br/>
        <w:t xml:space="preserve">    pub manifest: BackupManifest,</w:t>
        <w:br/>
        <w:t xml:space="preserve">    pub stores: Vec&lt;StoreBackup&gt;,       // SQLite, DuckDB, Parquet dirs</w:t>
        <w:br/>
        <w:t xml:space="preserve">    pub vault: VaultBackup,             // rewrapped, not re-encrypted</w:t>
        <w:br/>
        <w:t xml:space="preserve">    pub config: ConfigBackup,</w:t>
        <w:br/>
        <w:t xml:space="preserve">    pub signature: BackupSignature,</w:t>
        <w:br/>
        <w:t>}</w:t>
        <w:br/>
        <w:br/>
        <w:t>pub struct BackupManifest {</w:t>
        <w:br/>
        <w:t xml:space="preserve">    pub app_version: SemanticVersion,</w:t>
        <w:br/>
        <w:t xml:space="preserve">    pub schema_versions: HashMap&lt;StoreId, SemanticVersion&gt;,</w:t>
        <w:br/>
        <w:t xml:space="preserve">    pub created_at: OffsetDateTime,</w:t>
        <w:br/>
        <w:t xml:space="preserve">    pub total_size_bytes: u64,</w:t>
        <w:br/>
        <w:t xml:space="preserve">    pub item_counts: HashMap&lt;String, u64&gt;,  // {"strategies": 42, "journal_entries": 318}</w:t>
        <w:br/>
        <w:t xml:space="preserve">    pub encryption: EncryptionInfo,</w:t>
        <w:br/>
        <w:t>}</w:t>
      </w:r>
    </w:p>
    <w:p>
      <w:pPr>
        <w:pStyle w:val="Heading3"/>
        <w:rPr/>
      </w:pPr>
      <w:bookmarkStart w:id="337" w:name="__RefHeading___Toc7394_2150751134"/>
      <w:bookmarkEnd w:id="337"/>
      <w:r>
        <w:rPr>
          <w:rFonts w:ascii="Lato" w:hAnsi="Lato"/>
          <w:color w:val="172236"/>
          <w:sz w:val="21"/>
        </w:rPr>
        <w:t>Restore Protocol</w:t>
      </w:r>
    </w:p>
    <w:p>
      <w:pPr>
        <w:pStyle w:val="ListNumber"/>
        <w:numPr>
          <w:ilvl w:val="0"/>
          <w:numId w:val="4"/>
        </w:numPr>
        <w:rPr/>
      </w:pPr>
      <w:r>
        <w:rPr>
          <w:color w:val="172236"/>
          <w:sz w:val="18"/>
        </w:rPr>
        <w:t>User provides backup file + recovery key (or OS keychain unlock).</w:t>
      </w:r>
    </w:p>
    <w:p>
      <w:pPr>
        <w:pStyle w:val="ListNumber"/>
        <w:numPr>
          <w:ilvl w:val="0"/>
          <w:numId w:val="4"/>
        </w:numPr>
        <w:rPr/>
      </w:pPr>
      <w:r>
        <w:rPr>
          <w:color w:val="172236"/>
          <w:sz w:val="18"/>
        </w:rPr>
        <w:t>App verifies backup signature.</w:t>
      </w:r>
    </w:p>
    <w:p>
      <w:pPr>
        <w:pStyle w:val="ListNumber"/>
        <w:numPr>
          <w:ilvl w:val="0"/>
          <w:numId w:val="4"/>
        </w:numPr>
        <w:rPr/>
      </w:pPr>
      <w:r>
        <w:rPr>
          <w:color w:val="172236"/>
          <w:sz w:val="18"/>
        </w:rPr>
        <w:t>App checks schema versions against current app version.</w:t>
      </w:r>
    </w:p>
    <w:p>
      <w:pPr>
        <w:pStyle w:val="ListNumber"/>
        <w:numPr>
          <w:ilvl w:val="0"/>
          <w:numId w:val="4"/>
        </w:numPr>
        <w:rPr/>
      </w:pPr>
      <w:r>
        <w:rPr>
          <w:color w:val="172236"/>
          <w:sz w:val="18"/>
        </w:rPr>
        <w:t>If schemas differ, run migration sequence (old → current).</w:t>
      </w:r>
    </w:p>
    <w:p>
      <w:pPr>
        <w:pStyle w:val="ListNumber"/>
        <w:numPr>
          <w:ilvl w:val="0"/>
          <w:numId w:val="4"/>
        </w:numPr>
        <w:rPr/>
      </w:pPr>
      <w:r>
        <w:rPr>
          <w:color w:val="172236"/>
          <w:sz w:val="18"/>
        </w:rPr>
        <w:t>Restore stores to local paths.</w:t>
      </w:r>
    </w:p>
    <w:p>
      <w:pPr>
        <w:pStyle w:val="ListNumber"/>
        <w:numPr>
          <w:ilvl w:val="0"/>
          <w:numId w:val="4"/>
        </w:numPr>
        <w:rPr/>
      </w:pPr>
      <w:r>
        <w:rPr>
          <w:color w:val="172236"/>
          <w:sz w:val="18"/>
        </w:rPr>
        <w:t>Restore vault (rewrap from backup key to device key).</w:t>
      </w:r>
    </w:p>
    <w:p>
      <w:pPr>
        <w:pStyle w:val="ListNumber"/>
        <w:numPr>
          <w:ilvl w:val="0"/>
          <w:numId w:val="4"/>
        </w:numPr>
        <w:rPr/>
      </w:pPr>
      <w:r>
        <w:rPr>
          <w:color w:val="172236"/>
          <w:sz w:val="18"/>
        </w:rPr>
        <w:t>Validate integrity (record counts, hash checks).</w:t>
      </w:r>
    </w:p>
    <w:p>
      <w:pPr>
        <w:pStyle w:val="ListNumber"/>
        <w:numPr>
          <w:ilvl w:val="0"/>
          <w:numId w:val="4"/>
        </w:numPr>
        <w:rPr/>
      </w:pPr>
      <w:r>
        <w:rPr>
          <w:color w:val="172236"/>
          <w:sz w:val="18"/>
        </w:rPr>
        <w:t>App restarts with restored data.</w:t>
      </w:r>
    </w:p>
    <w:p>
      <w:pPr>
        <w:pStyle w:val="Heading3"/>
        <w:rPr/>
      </w:pPr>
      <w:bookmarkStart w:id="338" w:name="__RefHeading___Toc7396_2150751134"/>
      <w:bookmarkEnd w:id="338"/>
      <w:r>
        <w:rPr>
          <w:rFonts w:ascii="Lato" w:hAnsi="Lato"/>
          <w:color w:val="172236"/>
          <w:sz w:val="21"/>
        </w:rPr>
        <w:t>Cross-Version Migration</w:t>
      </w:r>
    </w:p>
    <w:p>
      <w:pPr>
        <w:pStyle w:val="Normal"/>
        <w:rPr/>
      </w:pPr>
      <w:r>
        <w:rPr>
          <w:color w:val="172236"/>
          <w:sz w:val="19"/>
        </w:rPr>
        <w:t xml:space="preserve">Every local store (SQLite, DuckDB, Parquet layouts) has a </w:t>
      </w:r>
      <w:r>
        <w:rPr>
          <w:rFonts w:ascii="Liberation Mono" w:hAnsi="Liberation Mono"/>
          <w:color w:val="8B5CF6"/>
          <w:sz w:val="18"/>
          <w:shd w:fill="F0EDFF" w:val="clear"/>
        </w:rPr>
        <w:t>schema_version</w:t>
      </w:r>
      <w:r>
        <w:rPr>
          <w:color w:val="172236"/>
          <w:sz w:val="19"/>
        </w:rPr>
        <w:t xml:space="preserve"> table. On app launch, the migration runner checks the stored version against the app's expected version and runs sequential migrations (N → N+1 → N+2 → current). Migrations are signed and idempotent. If a migration fails partway, the runner rolls back to the pre-migration state and surfaces the error — never leaves the store in a half-migrated state.</w:t>
      </w:r>
    </w:p>
    <w:p>
      <w:pPr>
        <w:pStyle w:val="Heading1"/>
        <w:pBdr>
          <w:bottom w:val="single" w:sz="12" w:space="5" w:color="33C7F2"/>
        </w:pBdr>
        <w:rPr/>
      </w:pPr>
      <w:bookmarkStart w:id="339" w:name="__RefHeading___Toc7398_2150751134"/>
      <w:bookmarkEnd w:id="339"/>
      <w:r>
        <w:rPr>
          <w:rFonts w:ascii="Lato" w:hAnsi="Lato"/>
          <w:color w:val="172236"/>
          <w:sz w:val="42"/>
        </w:rPr>
        <w:t>Closing</w:t>
      </w:r>
    </w:p>
    <w:p>
      <w:pPr>
        <w:pStyle w:val="Normal"/>
        <w:rPr/>
      </w:pPr>
      <w:r>
        <w:rPr>
          <w:color w:val="172236"/>
          <w:sz w:val="19"/>
        </w:rPr>
        <w:t>This evolution document fills the gaps that would block or degrade implementation of the v0.1 overview. The priority order for implementation is:</w:t>
      </w:r>
    </w:p>
    <w:p>
      <w:pPr>
        <w:pStyle w:val="ListNumber"/>
        <w:numPr>
          <w:ilvl w:val="0"/>
          <w:numId w:val="4"/>
        </w:numPr>
        <w:rPr/>
      </w:pPr>
      <w:r>
        <w:rPr>
          <w:b/>
          <w:color w:val="172236"/>
          <w:sz w:val="18"/>
        </w:rPr>
        <w:t>Part I — Trait Surfaces</w:t>
      </w:r>
      <w:r>
        <w:rPr>
          <w:color w:val="172236"/>
          <w:sz w:val="18"/>
        </w:rPr>
        <w:t xml:space="preserve"> (Strategy, Risk, BrokerGateway, ToolGateway, AlertEvaluator, Repository) — these are the architectural contract. Nothing else can be built correctly until these exist as reviewed ADRs.</w:t>
      </w:r>
    </w:p>
    <w:p>
      <w:pPr>
        <w:pStyle w:val="ListNumber"/>
        <w:numPr>
          <w:ilvl w:val="0"/>
          <w:numId w:val="4"/>
        </w:numPr>
        <w:rPr/>
      </w:pPr>
      <w:r>
        <w:rPr>
          <w:b/>
          <w:color w:val="172236"/>
          <w:sz w:val="18"/>
        </w:rPr>
        <w:t>Part II — Pipeline Orchestration</w:t>
      </w:r>
      <w:r>
        <w:rPr>
          <w:color w:val="172236"/>
          <w:sz w:val="18"/>
        </w:rPr>
        <w:t xml:space="preserve"> — the data pipeline is the backbone of evidence-chained intelligence.</w:t>
      </w:r>
    </w:p>
    <w:p>
      <w:pPr>
        <w:pStyle w:val="ListNumber"/>
        <w:numPr>
          <w:ilvl w:val="0"/>
          <w:numId w:val="4"/>
        </w:numPr>
        <w:rPr/>
      </w:pPr>
      <w:r>
        <w:rPr>
          <w:b/>
          <w:color w:val="172236"/>
          <w:sz w:val="18"/>
        </w:rPr>
        <w:t>Part III — Cost Model</w:t>
      </w:r>
      <w:r>
        <w:rPr>
          <w:color w:val="172236"/>
          <w:sz w:val="18"/>
        </w:rPr>
        <w:t xml:space="preserve"> — required for the Phase 0 exit criteria.</w:t>
      </w:r>
    </w:p>
    <w:p>
      <w:pPr>
        <w:pStyle w:val="ListNumber"/>
        <w:numPr>
          <w:ilvl w:val="0"/>
          <w:numId w:val="4"/>
        </w:numPr>
        <w:rPr/>
      </w:pPr>
      <w:r>
        <w:rPr>
          <w:b/>
          <w:color w:val="172236"/>
          <w:sz w:val="18"/>
        </w:rPr>
        <w:t>Part IV — First-Run and Suitability</w:t>
      </w:r>
      <w:r>
        <w:rPr>
          <w:color w:val="172236"/>
          <w:sz w:val="18"/>
        </w:rPr>
        <w:t xml:space="preserve"> — determines whether the product's pitch lands.</w:t>
      </w:r>
    </w:p>
    <w:p>
      <w:pPr>
        <w:pStyle w:val="ListNumber"/>
        <w:numPr>
          <w:ilvl w:val="0"/>
          <w:numId w:val="4"/>
        </w:numPr>
        <w:rPr/>
      </w:pPr>
      <w:r>
        <w:rPr>
          <w:b/>
          <w:color w:val="172236"/>
          <w:sz w:val="18"/>
        </w:rPr>
        <w:t>Parts V–X</w:t>
      </w:r>
      <w:r>
        <w:rPr>
          <w:color w:val="172236"/>
          <w:sz w:val="18"/>
        </w:rPr>
        <w:t xml:space="preserve"> — fill the remaining gaps as phases progress.</w:t>
      </w:r>
    </w:p>
    <w:p>
      <w:pPr>
        <w:pStyle w:val="Normal"/>
        <w:rPr/>
      </w:pPr>
      <w:r>
        <w:rPr>
          <w:color w:val="172236"/>
          <w:sz w:val="19"/>
        </w:rPr>
        <w:t>The v0.1 overview remains the authoritative product and security document. This document is its build-ready companion.</w:t>
      </w:r>
    </w:p>
    <w:p>
      <w:pPr>
        <w:pStyle w:val="Normal"/>
        <w:spacing w:before="0" w:after="0"/>
        <w:jc w:val="center"/>
        <w:rPr/>
      </w:pPr>
      <w:r>
        <w:rPr/>
        <w:drawing>
          <wp:inline distT="0" distB="0" distL="0" distR="0">
            <wp:extent cx="6546850" cy="8174990"/>
            <wp:effectExtent l="0" t="0" r="0" b="0"/>
            <wp:docPr id="21" name="Picture 21" descr="Image: image21.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title=""/>
                    <pic:cNvPicPr>
                      <a:picLocks noChangeAspect="1" noChangeArrowheads="1"/>
                    </pic:cNvPicPr>
                  </pic:nvPicPr>
                  <pic:blipFill>
                    <a:blip r:embed="rId70"/>
                    <a:stretch>
                      <a:fillRect/>
                    </a:stretch>
                  </pic:blipFill>
                  <pic:spPr bwMode="auto">
                    <a:xfrm>
                      <a:off x="0" y="0"/>
                      <a:ext cx="6546850" cy="8174990"/>
                    </a:xfrm>
                    <a:prstGeom prst="rect">
                      <a:avLst/>
                    </a:prstGeom>
                    <a:noFill/>
                  </pic:spPr>
                </pic:pic>
              </a:graphicData>
            </a:graphic>
          </wp:inline>
        </w:drawing>
      </w:r>
    </w:p>
    <w:p>
      <w:pPr>
        <w:pStyle w:val="Normal"/>
        <w:rPr/>
      </w:pPr>
      <w:r>
        <w:rPr/>
      </w:r>
    </w:p>
    <w:p>
      <w:pPr>
        <w:sectPr>
          <w:headerReference w:type="even" r:id="rId71"/>
          <w:headerReference w:type="default" r:id="rId72"/>
          <w:headerReference w:type="first" r:id="rId73"/>
          <w:footerReference w:type="even" r:id="rId74"/>
          <w:footerReference w:type="default" r:id="rId75"/>
          <w:footerReference w:type="first" r:id="rId76"/>
          <w:type w:val="nextPage"/>
          <w:pgSz w:w="12240" w:h="15840"/>
          <w:pgMar w:left="965" w:right="965" w:gutter="0" w:header="360" w:top="893" w:footer="360" w:bottom="835"/>
          <w:pgNumType w:fmt="decimal"/>
          <w:formProt w:val="false"/>
          <w:textDirection w:val="lrTb"/>
          <w:docGrid w:type="default" w:linePitch="312" w:charSpace="4096"/>
        </w:sectPr>
      </w:pPr>
    </w:p>
    <w:p>
      <w:pPr>
        <w:pStyle w:val="Heading1"/>
        <w:pageBreakBefore w:val="false"/>
        <w:rPr/>
      </w:pPr>
      <w:bookmarkStart w:id="340" w:name="__RefHeading___Toc7400_2150751134"/>
      <w:bookmarkEnd w:id="340"/>
      <w:r>
        <w:rPr/>
        <w:t>Engineering Operating Doctrine</w:t>
      </w:r>
    </w:p>
    <w:tbl>
      <w:tblPr>
        <w:tblW w:w="10310" w:type="dxa"/>
        <w:jc w:val="center"/>
        <w:tblInd w:w="0" w:type="dxa"/>
        <w:tblLayout w:type="fixed"/>
        <w:tblCellMar>
          <w:top w:w="130" w:type="dxa"/>
          <w:start w:w="170" w:type="dxa"/>
          <w:bottom w:w="130" w:type="dxa"/>
          <w:end w:w="180" w:type="dxa"/>
        </w:tblCellMar>
        <w:tblLook w:val="04a0" w:noHBand="0" w:noVBand="1" w:firstColumn="1" w:lastRow="0" w:lastColumn="0" w:firstRow="1"/>
      </w:tblPr>
      <w:tblGrid>
        <w:gridCol w:w="10310"/>
      </w:tblGrid>
      <w:tr>
        <w:trPr>
          <w:tblHeader/>
          <w:cantSplit/>
        </w:trPr>
        <w:tc>
          <w:tcPr>
            <w:tcW w:w="10310" w:type="dxa"/>
            <w:tcBorders>
              <w:start w:val="single" w:sz="28" w:space="0" w:color="FF5D73"/>
            </w:tcBorders>
            <w:shd w:fill="FFF0F2"/>
          </w:tcPr>
          <w:p>
            <w:pPr>
              <w:pStyle w:val="Normal"/>
              <w:spacing w:before="0" w:after="100"/>
              <w:rPr/>
            </w:pPr>
            <w:r>
              <w:rPr>
                <w:rFonts w:ascii="Inter Display" w:hAnsi="Inter Display"/>
                <w:b/>
                <w:color w:val="FF5D73"/>
                <w:sz w:val="16"/>
              </w:rPr>
              <w:t xml:space="preserve">PRIME DIRECTIVE  </w:t>
            </w:r>
            <w:r>
              <w:rPr>
                <w:color w:val="172236"/>
                <w:sz w:val="18"/>
              </w:rPr>
              <w:t>PRISMATIK is production software, not a demonstration. Every change must increase correctness, security, maintainability, observability, reproducibility, and operational confidence.</w:t>
            </w:r>
          </w:p>
        </w:tc>
      </w:tr>
    </w:tbl>
    <w:p>
      <w:pPr>
        <w:pStyle w:val="Normal"/>
        <w:spacing w:before="0" w:after="0"/>
        <w:rPr/>
      </w:pPr>
      <w:r>
        <w:rPr/>
      </w:r>
    </w:p>
    <w:tbl>
      <w:tblPr>
        <w:tblW w:w="10308" w:type="dxa"/>
        <w:jc w:val="center"/>
        <w:tblInd w:w="0" w:type="dxa"/>
        <w:tblLayout w:type="fixed"/>
        <w:tblCellMar>
          <w:top w:w="130" w:type="dxa"/>
          <w:start w:w="120" w:type="dxa"/>
          <w:bottom w:w="130" w:type="dxa"/>
          <w:end w:w="120" w:type="dxa"/>
        </w:tblCellMar>
        <w:tblLook w:val="04a0" w:noHBand="0" w:noVBand="1" w:firstColumn="1" w:lastRow="0" w:lastColumn="0" w:firstRow="1"/>
      </w:tblPr>
      <w:tblGrid>
        <w:gridCol w:w="2577"/>
        <w:gridCol w:w="2577"/>
        <w:gridCol w:w="2577"/>
        <w:gridCol w:w="2576"/>
      </w:tblGrid>
      <w:tr>
        <w:trPr>
          <w:tblHeader/>
          <w:cantSplit/>
        </w:trPr>
        <w:tc>
          <w:tcPr>
            <w:tcW w:w="2577" w:type="dxa"/>
            <w:tcBorders>
              <w:top w:val="single" w:sz="12" w:space="0" w:color="33C7F2"/>
              <w:start w:val="single" w:sz="2" w:space="0" w:color="D9E2EC"/>
              <w:bottom w:val="single" w:sz="2" w:space="0" w:color="D9E2EC"/>
              <w:end w:val="single" w:sz="2" w:space="0" w:color="D9E2EC"/>
            </w:tcBorders>
            <w:shd w:fill="F3F7FB"/>
          </w:tcPr>
          <w:p>
            <w:pPr>
              <w:pStyle w:val="Normal"/>
              <w:rPr/>
            </w:pPr>
            <w:r>
              <w:rPr>
                <w:rFonts w:ascii="Inter Display" w:hAnsi="Inter Display"/>
                <w:b/>
                <w:color w:val="33C7F2"/>
                <w:sz w:val="15"/>
              </w:rPr>
              <w:t>Correctness before cleverness</w:t>
            </w:r>
          </w:p>
          <w:p>
            <w:pPr>
              <w:pStyle w:val="Normal"/>
              <w:spacing w:before="0" w:after="100"/>
              <w:rPr/>
            </w:pPr>
            <w:r>
              <w:rPr>
                <w:color w:val="172236"/>
                <w:sz w:val="13"/>
              </w:rPr>
              <w:t>Encode invariants in domain types, validate every untrusted boundary, and prefer explicit behavior.</w:t>
            </w:r>
          </w:p>
        </w:tc>
        <w:tc>
          <w:tcPr>
            <w:tcW w:w="2577" w:type="dxa"/>
            <w:tcBorders>
              <w:top w:val="single" w:sz="12" w:space="0" w:color="527CFF"/>
              <w:start w:val="single" w:sz="2" w:space="0" w:color="D9E2EC"/>
              <w:bottom w:val="single" w:sz="2" w:space="0" w:color="D9E2EC"/>
              <w:end w:val="single" w:sz="2" w:space="0" w:color="D9E2EC"/>
            </w:tcBorders>
            <w:shd w:fill="F3F7FB"/>
          </w:tcPr>
          <w:p>
            <w:pPr>
              <w:pStyle w:val="Normal"/>
              <w:rPr/>
            </w:pPr>
            <w:r>
              <w:rPr>
                <w:rFonts w:ascii="Inter Display" w:hAnsi="Inter Display"/>
                <w:b/>
                <w:color w:val="527CFF"/>
                <w:sz w:val="15"/>
              </w:rPr>
              <w:t>Security by default</w:t>
            </w:r>
          </w:p>
          <w:p>
            <w:pPr>
              <w:pStyle w:val="Normal"/>
              <w:spacing w:before="0" w:after="100"/>
              <w:rPr/>
            </w:pPr>
            <w:r>
              <w:rPr>
                <w:color w:val="172236"/>
                <w:sz w:val="13"/>
              </w:rPr>
              <w:t>Least privilege, safe defaults, abuse-case thinking, secret isolation, signed artifacts, and fail-closed controls.</w:t>
            </w:r>
          </w:p>
        </w:tc>
        <w:tc>
          <w:tcPr>
            <w:tcW w:w="2577" w:type="dxa"/>
            <w:tcBorders>
              <w:top w:val="single" w:sz="12" w:space="0" w:color="8B5CF6"/>
              <w:start w:val="single" w:sz="2" w:space="0" w:color="D9E2EC"/>
              <w:bottom w:val="single" w:sz="2" w:space="0" w:color="D9E2EC"/>
              <w:end w:val="single" w:sz="2" w:space="0" w:color="D9E2EC"/>
            </w:tcBorders>
            <w:shd w:fill="F3F7FB"/>
          </w:tcPr>
          <w:p>
            <w:pPr>
              <w:pStyle w:val="Normal"/>
              <w:rPr/>
            </w:pPr>
            <w:r>
              <w:rPr>
                <w:rFonts w:ascii="Inter Display" w:hAnsi="Inter Display"/>
                <w:b/>
                <w:color w:val="8B5CF6"/>
                <w:sz w:val="15"/>
              </w:rPr>
              <w:t>Idempotency by design</w:t>
            </w:r>
          </w:p>
          <w:p>
            <w:pPr>
              <w:pStyle w:val="Normal"/>
              <w:spacing w:before="0" w:after="100"/>
              <w:rPr/>
            </w:pPr>
            <w:r>
              <w:rPr>
                <w:color w:val="172236"/>
                <w:sz w:val="13"/>
              </w:rPr>
              <w:t>Retries, redelivery, double-clicks, and uncertain network outcomes must not create duplicated trades or state.</w:t>
            </w:r>
          </w:p>
        </w:tc>
        <w:tc>
          <w:tcPr>
            <w:tcW w:w="2576" w:type="dxa"/>
            <w:tcBorders>
              <w:top w:val="single" w:sz="12" w:space="0" w:color="32D296"/>
              <w:start w:val="single" w:sz="2" w:space="0" w:color="D9E2EC"/>
              <w:bottom w:val="single" w:sz="2" w:space="0" w:color="D9E2EC"/>
              <w:end w:val="single" w:sz="2" w:space="0" w:color="D9E2EC"/>
            </w:tcBorders>
            <w:shd w:fill="F3F7FB"/>
          </w:tcPr>
          <w:p>
            <w:pPr>
              <w:pStyle w:val="Normal"/>
              <w:rPr/>
            </w:pPr>
            <w:r>
              <w:rPr>
                <w:rFonts w:ascii="Inter Display" w:hAnsi="Inter Display"/>
                <w:b/>
                <w:color w:val="32D296"/>
                <w:sz w:val="15"/>
              </w:rPr>
              <w:t>Bounded concurrency</w:t>
            </w:r>
          </w:p>
          <w:p>
            <w:pPr>
              <w:pStyle w:val="Normal"/>
              <w:spacing w:before="0" w:after="100"/>
              <w:rPr/>
            </w:pPr>
            <w:r>
              <w:rPr>
                <w:color w:val="172236"/>
                <w:sz w:val="13"/>
              </w:rPr>
              <w:t>Every task, queue, scan, worker, and fan-out has ownership, cancellation, timeouts, limits, and backpressure.</w:t>
            </w:r>
          </w:p>
        </w:tc>
      </w:tr>
      <w:tr>
        <w:trPr>
          <w:cantSplit/>
        </w:trPr>
        <w:tc>
          <w:tcPr>
            <w:tcW w:w="2577" w:type="dxa"/>
            <w:tcBorders>
              <w:top w:val="single" w:sz="12" w:space="0" w:color="FFB547"/>
              <w:start w:val="single" w:sz="2" w:space="0" w:color="D9E2EC"/>
              <w:bottom w:val="single" w:sz="2" w:space="0" w:color="D9E2EC"/>
              <w:end w:val="single" w:sz="2" w:space="0" w:color="D9E2EC"/>
            </w:tcBorders>
            <w:shd w:fill="F3F7FB"/>
          </w:tcPr>
          <w:p>
            <w:pPr>
              <w:pStyle w:val="Normal"/>
              <w:rPr/>
            </w:pPr>
            <w:r>
              <w:rPr>
                <w:rFonts w:ascii="Inter Display" w:hAnsi="Inter Display"/>
                <w:b/>
                <w:color w:val="FFB547"/>
                <w:sz w:val="15"/>
              </w:rPr>
              <w:t>Evidence and observability</w:t>
            </w:r>
          </w:p>
          <w:p>
            <w:pPr>
              <w:pStyle w:val="Normal"/>
              <w:spacing w:before="0" w:after="100"/>
              <w:rPr/>
            </w:pPr>
            <w:r>
              <w:rPr>
                <w:color w:val="172236"/>
                <w:sz w:val="13"/>
              </w:rPr>
              <w:t>Logs, metrics, traces, health, correlation IDs, provenance, and audit records explain important state transitions.</w:t>
            </w:r>
          </w:p>
        </w:tc>
        <w:tc>
          <w:tcPr>
            <w:tcW w:w="2577" w:type="dxa"/>
            <w:tcBorders>
              <w:top w:val="single" w:sz="12" w:space="0" w:color="D946EF"/>
              <w:start w:val="single" w:sz="2" w:space="0" w:color="D9E2EC"/>
              <w:bottom w:val="single" w:sz="2" w:space="0" w:color="D9E2EC"/>
              <w:end w:val="single" w:sz="2" w:space="0" w:color="D9E2EC"/>
            </w:tcBorders>
            <w:shd w:fill="F3F7FB"/>
          </w:tcPr>
          <w:p>
            <w:pPr>
              <w:pStyle w:val="Normal"/>
              <w:rPr/>
            </w:pPr>
            <w:r>
              <w:rPr>
                <w:rFonts w:ascii="Inter Display" w:hAnsi="Inter Display"/>
                <w:b/>
                <w:color w:val="D946EF"/>
                <w:sz w:val="15"/>
              </w:rPr>
              <w:t>Reproducibility</w:t>
            </w:r>
          </w:p>
          <w:p>
            <w:pPr>
              <w:pStyle w:val="Normal"/>
              <w:spacing w:before="0" w:after="100"/>
              <w:rPr/>
            </w:pPr>
            <w:r>
              <w:rPr>
                <w:color w:val="172236"/>
                <w:sz w:val="13"/>
              </w:rPr>
              <w:t>Builds, datasets, models, strategies, simulations, migrations, and releases are versioned and repeatable.</w:t>
            </w:r>
          </w:p>
        </w:tc>
        <w:tc>
          <w:tcPr>
            <w:tcW w:w="2577" w:type="dxa"/>
            <w:tcBorders>
              <w:top w:val="single" w:sz="12" w:space="0" w:color="FF5D73"/>
              <w:start w:val="single" w:sz="2" w:space="0" w:color="D9E2EC"/>
              <w:bottom w:val="single" w:sz="2" w:space="0" w:color="D9E2EC"/>
              <w:end w:val="single" w:sz="2" w:space="0" w:color="D9E2EC"/>
            </w:tcBorders>
            <w:shd w:fill="F3F7FB"/>
          </w:tcPr>
          <w:p>
            <w:pPr>
              <w:pStyle w:val="Normal"/>
              <w:rPr/>
            </w:pPr>
            <w:r>
              <w:rPr>
                <w:rFonts w:ascii="Inter Display" w:hAnsi="Inter Display"/>
                <w:b/>
                <w:color w:val="FF5D73"/>
                <w:sz w:val="15"/>
              </w:rPr>
              <w:t>AI as accelerator, not authority</w:t>
            </w:r>
          </w:p>
          <w:p>
            <w:pPr>
              <w:pStyle w:val="Normal"/>
              <w:spacing w:before="0" w:after="100"/>
              <w:rPr/>
            </w:pPr>
            <w:r>
              <w:rPr>
                <w:color w:val="172236"/>
                <w:sz w:val="13"/>
              </w:rPr>
              <w:t>AI output is untrusted until validated, tested, reviewed, and constrained by deterministic policy.</w:t>
            </w:r>
          </w:p>
        </w:tc>
        <w:tc>
          <w:tcPr>
            <w:tcW w:w="2576" w:type="dxa"/>
            <w:tcBorders>
              <w:top w:val="single" w:sz="12" w:space="0" w:color="33C7F2"/>
              <w:start w:val="single" w:sz="2" w:space="0" w:color="D9E2EC"/>
              <w:bottom w:val="single" w:sz="2" w:space="0" w:color="D9E2EC"/>
              <w:end w:val="single" w:sz="2" w:space="0" w:color="D9E2EC"/>
            </w:tcBorders>
            <w:shd w:fill="F3F7FB"/>
          </w:tcPr>
          <w:p>
            <w:pPr>
              <w:pStyle w:val="Normal"/>
              <w:rPr/>
            </w:pPr>
            <w:r>
              <w:rPr>
                <w:rFonts w:ascii="Inter Display" w:hAnsi="Inter Display"/>
                <w:b/>
                <w:color w:val="33C7F2"/>
                <w:sz w:val="15"/>
              </w:rPr>
              <w:t>Cryptographic agility</w:t>
            </w:r>
          </w:p>
          <w:p>
            <w:pPr>
              <w:pStyle w:val="Normal"/>
              <w:spacing w:before="0" w:after="100"/>
              <w:rPr/>
            </w:pPr>
            <w:r>
              <w:rPr>
                <w:color w:val="172236"/>
                <w:sz w:val="13"/>
              </w:rPr>
              <w:t>Use strong modern protection now and preserve a documented migration path to hybrid and post-quantum profiles.</w:t>
            </w:r>
          </w:p>
        </w:tc>
      </w:tr>
    </w:tbl>
    <w:p>
      <w:pPr>
        <w:pStyle w:val="Heading2"/>
        <w:rPr/>
      </w:pPr>
      <w:bookmarkStart w:id="341" w:name="__RefHeading___Toc7402_2150751134"/>
      <w:bookmarkEnd w:id="341"/>
      <w:r>
        <w:rPr/>
        <w:t>Minimum Definition of Done</w:t>
      </w:r>
    </w:p>
    <w:p>
      <w:pPr>
        <w:pStyle w:val="ListBullet"/>
        <w:numPr>
          <w:ilvl w:val="0"/>
          <w:numId w:val="1"/>
        </w:numPr>
        <w:rPr/>
      </w:pPr>
      <w:r>
        <w:rPr/>
        <w:t>Requirements and acceptance criteria are explicit.</w:t>
      </w:r>
    </w:p>
    <w:p>
      <w:pPr>
        <w:pStyle w:val="ListBullet"/>
        <w:numPr>
          <w:ilvl w:val="0"/>
          <w:numId w:val="1"/>
        </w:numPr>
        <w:rPr/>
      </w:pPr>
      <w:r>
        <w:rPr/>
        <w:t>Threat-model impact and abuse cases are considered.</w:t>
      </w:r>
    </w:p>
    <w:p>
      <w:pPr>
        <w:pStyle w:val="ListBullet"/>
        <w:numPr>
          <w:ilvl w:val="0"/>
          <w:numId w:val="1"/>
        </w:numPr>
        <w:rPr/>
      </w:pPr>
      <w:r>
        <w:rPr/>
        <w:t>Contracts and migrations are versioned.</w:t>
      </w:r>
    </w:p>
    <w:p>
      <w:pPr>
        <w:pStyle w:val="ListBullet"/>
        <w:numPr>
          <w:ilvl w:val="0"/>
          <w:numId w:val="1"/>
        </w:numPr>
        <w:rPr/>
      </w:pPr>
      <w:r>
        <w:rPr/>
        <w:t>Code formats, lints, compiles, and tests successfully.</w:t>
      </w:r>
    </w:p>
    <w:p>
      <w:pPr>
        <w:pStyle w:val="ListBullet"/>
        <w:numPr>
          <w:ilvl w:val="0"/>
          <w:numId w:val="1"/>
        </w:numPr>
        <w:rPr/>
      </w:pPr>
      <w:r>
        <w:rPr/>
        <w:t>Failure paths and rollback are tested.</w:t>
      </w:r>
    </w:p>
    <w:p>
      <w:pPr>
        <w:pStyle w:val="ListBullet"/>
        <w:numPr>
          <w:ilvl w:val="0"/>
          <w:numId w:val="1"/>
        </w:numPr>
        <w:rPr/>
      </w:pPr>
      <w:r>
        <w:rPr/>
        <w:t>Observability and runbooks exist.</w:t>
      </w:r>
    </w:p>
    <w:p>
      <w:pPr>
        <w:pStyle w:val="ListBullet"/>
        <w:numPr>
          <w:ilvl w:val="0"/>
          <w:numId w:val="1"/>
        </w:numPr>
        <w:rPr/>
      </w:pPr>
      <w:r>
        <w:rPr/>
        <w:t>Secrets and sensitive data are protected.</w:t>
      </w:r>
    </w:p>
    <w:p>
      <w:pPr>
        <w:pStyle w:val="ListBullet"/>
        <w:numPr>
          <w:ilvl w:val="0"/>
          <w:numId w:val="1"/>
        </w:numPr>
        <w:rPr/>
      </w:pPr>
      <w:r>
        <w:rPr/>
        <w:t>PQC posture and strongest-available fallback are documented.</w:t>
      </w:r>
    </w:p>
    <w:p>
      <w:pPr>
        <w:pStyle w:val="ListBullet"/>
        <w:numPr>
          <w:ilvl w:val="0"/>
          <w:numId w:val="1"/>
        </w:numPr>
        <w:rPr/>
      </w:pPr>
      <w:r>
        <w:rPr/>
        <w:t>AI-generated portions are reviewed as untrusted.</w:t>
      </w:r>
    </w:p>
    <w:p>
      <w:pPr>
        <w:pStyle w:val="ListBullet"/>
        <w:numPr>
          <w:ilvl w:val="0"/>
          <w:numId w:val="1"/>
        </w:numPr>
        <w:rPr/>
      </w:pPr>
      <w:r>
        <w:rPr/>
        <w:t>The project workbook is updated with actions, validation, risks, and continuation handoff.</w:t>
      </w:r>
    </w:p>
    <w:p>
      <w:pPr>
        <w:pStyle w:val="Heading1"/>
        <w:pageBreakBefore w:val="false"/>
        <w:rPr/>
      </w:pPr>
      <w:bookmarkStart w:id="342" w:name="__RefHeading___Toc7404_2150751134"/>
      <w:bookmarkEnd w:id="342"/>
      <w:r>
        <w:rPr/>
        <w:t>Implementation Readiness Index</w:t>
      </w:r>
    </w:p>
    <w:tbl>
      <w:tblPr>
        <w:tblW w:w="1031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437"/>
        <w:gridCol w:w="3437"/>
        <w:gridCol w:w="3437"/>
      </w:tblGrid>
      <w:tr>
        <w:trPr>
          <w:tblHeader w:val="true"/>
          <w:cantSplit/>
        </w:trPr>
        <w:tc>
          <w:tcPr>
            <w:tcW w:w="3437" w:type="dxa"/>
            <w:tcBorders/>
            <w:shd w:fill="0D1C32"/>
          </w:tcPr>
          <w:p>
            <w:pPr>
              <w:pStyle w:val="Normal"/>
              <w:spacing w:before="0" w:after="100"/>
              <w:rPr/>
            </w:pPr>
            <w:r>
              <w:rPr>
                <w:rFonts w:ascii="Inter Display" w:hAnsi="Inter Display"/>
                <w:b/>
                <w:color w:val="FFFFFF"/>
                <w:sz w:val="14"/>
              </w:rPr>
              <w:t>DOMAIN</w:t>
            </w:r>
          </w:p>
        </w:tc>
        <w:tc>
          <w:tcPr>
            <w:tcW w:w="3437" w:type="dxa"/>
            <w:tcBorders/>
            <w:shd w:fill="0D1C32"/>
          </w:tcPr>
          <w:p>
            <w:pPr>
              <w:pStyle w:val="Normal"/>
              <w:spacing w:before="0" w:after="100"/>
              <w:rPr/>
            </w:pPr>
            <w:r>
              <w:rPr>
                <w:rFonts w:ascii="Inter Display" w:hAnsi="Inter Display"/>
                <w:b/>
                <w:color w:val="FFFFFF"/>
                <w:sz w:val="14"/>
              </w:rPr>
              <w:t>LOAD-BEARING DELIVERABLE</w:t>
            </w:r>
          </w:p>
        </w:tc>
        <w:tc>
          <w:tcPr>
            <w:tcW w:w="3437" w:type="dxa"/>
            <w:tcBorders/>
            <w:shd w:fill="0D1C32"/>
          </w:tcPr>
          <w:p>
            <w:pPr>
              <w:pStyle w:val="Normal"/>
              <w:spacing w:before="0" w:after="100"/>
              <w:rPr/>
            </w:pPr>
            <w:r>
              <w:rPr>
                <w:rFonts w:ascii="Inter Display" w:hAnsi="Inter Display"/>
                <w:b/>
                <w:color w:val="FFFFFF"/>
                <w:sz w:val="14"/>
              </w:rPr>
              <w:t>TARGET</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Product identity</w:t>
            </w:r>
          </w:p>
        </w:tc>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Working name isolated from schemas and package contracts</w:t>
            </w:r>
          </w:p>
        </w:tc>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Defined</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Crypto foundation</w:t>
            </w:r>
          </w:p>
        </w:tc>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CoinGecko provider adapter, identity service, cache, rate governor</w:t>
            </w:r>
          </w:p>
        </w:tc>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Phase 0-1</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Equity/options</w:t>
            </w:r>
          </w:p>
        </w:tc>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Licensed quote feed and Unusual Whales adapter</w:t>
            </w:r>
          </w:p>
        </w:tc>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Phase 2-3</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Regulatory intelligence</w:t>
            </w:r>
          </w:p>
        </w:tc>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SEC EDGAR and CFTC PRE pipelines</w:t>
            </w:r>
          </w:p>
        </w:tc>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Phase 2</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Quant runtime</w:t>
            </w:r>
          </w:p>
        </w:tc>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Strategy IR, deterministic context, backtest, validation</w:t>
            </w:r>
          </w:p>
        </w:tc>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Phase 4</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Simulation</w:t>
            </w:r>
          </w:p>
        </w:tc>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Bootstrap, parametric, jump, stochastic volatility, portfolio paths</w:t>
            </w:r>
          </w:p>
        </w:tc>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Phase 5</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AI controls</w:t>
            </w:r>
          </w:p>
        </w:tc>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Tool gateway, read/draft permissions, no direct submit</w:t>
            </w:r>
          </w:p>
        </w:tc>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Phase 1 onward</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Execution</w:t>
            </w:r>
          </w:p>
        </w:tc>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Broker gateway, risk policy, approval, idempotency, reconciliation</w:t>
            </w:r>
          </w:p>
        </w:tc>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Phase 7</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Security</w:t>
            </w:r>
          </w:p>
        </w:tc>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Tauri boundaries, keychain/Vault, signed updates, audit, zero trust</w:t>
            </w:r>
          </w:p>
        </w:tc>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Foundation</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PQC agility</w:t>
            </w:r>
          </w:p>
        </w:tc>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Crypto inventory, hybrid readiness, dual-sign manifests</w:t>
            </w:r>
          </w:p>
        </w:tc>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Foundation onward</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Enterprise</w:t>
            </w:r>
          </w:p>
        </w:tc>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SSO, RBAC/ABAC, on-prem, SIEM, HSM/Vault</w:t>
            </w:r>
          </w:p>
        </w:tc>
        <w:tc>
          <w:tcPr>
            <w:tcW w:w="3437" w:type="dxa"/>
            <w:tcBorders>
              <w:top w:val="single" w:sz="2" w:space="0" w:color="D9E2EC"/>
              <w:start w:val="single" w:sz="2" w:space="0" w:color="D9E2EC"/>
              <w:bottom w:val="single" w:sz="2" w:space="0" w:color="D9E2EC"/>
              <w:end w:val="single" w:sz="2" w:space="0" w:color="D9E2EC"/>
            </w:tcBorders>
            <w:shd w:fill="F8FAFD"/>
            <w:tcMar>
              <w:top w:w="70" w:type="dxa"/>
              <w:start w:w="70" w:type="dxa"/>
              <w:bottom w:w="70" w:type="dxa"/>
              <w:end w:w="70" w:type="dxa"/>
            </w:tcMar>
          </w:tcPr>
          <w:p>
            <w:pPr>
              <w:pStyle w:val="Normal"/>
              <w:spacing w:before="0" w:after="100"/>
              <w:rPr/>
            </w:pPr>
            <w:r>
              <w:rPr>
                <w:color w:val="172236"/>
                <w:sz w:val="14"/>
              </w:rPr>
              <w:t>Phase 8</w:t>
            </w:r>
          </w:p>
        </w:tc>
      </w:tr>
      <w:tr>
        <w:trPr>
          <w:cantSplit/>
        </w:trPr>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Ecosystem</w:t>
            </w:r>
          </w:p>
        </w:tc>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Signed WASM plugins, MCP registry, review and revocation</w:t>
            </w:r>
          </w:p>
        </w:tc>
        <w:tc>
          <w:tcPr>
            <w:tcW w:w="3437" w:type="dxa"/>
            <w:tcBorders>
              <w:top w:val="single" w:sz="2" w:space="0" w:color="D9E2EC"/>
              <w:start w:val="single" w:sz="2" w:space="0" w:color="D9E2EC"/>
              <w:bottom w:val="single" w:sz="2" w:space="0" w:color="D9E2EC"/>
              <w:end w:val="single" w:sz="2" w:space="0" w:color="D9E2EC"/>
            </w:tcBorders>
            <w:shd w:fill="EEF3F8"/>
            <w:tcMar>
              <w:top w:w="70" w:type="dxa"/>
              <w:start w:w="70" w:type="dxa"/>
              <w:bottom w:w="70" w:type="dxa"/>
              <w:end w:w="70" w:type="dxa"/>
            </w:tcMar>
          </w:tcPr>
          <w:p>
            <w:pPr>
              <w:pStyle w:val="Normal"/>
              <w:spacing w:before="0" w:after="100"/>
              <w:rPr/>
            </w:pPr>
            <w:r>
              <w:rPr>
                <w:color w:val="172236"/>
                <w:sz w:val="14"/>
              </w:rPr>
              <w:t>Phase 9</w:t>
            </w:r>
          </w:p>
        </w:tc>
      </w:tr>
    </w:tbl>
    <w:p>
      <w:pPr>
        <w:pStyle w:val="Heading1"/>
        <w:pageBreakBefore w:val="false"/>
        <w:rPr/>
      </w:pPr>
      <w:bookmarkStart w:id="343" w:name="__RefHeading___Toc7406_2150751134"/>
      <w:bookmarkEnd w:id="343"/>
      <w:r>
        <w:rPr/>
        <w:t>Glossary of Core Terms</w:t>
      </w:r>
    </w:p>
    <w:tbl>
      <w:tblPr>
        <w:tblW w:w="10310"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5155"/>
        <w:gridCol w:w="5154"/>
      </w:tblGrid>
      <w:tr>
        <w:trPr>
          <w:tblHeader w:val="true"/>
          <w:cantSplit/>
        </w:trPr>
        <w:tc>
          <w:tcPr>
            <w:tcW w:w="5155" w:type="dxa"/>
            <w:tcBorders/>
            <w:shd w:fill="0D1C32"/>
          </w:tcPr>
          <w:p>
            <w:pPr>
              <w:pStyle w:val="Normal"/>
              <w:spacing w:before="0" w:after="100"/>
              <w:rPr/>
            </w:pPr>
            <w:r>
              <w:rPr>
                <w:rFonts w:ascii="Inter Display" w:hAnsi="Inter Display"/>
                <w:b/>
                <w:color w:val="FFFFFF"/>
                <w:sz w:val="15"/>
              </w:rPr>
              <w:t>TERM</w:t>
            </w:r>
          </w:p>
        </w:tc>
        <w:tc>
          <w:tcPr>
            <w:tcW w:w="5154" w:type="dxa"/>
            <w:tcBorders/>
            <w:shd w:fill="0D1C32"/>
          </w:tcPr>
          <w:p>
            <w:pPr>
              <w:pStyle w:val="Normal"/>
              <w:spacing w:before="0" w:after="100"/>
              <w:rPr/>
            </w:pPr>
            <w:r>
              <w:rPr>
                <w:rFonts w:ascii="Inter Display" w:hAnsi="Inter Display"/>
                <w:b/>
                <w:color w:val="FFFFFF"/>
                <w:sz w:val="15"/>
              </w:rPr>
              <w:t>DEFINITION</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ABAC</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Attribute-Based Access Control; authorization based on attributes such as role, account, environment, device posture, and risk context.</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ADR</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Architecture Decision Record; a durable record of a significant technical decision, alternatives, consequences, security impact, and rollback plan.</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Alpha</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Return or value attributable to a strategy beyond its benchmark or modeled systematic exposure.</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Backtest</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A deterministic historical simulation of a strategy using point-in-time data and explicit execution assumptions.</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CFTC</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U.S. Commodity Futures Trading Commission.</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COT</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Commitments of Traders reports describing aggregated positioning in futures and options on futures.</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CVaR</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Conditional Value at Risk, also called expected shortfall; the expected loss in the tail beyond a VaR threshold.</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Data lineage</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The traceable chain from a derived value back to raw records, transformations, versions, and timestamps.</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Delta</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The sensitivity of an option price to a unit change in the underlying asset.</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Gamma</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The rate of change of delta as the underlying price changes.</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Greeks</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Option sensitivity measures including delta, gamma, theta, vega, and rho.</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HSM</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Hardware Security Module used to protect cryptographic keys and operations.</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Idempotency</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The property that safely repeating an operation produces the same intended final state instead of duplicates or corruption.</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Implied volatility</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The volatility level embedded in an option price under an option-pricing model.</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IV rank</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A comparison of current implied volatility with its historical range.</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MCP</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Model Context Protocol; a standard interface through which AI systems invoke external tools and data sources.</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ML-DSA</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NIST-standardized post-quantum digital signature algorithm derived from Dilithium.</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ML-KEM</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NIST-standardized post-quantum key-establishment mechanism derived from Kyber.</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Monte Carlo simulation</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Repeated simulation of possible paths or trade sequences to estimate distributions of returns, drawdowns, and risk.</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Opportunity</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A ranked, evidence-backed market hypothesis - not a guaranteed trade instruction.</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Order intent</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A proposed trade expression that must pass deterministic risk, authorization, and approval controls before becoming an order.</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PQC</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Post-quantum cryptography designed to resist attacks from sufficiently capable quantum computers.</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Provenance</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Metadata identifying the source, endpoint, retrieval time, parser, transformation, and quality of data.</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RBAC</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Role-Based Access Control.</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SEC EDGAR</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The SEC filing and disclosure system used for company submissions and regulatory documents.</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Sharpe ratio</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A risk-adjusted return measure based on excess return divided by return volatility.</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SLH-DSA</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NIST-standardized stateless hash-based post-quantum signature algorithm.</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Slippage</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The difference between an assumed or quoted execution price and the realized fill price.</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Sortino ratio</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A risk-adjusted return measure that penalizes downside volatility rather than total volatility.</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Strategy IR</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A typed intermediate representation to which visual, DSL, Python-generated, or Rust strategies compile before execution.</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Tauri</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A Rust-centered framework for secure, cross-platform desktop applications using a web frontend.</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Theta</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The sensitivity of an option price to passage of time.</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Value at Risk</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A percentile estimate of potential loss over a defined horizon; insufficient as the sole measure of risk.</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Vega</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The sensitivity of an option price to implied volatility.</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Walk-forward validation</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Repeated train/validate/test windows that approximate how a strategy or model would have evolved through time.</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WebGPU / wgpu</w:t>
            </w:r>
          </w:p>
        </w:tc>
        <w:tc>
          <w:tcPr>
            <w:tcW w:w="5154" w:type="dxa"/>
            <w:tcBorders>
              <w:top w:val="single" w:sz="2" w:space="0" w:color="D9E2EC"/>
              <w:start w:val="single" w:sz="2" w:space="0" w:color="D9E2EC"/>
              <w:bottom w:val="single" w:sz="2" w:space="0" w:color="D9E2EC"/>
              <w:end w:val="single" w:sz="2" w:space="0" w:color="D9E2EC"/>
            </w:tcBorders>
            <w:shd w:fill="F1F5F9"/>
            <w:tcMar>
              <w:top w:w="60" w:type="dxa"/>
              <w:start w:w="70" w:type="dxa"/>
              <w:bottom w:w="60" w:type="dxa"/>
              <w:end w:w="70" w:type="dxa"/>
            </w:tcMar>
          </w:tcPr>
          <w:p>
            <w:pPr>
              <w:pStyle w:val="Normal"/>
              <w:spacing w:before="0" w:after="100"/>
              <w:rPr/>
            </w:pPr>
            <w:r>
              <w:rPr>
                <w:color w:val="172236"/>
                <w:sz w:val="14"/>
              </w:rPr>
              <w:t>Cross-platform GPU graphics and compute technologies used for dense visualizations and selected parallel workloads.</w:t>
            </w:r>
          </w:p>
        </w:tc>
      </w:tr>
      <w:tr>
        <w:trPr>
          <w:cantSplit/>
        </w:trPr>
        <w:tc>
          <w:tcPr>
            <w:tcW w:w="5155" w:type="dxa"/>
            <w:tcBorders>
              <w:top w:val="single" w:sz="2" w:space="0" w:color="D9E2EC"/>
              <w:start w:val="single" w:sz="2" w:space="0" w:color="D9E2EC"/>
              <w:bottom w:val="single" w:sz="2" w:space="0" w:color="D9E2EC"/>
              <w:end w:val="single" w:sz="2" w:space="0" w:color="D9E2EC"/>
            </w:tcBorders>
            <w:shd w:fill="EAF2FA"/>
            <w:tcMar>
              <w:top w:w="60" w:type="dxa"/>
              <w:start w:w="70" w:type="dxa"/>
              <w:bottom w:w="60" w:type="dxa"/>
              <w:end w:w="70" w:type="dxa"/>
            </w:tcMar>
          </w:tcPr>
          <w:p>
            <w:pPr>
              <w:pStyle w:val="Normal"/>
              <w:spacing w:before="0" w:after="100"/>
              <w:rPr/>
            </w:pPr>
            <w:r>
              <w:rPr>
                <w:rFonts w:ascii="Inter Display" w:hAnsi="Inter Display"/>
                <w:b/>
                <w:color w:val="8B5CF6"/>
                <w:sz w:val="14"/>
              </w:rPr>
              <w:t>Zero trust</w:t>
            </w:r>
          </w:p>
        </w:tc>
        <w:tc>
          <w:tcPr>
            <w:tcW w:w="5154" w:type="dxa"/>
            <w:tcBorders>
              <w:top w:val="single" w:sz="2" w:space="0" w:color="D9E2EC"/>
              <w:start w:val="single" w:sz="2" w:space="0" w:color="D9E2EC"/>
              <w:bottom w:val="single" w:sz="2" w:space="0" w:color="D9E2EC"/>
              <w:end w:val="single" w:sz="2" w:space="0" w:color="D9E2EC"/>
            </w:tcBorders>
            <w:shd w:fill="F8FAFD"/>
            <w:tcMar>
              <w:top w:w="60" w:type="dxa"/>
              <w:start w:w="70" w:type="dxa"/>
              <w:bottom w:w="60" w:type="dxa"/>
              <w:end w:w="70" w:type="dxa"/>
            </w:tcMar>
          </w:tcPr>
          <w:p>
            <w:pPr>
              <w:pStyle w:val="Normal"/>
              <w:spacing w:before="0" w:after="100"/>
              <w:rPr/>
            </w:pPr>
            <w:r>
              <w:rPr>
                <w:color w:val="172236"/>
                <w:sz w:val="14"/>
              </w:rPr>
              <w:t>A security model that continuously verifies identity, device, context, and authorization rather than assuming trust by network location.</w:t>
            </w:r>
          </w:p>
        </w:tc>
      </w:tr>
    </w:tbl>
    <w:p>
      <w:pPr>
        <w:pStyle w:val="Heading1"/>
        <w:pageBreakBefore w:val="false"/>
        <w:rPr/>
      </w:pPr>
      <w:bookmarkStart w:id="344" w:name="__RefHeading___Toc7408_2150751134"/>
      <w:bookmarkEnd w:id="344"/>
      <w:r>
        <w:rPr/>
        <w:t>Document Lineage and Stewardship</w:t>
      </w:r>
    </w:p>
    <w:p>
      <w:pPr>
        <w:pStyle w:val="Lead"/>
        <w:rPr/>
      </w:pPr>
      <w:r>
        <w:rPr/>
        <w:t xml:space="preserve">This cornerstone report integrates and preserves the complete product architecture from </w:t>
      </w:r>
      <w:r>
        <w:rPr>
          <w:b/>
        </w:rPr>
        <w:t>PRISMATIK Overview v0.1</w:t>
      </w:r>
      <w:r>
        <w:rPr/>
        <w:t xml:space="preserve"> together with the build-ready contracts in </w:t>
      </w:r>
      <w:r>
        <w:rPr>
          <w:b/>
        </w:rPr>
        <w:t>PRISMATIK Architecture Evolution v0.2</w:t>
      </w:r>
      <w:r>
        <w:rPr/>
        <w:t>. It is intended to become the governing product and architecture reference until superseded through an explicit versioned decision.</w:t>
      </w:r>
    </w:p>
    <w:tbl>
      <w:tblPr>
        <w:tblW w:w="10310" w:type="dxa"/>
        <w:jc w:val="center"/>
        <w:tblInd w:w="0" w:type="dxa"/>
        <w:tblLayout w:type="fixed"/>
        <w:tblCellMar>
          <w:top w:w="80" w:type="dxa"/>
          <w:start w:w="80" w:type="dxa"/>
          <w:bottom w:w="80" w:type="dxa"/>
          <w:end w:w="80" w:type="dxa"/>
        </w:tblCellMar>
        <w:tblLook w:val="04a0" w:noHBand="0" w:noVBand="1" w:firstColumn="1" w:lastRow="0" w:lastColumn="0" w:firstRow="1"/>
      </w:tblPr>
      <w:tblGrid>
        <w:gridCol w:w="3436"/>
        <w:gridCol w:w="3437"/>
        <w:gridCol w:w="3437"/>
      </w:tblGrid>
      <w:tr>
        <w:trPr>
          <w:tblHeader/>
          <w:cantSplit/>
        </w:trPr>
        <w:tc>
          <w:tcPr>
            <w:tcW w:w="3436" w:type="dxa"/>
            <w:tcBorders/>
            <w:shd w:fill="0D1C32"/>
          </w:tcPr>
          <w:p>
            <w:pPr>
              <w:pStyle w:val="Normal"/>
              <w:spacing w:before="0" w:after="100"/>
              <w:rPr/>
            </w:pPr>
            <w:r>
              <w:rPr>
                <w:rFonts w:ascii="Inter Display" w:hAnsi="Inter Display"/>
                <w:b/>
                <w:color w:val="FFFFFF"/>
                <w:sz w:val="15"/>
              </w:rPr>
              <w:t>VERSION</w:t>
            </w:r>
          </w:p>
        </w:tc>
        <w:tc>
          <w:tcPr>
            <w:tcW w:w="3437" w:type="dxa"/>
            <w:tcBorders/>
            <w:shd w:fill="0D1C32"/>
          </w:tcPr>
          <w:p>
            <w:pPr>
              <w:pStyle w:val="Normal"/>
              <w:spacing w:before="0" w:after="100"/>
              <w:rPr/>
            </w:pPr>
            <w:r>
              <w:rPr>
                <w:rFonts w:ascii="Inter Display" w:hAnsi="Inter Display"/>
                <w:b/>
                <w:color w:val="FFFFFF"/>
                <w:sz w:val="15"/>
              </w:rPr>
              <w:t>ROLE</w:t>
            </w:r>
          </w:p>
        </w:tc>
        <w:tc>
          <w:tcPr>
            <w:tcW w:w="3437" w:type="dxa"/>
            <w:tcBorders/>
            <w:shd w:fill="0D1C32"/>
          </w:tcPr>
          <w:p>
            <w:pPr>
              <w:pStyle w:val="Normal"/>
              <w:spacing w:before="0" w:after="100"/>
              <w:rPr/>
            </w:pPr>
            <w:r>
              <w:rPr>
                <w:rFonts w:ascii="Inter Display" w:hAnsi="Inter Display"/>
                <w:b/>
                <w:color w:val="FFFFFF"/>
                <w:sz w:val="15"/>
              </w:rPr>
              <w:t>STEWARDSHIP</w:t>
            </w:r>
          </w:p>
        </w:tc>
      </w:tr>
      <w:tr>
        <w:trPr>
          <w:cantSplit/>
        </w:trPr>
        <w:tc>
          <w:tcPr>
            <w:tcW w:w="3436" w:type="dxa"/>
            <w:tcBorders/>
            <w:shd w:fill="F7FAFD"/>
          </w:tcPr>
          <w:p>
            <w:pPr>
              <w:pStyle w:val="Normal"/>
              <w:spacing w:before="0" w:after="100"/>
              <w:rPr/>
            </w:pPr>
            <w:r>
              <w:rPr>
                <w:b w:val="false"/>
                <w:color w:val="172236"/>
                <w:sz w:val="15"/>
              </w:rPr>
              <w:t>v0.1</w:t>
            </w:r>
          </w:p>
        </w:tc>
        <w:tc>
          <w:tcPr>
            <w:tcW w:w="3437" w:type="dxa"/>
            <w:tcBorders/>
            <w:shd w:fill="F7FAFD"/>
          </w:tcPr>
          <w:p>
            <w:pPr>
              <w:pStyle w:val="Normal"/>
              <w:spacing w:before="0" w:after="100"/>
              <w:rPr/>
            </w:pPr>
            <w:r>
              <w:rPr>
                <w:b w:val="false"/>
                <w:color w:val="172236"/>
                <w:sz w:val="15"/>
              </w:rPr>
              <w:t>Product, experience, security, platform, and roadmap baseline</w:t>
            </w:r>
          </w:p>
        </w:tc>
        <w:tc>
          <w:tcPr>
            <w:tcW w:w="3437" w:type="dxa"/>
            <w:tcBorders/>
            <w:shd w:fill="F7FAFD"/>
          </w:tcPr>
          <w:p>
            <w:pPr>
              <w:pStyle w:val="Normal"/>
              <w:spacing w:before="0" w:after="100"/>
              <w:rPr/>
            </w:pPr>
            <w:r>
              <w:rPr>
                <w:b w:val="false"/>
                <w:color w:val="172236"/>
                <w:sz w:val="15"/>
              </w:rPr>
              <w:t>Preserved in Parts 1-7</w:t>
            </w:r>
          </w:p>
        </w:tc>
      </w:tr>
      <w:tr>
        <w:trPr>
          <w:cantSplit/>
        </w:trPr>
        <w:tc>
          <w:tcPr>
            <w:tcW w:w="3436" w:type="dxa"/>
            <w:tcBorders/>
            <w:shd w:fill="EEF3F8"/>
          </w:tcPr>
          <w:p>
            <w:pPr>
              <w:pStyle w:val="Normal"/>
              <w:spacing w:before="0" w:after="100"/>
              <w:rPr/>
            </w:pPr>
            <w:r>
              <w:rPr>
                <w:b w:val="false"/>
                <w:color w:val="172236"/>
                <w:sz w:val="15"/>
              </w:rPr>
              <w:t>v0.2</w:t>
            </w:r>
          </w:p>
        </w:tc>
        <w:tc>
          <w:tcPr>
            <w:tcW w:w="3437" w:type="dxa"/>
            <w:tcBorders/>
            <w:shd w:fill="EEF3F8"/>
          </w:tcPr>
          <w:p>
            <w:pPr>
              <w:pStyle w:val="Normal"/>
              <w:spacing w:before="0" w:after="100"/>
              <w:rPr/>
            </w:pPr>
            <w:r>
              <w:rPr>
                <w:b w:val="false"/>
                <w:color w:val="172236"/>
                <w:sz w:val="15"/>
              </w:rPr>
              <w:t>Load-bearing implementation contracts and missing architecture detail</w:t>
            </w:r>
          </w:p>
        </w:tc>
        <w:tc>
          <w:tcPr>
            <w:tcW w:w="3437" w:type="dxa"/>
            <w:tcBorders/>
            <w:shd w:fill="EEF3F8"/>
          </w:tcPr>
          <w:p>
            <w:pPr>
              <w:pStyle w:val="Normal"/>
              <w:spacing w:before="0" w:after="100"/>
              <w:rPr/>
            </w:pPr>
            <w:r>
              <w:rPr>
                <w:b w:val="false"/>
                <w:color w:val="172236"/>
                <w:sz w:val="15"/>
              </w:rPr>
              <w:t>Preserved in Part 8</w:t>
            </w:r>
          </w:p>
        </w:tc>
      </w:tr>
      <w:tr>
        <w:trPr>
          <w:cantSplit/>
        </w:trPr>
        <w:tc>
          <w:tcPr>
            <w:tcW w:w="3436" w:type="dxa"/>
            <w:tcBorders/>
            <w:shd w:fill="F7FAFD"/>
          </w:tcPr>
          <w:p>
            <w:pPr>
              <w:pStyle w:val="Normal"/>
              <w:spacing w:before="0" w:after="100"/>
              <w:rPr/>
            </w:pPr>
            <w:r>
              <w:rPr>
                <w:b w:val="false"/>
                <w:color w:val="172236"/>
                <w:sz w:val="15"/>
              </w:rPr>
              <w:t>Cornerstone 2026</w:t>
            </w:r>
          </w:p>
        </w:tc>
        <w:tc>
          <w:tcPr>
            <w:tcW w:w="3437" w:type="dxa"/>
            <w:tcBorders/>
            <w:shd w:fill="F7FAFD"/>
          </w:tcPr>
          <w:p>
            <w:pPr>
              <w:pStyle w:val="Normal"/>
              <w:spacing w:before="0" w:after="100"/>
              <w:rPr/>
            </w:pPr>
            <w:r>
              <w:rPr>
                <w:b w:val="false"/>
                <w:color w:val="172236"/>
                <w:sz w:val="15"/>
              </w:rPr>
              <w:t>Integrated executive and engineering reference</w:t>
            </w:r>
          </w:p>
        </w:tc>
        <w:tc>
          <w:tcPr>
            <w:tcW w:w="3437" w:type="dxa"/>
            <w:tcBorders/>
            <w:shd w:fill="F7FAFD"/>
          </w:tcPr>
          <w:p>
            <w:pPr>
              <w:pStyle w:val="Normal"/>
              <w:spacing w:before="0" w:after="100"/>
              <w:rPr/>
            </w:pPr>
            <w:r>
              <w:rPr>
                <w:b w:val="false"/>
                <w:color w:val="172236"/>
                <w:sz w:val="15"/>
              </w:rPr>
              <w:t>Mythos Systems / Aaron Stovall</w:t>
            </w:r>
          </w:p>
        </w:tc>
      </w:tr>
      <w:tr>
        <w:trPr>
          <w:cantSplit/>
        </w:trPr>
        <w:tc>
          <w:tcPr>
            <w:tcW w:w="10310" w:type="dxa"/>
            <w:gridSpan w:val="3"/>
            <w:tcBorders>
              <w:start w:val="single" w:sz="28" w:space="0" w:color="32D296"/>
            </w:tcBorders>
            <w:shd w:fill="E8FBF3"/>
            <w:tcMar>
              <w:top w:w="130" w:type="dxa"/>
              <w:start w:w="170" w:type="dxa"/>
              <w:bottom w:w="130" w:type="dxa"/>
              <w:end w:w="180" w:type="dxa"/>
            </w:tcMar>
          </w:tcPr>
          <w:p>
            <w:pPr>
              <w:pStyle w:val="Normal"/>
              <w:spacing w:before="0" w:after="100"/>
              <w:rPr/>
            </w:pPr>
            <w:r>
              <w:rPr>
                <w:rFonts w:ascii="Inter Display" w:hAnsi="Inter Display"/>
                <w:b/>
                <w:color w:val="32D296"/>
                <w:sz w:val="16"/>
              </w:rPr>
              <w:t xml:space="preserve">STEWARDSHIP RULE  </w:t>
            </w:r>
            <w:r>
              <w:rPr>
                <w:color w:val="172236"/>
                <w:sz w:val="18"/>
              </w:rPr>
              <w:t>Future revisions should preserve traceability to this document, record decisions in ADRs, update the architecture and security models, and maintain a continuation trail in /docs/workbook/.</w:t>
            </w:r>
          </w:p>
        </w:tc>
      </w:tr>
    </w:tbl>
    <w:p>
      <w:pPr>
        <w:pStyle w:val="Normal"/>
        <w:spacing w:before="0" w:after="0"/>
        <w:rPr/>
      </w:pPr>
      <w:r>
        <w:rPr/>
      </w:r>
    </w:p>
    <w:p>
      <w:pPr>
        <w:sectPr>
          <w:type w:val="continuous"/>
          <w:pgSz w:w="12240" w:h="15840"/>
          <w:pgMar w:left="965" w:right="965" w:gutter="0" w:header="360" w:top="893" w:footer="360" w:bottom="835"/>
          <w:formProt w:val="false"/>
          <w:textDirection w:val="lrTb"/>
          <w:docGrid w:type="default" w:linePitch="312" w:charSpace="4096"/>
        </w:sectPr>
        <w:pStyle w:val="Normal"/>
        <w:rPr/>
      </w:pPr>
      <w:r>
        <w:rPr/>
      </w:r>
      <w:r>
        <w:br w:type="page"/>
      </w:r>
    </w:p>
    <w:p>
      <w:pPr>
        <w:pStyle w:val="Normal"/>
        <w:spacing w:before="0" w:after="0"/>
        <w:jc w:val="center"/>
        <w:rPr/>
      </w:pPr>
      <w:r>
        <w:rPr/>
        <w:drawing>
          <wp:inline distT="0" distB="0" distL="0" distR="0">
            <wp:extent cx="6546850" cy="8174990"/>
            <wp:effectExtent l="0" t="0" r="0" b="0"/>
            <wp:docPr id="22" name="Picture 22" descr="Image: image22.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title=""/>
                    <pic:cNvPicPr>
                      <a:picLocks noChangeAspect="1" noChangeArrowheads="1"/>
                    </pic:cNvPicPr>
                  </pic:nvPicPr>
                  <pic:blipFill>
                    <a:blip r:embed="rId77"/>
                    <a:stretch>
                      <a:fillRect/>
                    </a:stretch>
                  </pic:blipFill>
                  <pic:spPr bwMode="auto">
                    <a:xfrm>
                      <a:off x="0" y="0"/>
                      <a:ext cx="6546850" cy="8174990"/>
                    </a:xfrm>
                    <a:prstGeom prst="rect">
                      <a:avLst/>
                    </a:prstGeom>
                    <a:noFill/>
                  </pic:spPr>
                </pic:pic>
              </a:graphicData>
            </a:graphic>
          </wp:inline>
        </w:drawing>
      </w:r>
    </w:p>
    <w:sectPr>
      <w:headerReference w:type="even" r:id="rId78"/>
      <w:headerReference w:type="default" r:id="rId79"/>
      <w:headerReference w:type="first" r:id="rId80"/>
      <w:footerReference w:type="even" r:id="rId81"/>
      <w:footerReference w:type="default" r:id="rId82"/>
      <w:footerReference w:type="first" r:id="rId83"/>
      <w:type w:val="nextPage"/>
      <w:pgSz w:w="12240" w:h="15840"/>
      <w:pgMar w:left="965" w:right="965" w:gutter="0" w:header="360" w:top="893" w:footer="360" w:bottom="835"/>
      <w:pgNumType w:fmt="decimal"/>
      <w:formProt w:val="false"/>
      <w:textDirection w:val="lrTb"/>
      <w:docGrid w:type="default" w:linePitch="312"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Lato">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Inter Display">
    <w:charset w:val="00" w:characterSet="iso-8859-1"/>
    <w:family w:val="roman"/>
    <w:pitch w:val="variable"/>
  </w:font>
  <w:font w:name="Liberation Mono">
    <w:altName w:val="Courier New"/>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15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15</w:t>
          </w:r>
          <w:r>
            <w:rPr/>
            <w:fldChar w:fldCharType="end"/>
          </w:r>
        </w:p>
      </w:tc>
    </w:tr>
  </w:tbl>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27</w:t>
          </w:r>
          <w:r>
            <w:rPr/>
            <w:fldChar w:fldCharType="end"/>
          </w:r>
        </w:p>
      </w:tc>
    </w:tr>
  </w:tbl>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27</w:t>
          </w:r>
          <w:r>
            <w:rPr/>
            <w:fldChar w:fldCharType="end"/>
          </w:r>
        </w:p>
      </w:tc>
    </w:tr>
  </w:tbl>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32</w:t>
          </w:r>
          <w:r>
            <w:rPr/>
            <w:fldChar w:fldCharType="end"/>
          </w:r>
        </w:p>
      </w:tc>
    </w:tr>
  </w:tbl>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32</w:t>
          </w:r>
          <w:r>
            <w:rPr/>
            <w:fldChar w:fldCharType="end"/>
          </w:r>
        </w:p>
      </w:tc>
    </w:tr>
  </w:tbl>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39</w:t>
          </w:r>
          <w:r>
            <w:rPr/>
            <w:fldChar w:fldCharType="end"/>
          </w:r>
        </w:p>
      </w:tc>
    </w:tr>
  </w:tbl>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39</w:t>
          </w:r>
          <w:r>
            <w:rPr/>
            <w:fldChar w:fldCharType="end"/>
          </w:r>
        </w:p>
      </w:tc>
    </w:tr>
  </w:tbl>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56</w:t>
          </w:r>
          <w:r>
            <w:rPr/>
            <w:fldChar w:fldCharType="end"/>
          </w:r>
        </w:p>
      </w:tc>
    </w:tr>
  </w:tbl>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56</w:t>
          </w:r>
          <w:r>
            <w:rPr/>
            <w:fldChar w:fldCharType="end"/>
          </w:r>
        </w:p>
      </w:tc>
    </w:tr>
  </w:tbl>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65</w:t>
          </w:r>
          <w:r>
            <w:rPr/>
            <w:fldChar w:fldCharType="end"/>
          </w:r>
        </w:p>
      </w:tc>
    </w:tr>
  </w:tbl>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65</w:t>
          </w:r>
          <w:r>
            <w:rPr/>
            <w:fldChar w:fldCharType="end"/>
          </w:r>
        </w:p>
      </w:tc>
    </w:tr>
  </w:tbl>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84</w:t>
          </w:r>
          <w:r>
            <w:rPr/>
            <w:fldChar w:fldCharType="end"/>
          </w:r>
        </w:p>
      </w:tc>
    </w:tr>
  </w:tbl>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84</w:t>
          </w:r>
          <w:r>
            <w:rPr/>
            <w:fldChar w:fldCharType="end"/>
          </w:r>
        </w:p>
      </w:tc>
    </w:tr>
  </w:tbl>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104</w:t>
          </w:r>
          <w:r>
            <w:rPr/>
            <w:fldChar w:fldCharType="end"/>
          </w:r>
        </w:p>
      </w:tc>
    </w:tr>
  </w:tbl>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104</w:t>
          </w:r>
          <w:r>
            <w:rPr/>
            <w:fldChar w:fldCharType="end"/>
          </w:r>
        </w:p>
      </w:tc>
    </w:tr>
  </w:tbl>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133</w:t>
          </w:r>
          <w:r>
            <w:rPr/>
            <w:fldChar w:fldCharType="end"/>
          </w:r>
        </w:p>
      </w:tc>
    </w:tr>
  </w:tbl>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133</w:t>
          </w:r>
          <w:r>
            <w:rPr/>
            <w:fldChar w:fldCharType="end"/>
          </w:r>
        </w:p>
      </w:tc>
    </w:tr>
  </w:tbl>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134</w:t>
          </w:r>
          <w:r>
            <w:rPr/>
            <w:fldChar w:fldCharType="end"/>
          </w:r>
        </w:p>
      </w:tc>
    </w:tr>
  </w:tbl>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224" w:type="dxa"/>
      <w:jc w:val="center"/>
      <w:tblInd w:w="0" w:type="dxa"/>
      <w:tblLayout w:type="fixed"/>
      <w:tblCellMar>
        <w:top w:w="20" w:type="dxa"/>
        <w:start w:w="0" w:type="dxa"/>
        <w:bottom w:w="20" w:type="dxa"/>
        <w:end w:w="0" w:type="dxa"/>
      </w:tblCellMar>
      <w:tblLook w:val="04a0" w:noHBand="0" w:noVBand="1" w:firstColumn="1" w:lastRow="0" w:lastColumn="0" w:firstRow="1"/>
    </w:tblPr>
    <w:tblGrid>
      <w:gridCol w:w="3408"/>
      <w:gridCol w:w="3408"/>
      <w:gridCol w:w="3408"/>
    </w:tblGrid>
    <w:tr>
      <w:trPr>
        <w:tblHeader/>
      </w:trPr>
      <w:tc>
        <w:tcPr>
          <w:tcW w:w="3408" w:type="dxa"/>
          <w:tcBorders>
            <w:top w:val="single" w:sz="4" w:space="0" w:color="243753"/>
          </w:tcBorders>
          <w:vAlign w:val="center"/>
        </w:tcPr>
        <w:p>
          <w:pPr>
            <w:pStyle w:val="Normal"/>
            <w:spacing w:before="0" w:after="100"/>
            <w:jc w:val="start"/>
            <w:rPr/>
          </w:pPr>
          <w:r>
            <w:rPr>
              <w:b/>
              <w:color w:val="47566C"/>
              <w:sz w:val="14"/>
            </w:rPr>
            <w:t>MYTHOS SYSTEMS</w:t>
          </w:r>
        </w:p>
      </w:tc>
      <w:tc>
        <w:tcPr>
          <w:tcW w:w="3408" w:type="dxa"/>
          <w:tcBorders>
            <w:top w:val="single" w:sz="4" w:space="0" w:color="243753"/>
          </w:tcBorders>
          <w:vAlign w:val="center"/>
        </w:tcPr>
        <w:p>
          <w:pPr>
            <w:pStyle w:val="Normal"/>
            <w:spacing w:before="0" w:after="100"/>
            <w:jc w:val="center"/>
            <w:rPr/>
          </w:pPr>
          <w:r>
            <w:rPr>
              <w:b w:val="false"/>
              <w:color w:val="47566C"/>
              <w:sz w:val="14"/>
            </w:rPr>
            <w:t>AARON STOVALL  |  2026</w:t>
          </w:r>
        </w:p>
      </w:tc>
      <w:tc>
        <w:tcPr>
          <w:tcW w:w="3408" w:type="dxa"/>
          <w:tcBorders>
            <w:top w:val="single" w:sz="4" w:space="0" w:color="243753"/>
          </w:tcBorders>
          <w:vAlign w:val="center"/>
        </w:tcPr>
        <w:p>
          <w:pPr>
            <w:pStyle w:val="Normal"/>
            <w:spacing w:before="0" w:after="100"/>
            <w:jc w:val="end"/>
            <w:rPr/>
          </w:pPr>
          <w:r>
            <w:rPr/>
            <w:fldChar w:fldCharType="begin"/>
          </w:r>
          <w:r>
            <w:rPr/>
            <w:instrText xml:space="preserve"> PAGE </w:instrText>
          </w:r>
          <w:r>
            <w:rPr/>
            <w:fldChar w:fldCharType="separate"/>
          </w:r>
          <w:r>
            <w:rPr/>
            <w:t>134</w:t>
          </w:r>
          <w:r>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EXECUTIVE FOUNDATION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EXECUTIVE FOUNDATION</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STRATEGIC FOUNDATION</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STRATEGIC FOUNDATION</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PRODUCT EXPERIENCE</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PRODUCT EXPERIENCE</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DATA &amp; EVIDENCE</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DATA &amp; EVIDENCE</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QUANT &amp; OPTIONS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QUANT &amp; OPTIONS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PLATFORM ARCHITECTURE</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PLATFORM ARCHITECTURE</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SECURITY &amp; ENTERPRISE</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SECURITY &amp; ENTERPRISE</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DELIVERY ROADMAP</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DELIVERY ROADMAP</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BUILD-READY CONTRACTS</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BUILD-READY CONTRACTS</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APPENDICES &amp; DOCTRINE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2" w:color="243753"/>
      </w:pBdr>
      <w:jc w:val="start"/>
      <w:rPr/>
    </w:pPr>
    <w:r>
      <w:rPr>
        <w:rFonts w:ascii="Inter Display" w:hAnsi="Inter Display"/>
        <w:b/>
        <w:color w:val="47566C"/>
        <w:sz w:val="14"/>
      </w:rPr>
      <w:t>PRISMATIK  |  APPENDICES &amp; DOCTRINE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start"/>
    </w:pPr>
    <w:rPr>
      <w:rFonts w:ascii="Lato" w:hAnsi="Lato" w:eastAsia="ＭＳ 明朝" w:cs=""/>
      <w:color w:val="172236"/>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480" w:after="200"/>
      <w:outlineLvl w:val="0"/>
    </w:pPr>
    <w:rPr>
      <w:rFonts w:ascii="Calibri" w:hAnsi="Calibri" w:eastAsia="ＭＳ ゴシック" w:cs="" w:asciiTheme="majorHAnsi" w:cstheme="majorBidi" w:eastAsiaTheme="majorEastAsia" w:hAnsiTheme="majorHAnsi"/>
      <w:b/>
      <w:bCs/>
      <w:color w:val="0D1C32"/>
      <w:sz w:val="42"/>
      <w:szCs w:val="28"/>
    </w:rPr>
  </w:style>
  <w:style w:type="paragraph" w:styleId="Heading2">
    <w:name w:val="heading 2"/>
    <w:basedOn w:val="Normal"/>
    <w:next w:val="Normal"/>
    <w:link w:val="Heading2Char"/>
    <w:uiPriority w:val="9"/>
    <w:unhideWhenUsed/>
    <w:qFormat/>
    <w:rsid w:val="00fc693f"/>
    <w:pPr>
      <w:keepNext w:val="true"/>
      <w:keepLines/>
      <w:spacing w:before="360" w:after="140"/>
      <w:outlineLvl w:val="1"/>
    </w:pPr>
    <w:rPr>
      <w:rFonts w:ascii="Calibri" w:hAnsi="Calibri" w:eastAsia="ＭＳ ゴシック" w:cs="" w:asciiTheme="majorHAnsi" w:cstheme="majorBidi" w:eastAsiaTheme="majorEastAsia" w:hAnsiTheme="majorHAnsi"/>
      <w:b/>
      <w:bCs/>
      <w:color w:val="0D1C32"/>
      <w:sz w:val="29"/>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ＭＳ ゴシック" w:cs="" w:asciiTheme="majorHAnsi" w:cstheme="majorBidi" w:eastAsiaTheme="majorEastAsia" w:hAnsiTheme="majorHAnsi"/>
      <w:b/>
      <w:bCs/>
      <w:caps/>
      <w:color w:val="8B5CF6"/>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160"/>
      <w:contextualSpacing/>
    </w:pPr>
    <w:rPr>
      <w:rFonts w:ascii="Calibri" w:hAnsi="Calibri" w:eastAsia="ＭＳ ゴシック" w:cs="" w:asciiTheme="majorHAnsi" w:cstheme="majorBidi" w:eastAsiaTheme="majorEastAsia" w:hAnsiTheme="majorHAnsi"/>
      <w:b/>
      <w:color w:val="FFFFFF"/>
      <w:spacing w:val="5"/>
      <w:kern w:val="2"/>
      <w:sz w:val="72"/>
      <w:szCs w:val="52"/>
    </w:rPr>
  </w:style>
  <w:style w:type="paragraph" w:styleId="Subtitle">
    <w:name w:val="Subtitle"/>
    <w:basedOn w:val="Normal"/>
    <w:next w:val="Normal"/>
    <w:link w:val="SubtitleChar"/>
    <w:uiPriority w:val="11"/>
    <w:qFormat/>
    <w:rsid w:val="00fc693f"/>
    <w:pPr>
      <w:keepNext w:val="true"/>
      <w:spacing w:before="0" w:after="200"/>
    </w:pPr>
    <w:rPr>
      <w:rFonts w:ascii="Calibri" w:hAnsi="Calibri" w:eastAsia="ＭＳ ゴシック" w:cs="" w:asciiTheme="majorHAnsi" w:cstheme="majorBidi" w:eastAsiaTheme="majorEastAsia" w:hAnsiTheme="majorHAnsi"/>
      <w:b/>
      <w:i/>
      <w:iCs/>
      <w:color w:val="47566C"/>
      <w:spacing w:val="15"/>
      <w:sz w:val="3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rFonts w:ascii="Lato" w:hAnsi="Lato"/>
      <w:color w:val="172236"/>
      <w:sz w:val="18"/>
    </w:rPr>
  </w:style>
  <w:style w:type="paragraph" w:styleId="ListBullet2">
    <w:name w:val="List Bullet 2"/>
    <w:basedOn w:val="Normal"/>
    <w:uiPriority w:val="99"/>
    <w:unhideWhenUsed/>
    <w:rsid w:val="00326f90"/>
    <w:pPr>
      <w:numPr>
        <w:ilvl w:val="0"/>
        <w:numId w:val="2"/>
      </w:numPr>
      <w:spacing w:before="0" w:after="40"/>
      <w:contextualSpacing/>
    </w:pPr>
    <w:rPr>
      <w:rFonts w:ascii="Lato" w:hAnsi="Lato"/>
      <w:color w:val="172236"/>
      <w:sz w:val="18"/>
    </w:rPr>
  </w:style>
  <w:style w:type="paragraph" w:styleId="ListBullet3">
    <w:name w:val="List Bullet 3"/>
    <w:basedOn w:val="Normal"/>
    <w:uiPriority w:val="99"/>
    <w:unhideWhenUsed/>
    <w:rsid w:val="00326f90"/>
    <w:pPr>
      <w:numPr>
        <w:ilvl w:val="0"/>
        <w:numId w:val="3"/>
      </w:numPr>
      <w:spacing w:before="0" w:after="40"/>
      <w:contextualSpacing/>
    </w:pPr>
    <w:rPr>
      <w:rFonts w:ascii="Lato" w:hAnsi="Lato"/>
      <w:color w:val="172236"/>
      <w:sz w:val="18"/>
    </w:rPr>
  </w:style>
  <w:style w:type="paragraph" w:styleId="ListNumber">
    <w:name w:val="List Number"/>
    <w:basedOn w:val="Normal"/>
    <w:uiPriority w:val="99"/>
    <w:unhideWhenUsed/>
    <w:rsid w:val="00326f90"/>
    <w:pPr>
      <w:numPr>
        <w:ilvl w:val="0"/>
        <w:numId w:val="4"/>
      </w:numPr>
      <w:spacing w:before="0" w:after="40"/>
      <w:contextualSpacing/>
    </w:pPr>
    <w:rPr>
      <w:rFonts w:ascii="Lato" w:hAnsi="Lato"/>
      <w:color w:val="172236"/>
      <w:sz w:val="18"/>
    </w:rPr>
  </w:style>
  <w:style w:type="paragraph" w:styleId="ListNumber2">
    <w:name w:val="List Number 2"/>
    <w:basedOn w:val="Normal"/>
    <w:uiPriority w:val="99"/>
    <w:unhideWhenUsed/>
    <w:rsid w:val="0029639d"/>
    <w:pPr>
      <w:numPr>
        <w:ilvl w:val="0"/>
        <w:numId w:val="5"/>
      </w:numPr>
      <w:spacing w:before="0" w:after="40"/>
      <w:contextualSpacing/>
    </w:pPr>
    <w:rPr>
      <w:rFonts w:ascii="Lato" w:hAnsi="Lato"/>
      <w:color w:val="172236"/>
      <w:sz w:val="18"/>
    </w:rPr>
  </w:style>
  <w:style w:type="paragraph" w:styleId="ListNumber3">
    <w:name w:val="List Number 3"/>
    <w:basedOn w:val="Normal"/>
    <w:uiPriority w:val="99"/>
    <w:unhideWhenUsed/>
    <w:rsid w:val="0029639d"/>
    <w:pPr>
      <w:numPr>
        <w:ilvl w:val="0"/>
        <w:numId w:val="6"/>
      </w:numPr>
      <w:spacing w:before="0" w:after="40"/>
      <w:contextualSpacing/>
    </w:pPr>
    <w:rPr>
      <w:rFonts w:ascii="Lato" w:hAnsi="Lato"/>
      <w:color w:val="172236"/>
      <w:sz w:val="18"/>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ExecutiveSubtitle" w:customStyle="1">
    <w:name w:val="Executive Subtitle"/>
    <w:qFormat/>
    <w:pPr>
      <w:widowControl/>
      <w:bidi w:val="0"/>
      <w:spacing w:lineRule="auto" w:line="252" w:before="0" w:after="80"/>
      <w:jc w:val="start"/>
    </w:pPr>
    <w:rPr>
      <w:rFonts w:ascii="Inter Display" w:hAnsi="Inter Display" w:eastAsia="ＭＳ 明朝" w:cs=""/>
      <w:b w:val="false"/>
      <w:i w:val="false"/>
      <w:color w:val="47566C"/>
      <w:kern w:val="0"/>
      <w:sz w:val="36"/>
      <w:szCs w:val="22"/>
      <w:lang w:val="en-US" w:eastAsia="en-US" w:bidi="ar-SA"/>
    </w:rPr>
  </w:style>
  <w:style w:type="paragraph" w:styleId="Eyebrow" w:customStyle="1">
    <w:name w:val="Eyebrow"/>
    <w:qFormat/>
    <w:pPr>
      <w:widowControl/>
      <w:bidi w:val="0"/>
      <w:spacing w:lineRule="auto" w:line="252" w:before="0" w:after="80"/>
      <w:jc w:val="start"/>
    </w:pPr>
    <w:rPr>
      <w:rFonts w:ascii="Inter Display" w:hAnsi="Inter Display" w:eastAsia="ＭＳ 明朝" w:cs=""/>
      <w:b/>
      <w:i w:val="false"/>
      <w:color w:val="33C7F2"/>
      <w:kern w:val="0"/>
      <w:sz w:val="16"/>
      <w:szCs w:val="22"/>
      <w:lang w:val="en-US" w:eastAsia="en-US" w:bidi="ar-SA"/>
    </w:rPr>
  </w:style>
  <w:style w:type="paragraph" w:styleId="Lead" w:customStyle="1">
    <w:name w:val="Lead"/>
    <w:qFormat/>
    <w:pPr>
      <w:widowControl/>
      <w:bidi w:val="0"/>
      <w:spacing w:lineRule="auto" w:line="276" w:before="0" w:after="80"/>
      <w:jc w:val="start"/>
    </w:pPr>
    <w:rPr>
      <w:rFonts w:ascii="Lato" w:hAnsi="Lato" w:eastAsia="ＭＳ 明朝" w:cs=""/>
      <w:b w:val="false"/>
      <w:i w:val="false"/>
      <w:color w:val="172236"/>
      <w:kern w:val="0"/>
      <w:sz w:val="24"/>
      <w:szCs w:val="22"/>
      <w:lang w:val="en-US" w:eastAsia="en-US" w:bidi="ar-SA"/>
    </w:rPr>
  </w:style>
  <w:style w:type="paragraph" w:styleId="Small" w:customStyle="1">
    <w:name w:val="Small"/>
    <w:qFormat/>
    <w:pPr>
      <w:widowControl/>
      <w:bidi w:val="0"/>
      <w:spacing w:lineRule="auto" w:line="252" w:before="0" w:after="80"/>
      <w:jc w:val="start"/>
    </w:pPr>
    <w:rPr>
      <w:rFonts w:ascii="Lato" w:hAnsi="Lato" w:eastAsia="ＭＳ 明朝" w:cs=""/>
      <w:b w:val="false"/>
      <w:i w:val="false"/>
      <w:color w:val="718096"/>
      <w:kern w:val="0"/>
      <w:sz w:val="16"/>
      <w:szCs w:val="22"/>
      <w:lang w:val="en-US" w:eastAsia="en-US" w:bidi="ar-SA"/>
    </w:rPr>
  </w:style>
  <w:style w:type="paragraph" w:styleId="CaptionCustom" w:customStyle="1">
    <w:name w:val="Caption Custom"/>
    <w:qFormat/>
    <w:pPr>
      <w:widowControl/>
      <w:bidi w:val="0"/>
      <w:spacing w:lineRule="auto" w:line="252" w:before="60" w:after="200"/>
      <w:jc w:val="center"/>
    </w:pPr>
    <w:rPr>
      <w:rFonts w:ascii="Lato" w:hAnsi="Lato" w:eastAsia="ＭＳ 明朝" w:cs=""/>
      <w:b w:val="false"/>
      <w:i/>
      <w:color w:val="47566C"/>
      <w:kern w:val="0"/>
      <w:sz w:val="16"/>
      <w:szCs w:val="22"/>
      <w:lang w:val="en-US" w:eastAsia="en-US" w:bidi="ar-SA"/>
    </w:rPr>
  </w:style>
  <w:style w:type="paragraph" w:styleId="CodeBlock" w:customStyle="1">
    <w:name w:val="Code Block"/>
    <w:qFormat/>
    <w:pPr>
      <w:widowControl/>
      <w:bidi w:val="0"/>
      <w:spacing w:lineRule="auto" w:line="252" w:before="0" w:after="140"/>
      <w:ind w:start="173" w:end="115"/>
      <w:jc w:val="start"/>
    </w:pPr>
    <w:rPr>
      <w:rFonts w:ascii="Liberation Mono" w:hAnsi="Liberation Mono" w:eastAsia="ＭＳ 明朝" w:cs=""/>
      <w:b w:val="false"/>
      <w:i w:val="false"/>
      <w:color w:val="DCE7F5"/>
      <w:kern w:val="0"/>
      <w:sz w:val="14"/>
      <w:szCs w:val="22"/>
      <w:lang w:val="en-US" w:eastAsia="en-US" w:bidi="ar-SA"/>
    </w:rPr>
  </w:style>
  <w:style w:type="paragraph" w:styleId="Callout" w:customStyle="1">
    <w:name w:val="Callout"/>
    <w:qFormat/>
    <w:pPr>
      <w:widowControl/>
      <w:bidi w:val="0"/>
      <w:spacing w:lineRule="auto" w:line="252" w:before="0" w:after="80"/>
      <w:ind w:start="202" w:end="115"/>
      <w:jc w:val="start"/>
    </w:pPr>
    <w:rPr>
      <w:rFonts w:ascii="Lato" w:hAnsi="Lato" w:eastAsia="ＭＳ 明朝" w:cs=""/>
      <w:b w:val="false"/>
      <w:i w:val="false"/>
      <w:color w:val="172236"/>
      <w:kern w:val="0"/>
      <w:sz w:val="19"/>
      <w:szCs w:val="22"/>
      <w:lang w:val="en-US" w:eastAsia="en-US" w:bidi="ar-SA"/>
    </w:rPr>
  </w:style>
  <w:style w:type="paragraph" w:styleId="TableText" w:customStyle="1">
    <w:name w:val="Table Text"/>
    <w:qFormat/>
    <w:pPr>
      <w:widowControl/>
      <w:bidi w:val="0"/>
      <w:spacing w:lineRule="auto" w:line="252" w:before="0" w:after="80"/>
      <w:jc w:val="start"/>
    </w:pPr>
    <w:rPr>
      <w:rFonts w:ascii="Lato" w:hAnsi="Lato" w:eastAsia="ＭＳ 明朝" w:cs=""/>
      <w:b w:val="false"/>
      <w:i w:val="false"/>
      <w:color w:val="172236"/>
      <w:kern w:val="0"/>
      <w:sz w:val="15"/>
      <w:szCs w:val="22"/>
      <w:lang w:val="en-US" w:eastAsia="en-US" w:bidi="ar-SA"/>
    </w:rPr>
  </w:style>
  <w:style w:type="paragraph" w:styleId="TOC2">
    <w:name w:val="toc 2"/>
    <w:basedOn w:val="Index"/>
    <w:pPr>
      <w:tabs>
        <w:tab w:val="clear" w:pos="720"/>
        <w:tab w:val="right" w:pos="11957" w:leader="dot"/>
      </w:tabs>
      <w:ind w:hanging="0" w:start="283"/>
    </w:pPr>
    <w:rPr/>
  </w:style>
  <w:style w:type="paragraph" w:styleId="TOC1">
    <w:name w:val="toc 1"/>
    <w:basedOn w:val="Index"/>
    <w:pPr>
      <w:tabs>
        <w:tab w:val="clear" w:pos="720"/>
        <w:tab w:val="right" w:pos="12240" w:leader="dot"/>
      </w:tabs>
      <w:ind w:hanging="0" w:start="0"/>
    </w:pPr>
    <w:rPr/>
  </w:style>
  <w:style w:type="paragraph" w:styleId="TOC3">
    <w:name w:val="toc 3"/>
    <w:basedOn w:val="Index"/>
    <w:pPr>
      <w:tabs>
        <w:tab w:val="clear" w:pos="720"/>
        <w:tab w:val="right" w:pos="11673"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image" Target="media/image7.png"/><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header" Target="header10.xml"/><Relationship Id="rId31" Type="http://schemas.openxmlformats.org/officeDocument/2006/relationships/header" Target="header11.xml"/><Relationship Id="rId32" Type="http://schemas.openxmlformats.org/officeDocument/2006/relationships/header" Target="header12.xml"/><Relationship Id="rId33" Type="http://schemas.openxmlformats.org/officeDocument/2006/relationships/footer" Target="footer10.xml"/><Relationship Id="rId34" Type="http://schemas.openxmlformats.org/officeDocument/2006/relationships/footer" Target="footer11.xml"/><Relationship Id="rId35" Type="http://schemas.openxmlformats.org/officeDocument/2006/relationships/footer" Target="footer12.xml"/><Relationship Id="rId36" Type="http://schemas.openxmlformats.org/officeDocument/2006/relationships/image" Target="media/image11.png"/><Relationship Id="rId37" Type="http://schemas.openxmlformats.org/officeDocument/2006/relationships/header" Target="header13.xml"/><Relationship Id="rId38" Type="http://schemas.openxmlformats.org/officeDocument/2006/relationships/header" Target="header14.xml"/><Relationship Id="rId39" Type="http://schemas.openxmlformats.org/officeDocument/2006/relationships/header" Target="header15.xml"/><Relationship Id="rId40" Type="http://schemas.openxmlformats.org/officeDocument/2006/relationships/footer" Target="footer13.xml"/><Relationship Id="rId41" Type="http://schemas.openxmlformats.org/officeDocument/2006/relationships/footer" Target="footer14.xml"/><Relationship Id="rId42" Type="http://schemas.openxmlformats.org/officeDocument/2006/relationships/footer" Target="footer15.xml"/><Relationship Id="rId43" Type="http://schemas.openxmlformats.org/officeDocument/2006/relationships/image" Target="media/image12.png"/><Relationship Id="rId44" Type="http://schemas.openxmlformats.org/officeDocument/2006/relationships/image" Target="media/image13.png"/><Relationship Id="rId45" Type="http://schemas.openxmlformats.org/officeDocument/2006/relationships/header" Target="header16.xml"/><Relationship Id="rId46" Type="http://schemas.openxmlformats.org/officeDocument/2006/relationships/header" Target="header17.xml"/><Relationship Id="rId47" Type="http://schemas.openxmlformats.org/officeDocument/2006/relationships/header" Target="header18.xml"/><Relationship Id="rId48" Type="http://schemas.openxmlformats.org/officeDocument/2006/relationships/footer" Target="footer16.xml"/><Relationship Id="rId49" Type="http://schemas.openxmlformats.org/officeDocument/2006/relationships/footer" Target="footer17.xml"/><Relationship Id="rId50" Type="http://schemas.openxmlformats.org/officeDocument/2006/relationships/footer" Target="footer18.xml"/><Relationship Id="rId51" Type="http://schemas.openxmlformats.org/officeDocument/2006/relationships/image" Target="media/image14.png"/><Relationship Id="rId52" Type="http://schemas.openxmlformats.org/officeDocument/2006/relationships/image" Target="media/image15.png"/><Relationship Id="rId53" Type="http://schemas.openxmlformats.org/officeDocument/2006/relationships/image" Target="media/image16.png"/><Relationship Id="rId54" Type="http://schemas.openxmlformats.org/officeDocument/2006/relationships/header" Target="header19.xml"/><Relationship Id="rId55" Type="http://schemas.openxmlformats.org/officeDocument/2006/relationships/header" Target="header20.xml"/><Relationship Id="rId56" Type="http://schemas.openxmlformats.org/officeDocument/2006/relationships/header" Target="header21.xml"/><Relationship Id="rId57" Type="http://schemas.openxmlformats.org/officeDocument/2006/relationships/footer" Target="footer19.xml"/><Relationship Id="rId58" Type="http://schemas.openxmlformats.org/officeDocument/2006/relationships/footer" Target="footer20.xml"/><Relationship Id="rId59" Type="http://schemas.openxmlformats.org/officeDocument/2006/relationships/footer" Target="footer21.xml"/><Relationship Id="rId60" Type="http://schemas.openxmlformats.org/officeDocument/2006/relationships/image" Target="media/image17.png"/><Relationship Id="rId61" Type="http://schemas.openxmlformats.org/officeDocument/2006/relationships/image" Target="media/image18.png"/><Relationship Id="rId62" Type="http://schemas.openxmlformats.org/officeDocument/2006/relationships/header" Target="header22.xml"/><Relationship Id="rId63" Type="http://schemas.openxmlformats.org/officeDocument/2006/relationships/header" Target="header23.xml"/><Relationship Id="rId64" Type="http://schemas.openxmlformats.org/officeDocument/2006/relationships/header" Target="header24.xml"/><Relationship Id="rId65" Type="http://schemas.openxmlformats.org/officeDocument/2006/relationships/footer" Target="footer22.xml"/><Relationship Id="rId66" Type="http://schemas.openxmlformats.org/officeDocument/2006/relationships/footer" Target="footer23.xml"/><Relationship Id="rId67" Type="http://schemas.openxmlformats.org/officeDocument/2006/relationships/footer" Target="footer24.xml"/><Relationship Id="rId68" Type="http://schemas.openxmlformats.org/officeDocument/2006/relationships/image" Target="media/image19.png"/><Relationship Id="rId69" Type="http://schemas.openxmlformats.org/officeDocument/2006/relationships/image" Target="media/image20.png"/><Relationship Id="rId70" Type="http://schemas.openxmlformats.org/officeDocument/2006/relationships/image" Target="media/image21.png"/><Relationship Id="rId71" Type="http://schemas.openxmlformats.org/officeDocument/2006/relationships/header" Target="header25.xml"/><Relationship Id="rId72" Type="http://schemas.openxmlformats.org/officeDocument/2006/relationships/header" Target="header26.xml"/><Relationship Id="rId73" Type="http://schemas.openxmlformats.org/officeDocument/2006/relationships/header" Target="header27.xml"/><Relationship Id="rId74" Type="http://schemas.openxmlformats.org/officeDocument/2006/relationships/footer" Target="footer25.xml"/><Relationship Id="rId75" Type="http://schemas.openxmlformats.org/officeDocument/2006/relationships/footer" Target="footer26.xml"/><Relationship Id="rId76" Type="http://schemas.openxmlformats.org/officeDocument/2006/relationships/footer" Target="footer27.xml"/><Relationship Id="rId77" Type="http://schemas.openxmlformats.org/officeDocument/2006/relationships/image" Target="media/image22.png"/><Relationship Id="rId78" Type="http://schemas.openxmlformats.org/officeDocument/2006/relationships/header" Target="header28.xml"/><Relationship Id="rId79" Type="http://schemas.openxmlformats.org/officeDocument/2006/relationships/header" Target="header29.xml"/><Relationship Id="rId80" Type="http://schemas.openxmlformats.org/officeDocument/2006/relationships/header" Target="header30.xml"/><Relationship Id="rId81" Type="http://schemas.openxmlformats.org/officeDocument/2006/relationships/footer" Target="footer28.xml"/><Relationship Id="rId82" Type="http://schemas.openxmlformats.org/officeDocument/2006/relationships/footer" Target="footer29.xml"/><Relationship Id="rId83" Type="http://schemas.openxmlformats.org/officeDocument/2006/relationships/footer" Target="footer30.xml"/><Relationship Id="rId84" Type="http://schemas.openxmlformats.org/officeDocument/2006/relationships/numbering" Target="numbering.xml"/><Relationship Id="rId85" Type="http://schemas.openxmlformats.org/officeDocument/2006/relationships/fontTable" Target="fontTable.xml"/><Relationship Id="rId86" Type="http://schemas.openxmlformats.org/officeDocument/2006/relationships/settings" Target="settings.xml"/><Relationship Id="rId87" Type="http://schemas.openxmlformats.org/officeDocument/2006/relationships/theme" Target="theme/theme1.xml"/><Relationship Id="rId8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126</Pages>
  <Words>18664</Words>
  <Characters>115929</Characters>
  <CharactersWithSpaces>133015</CharactersWithSpaces>
  <Paragraphs>3312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Aaron Stovall | Mythos Systems</dc:creator>
  <dc:description>Foundational Blueprint - 2026</dc:description>
  <cp:keywords>PRISMATIK Mythos Systems trading intelligence options crypto CoinGecko Rust SvelteKit Tauri post-quantum cryptography architecture</cp:keywords>
  <dc:language>en-US</dc:language>
  <cp:lastModifiedBy/>
  <dcterms:modified xsi:type="dcterms:W3CDTF">2026-07-13T22:44:22Z</dcterms:modified>
  <cp:revision>2</cp:revision>
  <dc:subject>Enterprise trading intelligence platform executive report and granular technical architecture</dc:subject>
  <dc:title>PRISMATIK Cornerstone Product, Architecture, Security &amp; Implementation Blueprint</dc:title>
</cp:coreProperties>
</file>

<file path=docProps/custom.xml><?xml version="1.0" encoding="utf-8"?>
<Properties xmlns="http://schemas.openxmlformats.org/officeDocument/2006/custom-properties" xmlns:vt="http://schemas.openxmlformats.org/officeDocument/2006/docPropsVTypes"/>
</file>