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IXO, I have reviewed the transition documentation to identify the specific exceptions to the general rules of the Target Operating Model (TOM).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are all the explicit exceptions captured in the discovery data: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Release Access Exceptions (EDP-GT &amp; XLR)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general mandate for the Release Environment is to strip down and remove all legacy ARE access, with the strict exception of retaining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EDP-GT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Additionally,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XLR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access is specifically retained as an exception exclusively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TDI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segment.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AMCB Segment Work Transfer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AMCB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segment represents an exception regarding its transition scope for application code and configuration work, as this work has already been transferred to TDS and Payments.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Agile RaD Workflows (Jira)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legacy ServiceNow (DARM) workflows must be completely reassessed and rerouted, the resource engagement workflows for Agile RaD work assigned via Jira will remain unchanged.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remains the exception unless Technology Solutions (TS) explicitly dictates a new operational preference to change it.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Mainframe Pipeline (POC State)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standard secondary pipelines (like Fenix and CADP) are being evaluated for necessary access movement, the Mainframe (MF) pipeline represents a situational exception because it is currently operating in a Proof of Concept (POC) state.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