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838B" w14:textId="77777777" w:rsidR="005F30E4" w:rsidRDefault="00000000">
      <w:pPr>
        <w:pStyle w:val="Heading1"/>
        <w:jc w:val="center"/>
      </w:pPr>
      <w:r>
        <w:t>Workday Migration &amp; Access Dependency Checklist</w:t>
      </w:r>
    </w:p>
    <w:p w14:paraId="52054F13" w14:textId="77777777" w:rsidR="005F30E4" w:rsidRDefault="00000000">
      <w:pPr>
        <w:spacing w:after="400"/>
        <w:jc w:val="center"/>
      </w:pPr>
      <w:r>
        <w:t>This checklist outlines the sequence of steps, dependencies, and key impacts for migrating resources and access within Workday.</w:t>
      </w:r>
    </w:p>
    <w:p w14:paraId="30B7751A" w14:textId="77777777" w:rsidR="005F30E4" w:rsidRDefault="00000000">
      <w:pPr>
        <w:pStyle w:val="Heading2"/>
      </w:pPr>
      <w:r>
        <w:t>1. Confirm impacted areas</w:t>
      </w:r>
    </w:p>
    <w:p w14:paraId="09144130" w14:textId="77777777" w:rsidR="005F30E4" w:rsidRDefault="00000000">
      <w:r>
        <w:rPr>
          <w:sz w:val="28"/>
        </w:rPr>
        <w:t xml:space="preserve">☐  </w:t>
      </w:r>
      <w:r>
        <w:t>Identify the following impacted areas:</w:t>
      </w:r>
    </w:p>
    <w:p w14:paraId="691580A3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Segments</w:t>
      </w:r>
    </w:p>
    <w:p w14:paraId="78F4E1E0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Applications</w:t>
      </w:r>
    </w:p>
    <w:p w14:paraId="658A4775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Platforms</w:t>
      </w:r>
    </w:p>
    <w:p w14:paraId="04E441BA" w14:textId="1AFC474E" w:rsidR="005F30E4" w:rsidRDefault="00000000">
      <w:pPr>
        <w:ind w:left="720"/>
      </w:pPr>
      <w:r>
        <w:rPr>
          <w:sz w:val="24"/>
        </w:rPr>
        <w:t xml:space="preserve">☐  </w:t>
      </w:r>
      <w:r w:rsidR="00260E78">
        <w:t>i</w:t>
      </w:r>
      <w:r>
        <w:t>CTO contacts</w:t>
      </w:r>
    </w:p>
    <w:p w14:paraId="43BA3777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Senior Manager contacts</w:t>
      </w:r>
    </w:p>
    <w:p w14:paraId="59EEA13A" w14:textId="77777777" w:rsidR="005F30E4" w:rsidRDefault="00000000">
      <w:pPr>
        <w:spacing w:before="120" w:after="280"/>
        <w:ind w:left="720"/>
      </w:pPr>
      <w:r>
        <w:rPr>
          <w:b/>
          <w:color w:val="595959"/>
          <w:sz w:val="20"/>
        </w:rPr>
        <w:t xml:space="preserve">Dependency: </w:t>
      </w:r>
      <w:r>
        <w:rPr>
          <w:i/>
          <w:color w:val="595959"/>
          <w:sz w:val="20"/>
        </w:rPr>
        <w:t>Needed before access requirements can be validated.</w:t>
      </w:r>
    </w:p>
    <w:p w14:paraId="32AC1579" w14:textId="77777777" w:rsidR="005F30E4" w:rsidRDefault="00000000">
      <w:pPr>
        <w:pStyle w:val="Heading2"/>
      </w:pPr>
      <w:r>
        <w:t>2. Validate target-state access</w:t>
      </w:r>
    </w:p>
    <w:p w14:paraId="0EC08FE9" w14:textId="77777777" w:rsidR="005F30E4" w:rsidRDefault="00000000">
      <w:r>
        <w:rPr>
          <w:sz w:val="28"/>
        </w:rPr>
        <w:t xml:space="preserve">☐  </w:t>
      </w:r>
      <w:r>
        <w:t>Each Segment confirms what access is required after transition, including:</w:t>
      </w:r>
    </w:p>
    <w:p w14:paraId="0C5DA607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Release</w:t>
      </w:r>
    </w:p>
    <w:p w14:paraId="7FB71FD9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Distributed</w:t>
      </w:r>
    </w:p>
    <w:p w14:paraId="2F4DC8B6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Mainframe</w:t>
      </w:r>
    </w:p>
    <w:p w14:paraId="5619B1C7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VDI</w:t>
      </w:r>
    </w:p>
    <w:p w14:paraId="32C5F9F5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AD</w:t>
      </w:r>
    </w:p>
    <w:p w14:paraId="7012FD99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CyberArk/NPID</w:t>
      </w:r>
    </w:p>
    <w:p w14:paraId="2397CF5E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Pipeline</w:t>
      </w:r>
    </w:p>
    <w:p w14:paraId="11FB1B7F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Linux/Unix</w:t>
      </w:r>
    </w:p>
    <w:p w14:paraId="695AA283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ServiceNow workflows</w:t>
      </w:r>
    </w:p>
    <w:p w14:paraId="55197173" w14:textId="77777777" w:rsidR="005F30E4" w:rsidRDefault="00000000">
      <w:pPr>
        <w:spacing w:before="120" w:after="280"/>
        <w:ind w:left="720"/>
      </w:pPr>
      <w:r>
        <w:rPr>
          <w:b/>
          <w:color w:val="595959"/>
          <w:sz w:val="20"/>
        </w:rPr>
        <w:t xml:space="preserve">Dependency: </w:t>
      </w:r>
      <w:r>
        <w:rPr>
          <w:i/>
          <w:color w:val="595959"/>
          <w:sz w:val="20"/>
        </w:rPr>
        <w:t>Needed before TS-owned or Segment-owned groups can be created, transferred, or updated.</w:t>
      </w:r>
    </w:p>
    <w:p w14:paraId="4C223E44" w14:textId="77777777" w:rsidR="005F30E4" w:rsidRDefault="00000000">
      <w:pPr>
        <w:pStyle w:val="Heading2"/>
      </w:pPr>
      <w:r>
        <w:lastRenderedPageBreak/>
        <w:t>3. Prepare replacement access</w:t>
      </w:r>
    </w:p>
    <w:p w14:paraId="58BB8959" w14:textId="77777777" w:rsidR="005F30E4" w:rsidRDefault="00000000">
      <w:r>
        <w:rPr>
          <w:sz w:val="28"/>
        </w:rPr>
        <w:t xml:space="preserve">☐  </w:t>
      </w:r>
      <w:r>
        <w:t>Create or transfer required access and routing:</w:t>
      </w:r>
    </w:p>
    <w:p w14:paraId="2D910296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AD groups</w:t>
      </w:r>
    </w:p>
    <w:p w14:paraId="2F1CF382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CyberArk vault access</w:t>
      </w:r>
    </w:p>
    <w:p w14:paraId="04B692DA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VDI access</w:t>
      </w:r>
    </w:p>
    <w:p w14:paraId="6B2C79C1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Pipeline access</w:t>
      </w:r>
    </w:p>
    <w:p w14:paraId="2447C2AC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Linux/Unix sudo groups</w:t>
      </w:r>
    </w:p>
    <w:p w14:paraId="70040724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ServiceNow/IaP/MAA/DARM routing</w:t>
      </w:r>
    </w:p>
    <w:p w14:paraId="6592D4EE" w14:textId="77777777" w:rsidR="005F30E4" w:rsidRDefault="00000000">
      <w:pPr>
        <w:spacing w:before="120" w:after="280"/>
        <w:ind w:left="720"/>
      </w:pPr>
      <w:r>
        <w:rPr>
          <w:b/>
          <w:color w:val="595959"/>
          <w:sz w:val="20"/>
        </w:rPr>
        <w:t xml:space="preserve">Dependency: </w:t>
      </w:r>
      <w:r>
        <w:rPr>
          <w:i/>
          <w:color w:val="595959"/>
          <w:sz w:val="20"/>
        </w:rPr>
        <w:t>Must be ready before Workday changes are executed.</w:t>
      </w:r>
    </w:p>
    <w:p w14:paraId="4CFF9B2E" w14:textId="77777777" w:rsidR="005F30E4" w:rsidRDefault="00000000">
      <w:pPr>
        <w:pStyle w:val="Heading2"/>
      </w:pPr>
      <w:r>
        <w:t>4. Execute Workday move</w:t>
      </w:r>
    </w:p>
    <w:p w14:paraId="04F1230F" w14:textId="77777777" w:rsidR="005F30E4" w:rsidRDefault="00000000">
      <w:r>
        <w:rPr>
          <w:sz w:val="28"/>
        </w:rPr>
        <w:t xml:space="preserve">☐  </w:t>
      </w:r>
      <w:r>
        <w:t>Proceed with organizational reporting changes once the following are confirmed:</w:t>
      </w:r>
    </w:p>
    <w:p w14:paraId="31DAA6C7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Replacement access is ready</w:t>
      </w:r>
    </w:p>
    <w:p w14:paraId="2C3D0034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Receiving-manager timing is confirmed</w:t>
      </w:r>
    </w:p>
    <w:p w14:paraId="3B3D918C" w14:textId="77777777" w:rsidR="005F30E4" w:rsidRDefault="00000000">
      <w:pPr>
        <w:spacing w:before="120" w:after="280"/>
        <w:ind w:left="720"/>
      </w:pPr>
      <w:r>
        <w:rPr>
          <w:b/>
          <w:color w:val="595959"/>
          <w:sz w:val="20"/>
        </w:rPr>
        <w:t xml:space="preserve">Key impact: </w:t>
      </w:r>
      <w:r>
        <w:rPr>
          <w:i/>
          <w:color w:val="595959"/>
          <w:sz w:val="20"/>
        </w:rPr>
        <w:t>CyberArk/NPID access may be removed by design when the Workday move occurs.</w:t>
      </w:r>
    </w:p>
    <w:p w14:paraId="44058CB7" w14:textId="77777777" w:rsidR="005F30E4" w:rsidRDefault="00000000">
      <w:pPr>
        <w:pStyle w:val="Heading2"/>
      </w:pPr>
      <w:r>
        <w:t>5. Activate receiving-team access</w:t>
      </w:r>
    </w:p>
    <w:p w14:paraId="23F40EB1" w14:textId="77777777" w:rsidR="005F30E4" w:rsidRDefault="00000000">
      <w:r>
        <w:rPr>
          <w:sz w:val="28"/>
        </w:rPr>
        <w:t xml:space="preserve">☐  </w:t>
      </w:r>
      <w:r>
        <w:t>Receiving manager and target teams perform the following for transitioned resources:</w:t>
      </w:r>
    </w:p>
    <w:p w14:paraId="64E45758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Activate access</w:t>
      </w:r>
    </w:p>
    <w:p w14:paraId="26F7A9E8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Validate access</w:t>
      </w:r>
    </w:p>
    <w:p w14:paraId="063DE215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Confirm access</w:t>
      </w:r>
    </w:p>
    <w:p w14:paraId="0F16E6F8" w14:textId="77777777" w:rsidR="005F30E4" w:rsidRDefault="00000000">
      <w:pPr>
        <w:spacing w:before="120" w:after="280"/>
        <w:ind w:left="720"/>
      </w:pPr>
      <w:r>
        <w:rPr>
          <w:b/>
          <w:color w:val="595959"/>
          <w:sz w:val="20"/>
        </w:rPr>
        <w:t xml:space="preserve">Dependency: </w:t>
      </w:r>
      <w:r>
        <w:rPr>
          <w:i/>
          <w:color w:val="595959"/>
          <w:sz w:val="20"/>
        </w:rPr>
        <w:t>Must happen before cleanup of old ARE-owned access is completed.</w:t>
      </w:r>
    </w:p>
    <w:p w14:paraId="7CA7796E" w14:textId="77777777" w:rsidR="005F30E4" w:rsidRDefault="00000000">
      <w:pPr>
        <w:pStyle w:val="Heading2"/>
      </w:pPr>
      <w:r>
        <w:t>6. Clean up legacy ARE access</w:t>
      </w:r>
    </w:p>
    <w:p w14:paraId="3FEA59C9" w14:textId="77777777" w:rsidR="005F30E4" w:rsidRDefault="00000000">
      <w:r>
        <w:rPr>
          <w:sz w:val="28"/>
        </w:rPr>
        <w:t xml:space="preserve">☐  </w:t>
      </w:r>
      <w:r>
        <w:t>Remove the following legacy permissions:</w:t>
      </w:r>
    </w:p>
    <w:p w14:paraId="1C83525B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ARE-owned access groups</w:t>
      </w:r>
    </w:p>
    <w:p w14:paraId="74FB3AD5" w14:textId="77777777" w:rsidR="005F30E4" w:rsidRDefault="00000000">
      <w:pPr>
        <w:ind w:left="720"/>
      </w:pPr>
      <w:r>
        <w:rPr>
          <w:sz w:val="24"/>
        </w:rPr>
        <w:lastRenderedPageBreak/>
        <w:t xml:space="preserve">☐  </w:t>
      </w:r>
      <w:r>
        <w:t>Practice-owned IDs</w:t>
      </w:r>
    </w:p>
    <w:p w14:paraId="650CEC0C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Outdated CyberArk/NPID mappings</w:t>
      </w:r>
    </w:p>
    <w:p w14:paraId="3BC86D23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Obsolete VDI access</w:t>
      </w:r>
    </w:p>
    <w:p w14:paraId="130FBD52" w14:textId="77777777" w:rsidR="005F30E4" w:rsidRDefault="00000000">
      <w:pPr>
        <w:ind w:left="720"/>
      </w:pPr>
      <w:r>
        <w:rPr>
          <w:sz w:val="24"/>
        </w:rPr>
        <w:t xml:space="preserve">☐  </w:t>
      </w:r>
      <w:r>
        <w:t>Other legacy permissions</w:t>
      </w:r>
    </w:p>
    <w:p w14:paraId="5DDEB1F4" w14:textId="4C55A7C6" w:rsidR="005F30E4" w:rsidRDefault="00000000">
      <w:pPr>
        <w:spacing w:before="120" w:after="280"/>
        <w:ind w:left="720"/>
      </w:pPr>
      <w:r>
        <w:rPr>
          <w:b/>
          <w:color w:val="595959"/>
          <w:sz w:val="20"/>
        </w:rPr>
        <w:t xml:space="preserve">Risk control: </w:t>
      </w:r>
      <w:r w:rsidR="0039503F">
        <w:rPr>
          <w:i/>
          <w:color w:val="595959"/>
          <w:sz w:val="20"/>
        </w:rPr>
        <w:t>Revocation</w:t>
      </w:r>
      <w:r>
        <w:rPr>
          <w:i/>
          <w:color w:val="595959"/>
          <w:sz w:val="20"/>
        </w:rPr>
        <w:t xml:space="preserve"> should only occur after replacement access is confirmed to avoid production, workflow, or audit issues.</w:t>
      </w:r>
    </w:p>
    <w:sectPr w:rsidR="005F30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310830">
    <w:abstractNumId w:val="8"/>
  </w:num>
  <w:num w:numId="2" w16cid:durableId="267546981">
    <w:abstractNumId w:val="6"/>
  </w:num>
  <w:num w:numId="3" w16cid:durableId="1898005779">
    <w:abstractNumId w:val="5"/>
  </w:num>
  <w:num w:numId="4" w16cid:durableId="1076592489">
    <w:abstractNumId w:val="4"/>
  </w:num>
  <w:num w:numId="5" w16cid:durableId="370038668">
    <w:abstractNumId w:val="7"/>
  </w:num>
  <w:num w:numId="6" w16cid:durableId="335158908">
    <w:abstractNumId w:val="3"/>
  </w:num>
  <w:num w:numId="7" w16cid:durableId="704448262">
    <w:abstractNumId w:val="2"/>
  </w:num>
  <w:num w:numId="8" w16cid:durableId="1771198671">
    <w:abstractNumId w:val="1"/>
  </w:num>
  <w:num w:numId="9" w16cid:durableId="98836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E78"/>
    <w:rsid w:val="0029639D"/>
    <w:rsid w:val="00326F90"/>
    <w:rsid w:val="0039503F"/>
    <w:rsid w:val="005F30E4"/>
    <w:rsid w:val="00AA1D8D"/>
    <w:rsid w:val="00B47730"/>
    <w:rsid w:val="00CB0664"/>
    <w:rsid w:val="00DC015C"/>
    <w:rsid w:val="00EE3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2A5C7"/>
  <w14:defaultImageDpi w14:val="300"/>
  <w15:docId w15:val="{C16D3088-F57F-4D84-AA58-F512B691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D'costa (510007086)</cp:lastModifiedBy>
  <cp:revision>3</cp:revision>
  <dcterms:created xsi:type="dcterms:W3CDTF">2026-07-28T20:41:00Z</dcterms:created>
  <dcterms:modified xsi:type="dcterms:W3CDTF">2026-07-28T20:42:00Z</dcterms:modified>
  <cp:category/>
</cp:coreProperties>
</file>