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updated problem and business opportunity statements incorporating the specific audit finding (FND-59999) and the detailed scope of the on-premises Active Directory environments.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and Compliance Problem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organization is facing a major regulatory audit finding, specifically </w:t>
      </w:r>
      <w:r w:rsidDel="00000000" w:rsidR="00000000" w:rsidRPr="00000000">
        <w:rPr>
          <w:rFonts w:ascii="Google Sans" w:cs="Google Sans" w:eastAsia="Google Sans" w:hAnsi="Google Sans"/>
          <w:b w:val="1"/>
          <w:bCs w:val="1"/>
          <w:color w:val="1f1f1f"/>
          <w:rtl w:val="0"/>
        </w:rPr>
        <w:t xml:space="preserve">FND-59999</w:t>
      </w:r>
      <w:r w:rsidDel="00000000" w:rsidR="00000000" w:rsidRPr="00000000">
        <w:rPr>
          <w:rFonts w:ascii="Google Sans" w:cs="Google Sans" w:eastAsia="Google Sans" w:hAnsi="Google Sans"/>
          <w:color w:val="1f1f1f"/>
          <w:rtl w:val="0"/>
        </w:rPr>
        <w:t xml:space="preserve">, regarding the lack of visibility, sustainability, and maintenance of existing nested group memberships within the </w:t>
      </w:r>
      <w:r w:rsidDel="00000000" w:rsidR="00000000" w:rsidRPr="00000000">
        <w:rPr>
          <w:rFonts w:ascii="Google Sans" w:cs="Google Sans" w:eastAsia="Google Sans" w:hAnsi="Google Sans"/>
          <w:b w:val="1"/>
          <w:bCs w:val="1"/>
          <w:color w:val="1f1f1f"/>
          <w:rtl w:val="0"/>
        </w:rPr>
        <w:t xml:space="preserve">on-premises Active Directory environment</w:t>
      </w:r>
      <w:r w:rsidDel="00000000" w:rsidR="00000000" w:rsidRPr="00000000">
        <w:rPr>
          <w:rFonts w:ascii="Google Sans" w:cs="Google Sans" w:eastAsia="Google Sans" w:hAnsi="Google Sans"/>
          <w:color w:val="1f1f1f"/>
          <w:rtl w:val="0"/>
        </w:rPr>
        <w:t xml:space="preserve">. The engineering team is explicitly responsible for remediating parts 6 and 7 of this overarching 9-part finding. They must establish a reliable system to provide concrete reporting evidence to auditors and partner teams before the strict regulatory commitment deadline of July 2027.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Problem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deep nested group data across massive on-premises Active Directory environments—specifically the </w:t>
      </w:r>
      <w:r w:rsidDel="00000000" w:rsidR="00000000" w:rsidRPr="00000000">
        <w:rPr>
          <w:rFonts w:ascii="Google Sans" w:cs="Google Sans" w:eastAsia="Google Sans" w:hAnsi="Google Sans"/>
          <w:b w:val="1"/>
          <w:bCs w:val="1"/>
          <w:color w:val="1f1f1f"/>
          <w:rtl w:val="0"/>
        </w:rPr>
        <w:t xml:space="preserve">TD Global Forest (including TDBFG, TDSecurities, RNET, BKNG, and MelocheMonnex)</w:t>
      </w:r>
      <w:r w:rsidDel="00000000" w:rsidR="00000000" w:rsidRPr="00000000">
        <w:rPr>
          <w:rFonts w:ascii="Google Sans" w:cs="Google Sans" w:eastAsia="Google Sans" w:hAnsi="Google Sans"/>
          <w:color w:val="1f1f1f"/>
          <w:rtl w:val="0"/>
        </w:rPr>
        <w:t xml:space="preserve">—using native queries or legacy in-house tools is highly inefficient and creates unacceptable technical debt.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 Impact:</w:t>
      </w:r>
      <w:r w:rsidDel="00000000" w:rsidR="00000000" w:rsidRPr="00000000">
        <w:rPr>
          <w:rFonts w:ascii="Google Sans" w:cs="Google Sans" w:eastAsia="Google Sans" w:hAnsi="Google Sans"/>
          <w:color w:val="1f1f1f"/>
          <w:rtl w:val="0"/>
        </w:rPr>
        <w:t xml:space="preserve"> Running these massive queries directly against live on-premises AD environments severely impacts network and server performance. During a proof-of-concept, a single discovery run took 12 to 15 hours just to complete in the lower development environments.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Supportability:</w:t>
      </w:r>
      <w:r w:rsidDel="00000000" w:rsidR="00000000" w:rsidRPr="00000000">
        <w:rPr>
          <w:rFonts w:ascii="Google Sans" w:cs="Google Sans" w:eastAsia="Google Sans" w:hAnsi="Google Sans"/>
          <w:color w:val="1f1f1f"/>
          <w:rtl w:val="0"/>
        </w:rPr>
        <w:t xml:space="preserve"> Previous attempts to use custom-built, in-house applications resulted in tools that do not meet modern code review standards, lack professional vendor support, and are difficult for the team to maintain long-term.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Conclusion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finding FND-59999, the organization needs a vendor-supported, high-performance solution (Quest Enterprise Reporter) capable of securely extracting and storing on-premises AD nested group data in an offline SQL database. This will allow external teams to generate necessary compliance reports rapidly without degrading the live TD Global Forest authentication environment or relying on unsupported custom code.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Opportunity Statements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Regulatory Compliance &amp; Risk Mitigation (FND-59999):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deploying a dedicated reporting infrastructure, the organization has the opportunity to fully remediate its critical audit finding (</w:t>
      </w:r>
      <w:r w:rsidDel="00000000" w:rsidR="00000000" w:rsidRPr="00000000">
        <w:rPr>
          <w:rFonts w:ascii="Google Sans" w:cs="Google Sans" w:eastAsia="Google Sans" w:hAnsi="Google Sans"/>
          <w:b w:val="1"/>
          <w:bCs w:val="1"/>
          <w:color w:val="1f1f1f"/>
          <w:rtl w:val="0"/>
        </w:rPr>
        <w:t xml:space="preserve">FND-59999</w:t>
      </w:r>
      <w:r w:rsidDel="00000000" w:rsidR="00000000" w:rsidRPr="00000000">
        <w:rPr>
          <w:rFonts w:ascii="Google Sans" w:cs="Google Sans" w:eastAsia="Google Sans" w:hAnsi="Google Sans"/>
          <w:color w:val="1f1f1f"/>
          <w:rtl w:val="0"/>
        </w:rPr>
        <w:t xml:space="preserve">, specifically items 6 and 7) well ahead of the July 2027 regulatory commitment deadline. This ensures the bank can formally demonstrate the sustainability, visibility, and active maintenance of nested groups strictly across its </w:t>
      </w:r>
      <w:r w:rsidDel="00000000" w:rsidR="00000000" w:rsidRPr="00000000">
        <w:rPr>
          <w:rFonts w:ascii="Google Sans" w:cs="Google Sans" w:eastAsia="Google Sans" w:hAnsi="Google Sans"/>
          <w:b w:val="1"/>
          <w:bCs w:val="1"/>
          <w:color w:val="1f1f1f"/>
          <w:rtl w:val="0"/>
        </w:rPr>
        <w:t xml:space="preserve">on-premises Active Directory environment</w:t>
      </w:r>
      <w:r w:rsidDel="00000000" w:rsidR="00000000" w:rsidRPr="00000000">
        <w:rPr>
          <w:rFonts w:ascii="Google Sans" w:cs="Google Sans" w:eastAsia="Google Sans" w:hAnsi="Google Sans"/>
          <w:color w:val="1f1f1f"/>
          <w:rtl w:val="0"/>
        </w:rPr>
        <w:t xml:space="preserve"> to external auditors.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Infrastructure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By clustering discovery nodes across the </w:t>
      </w:r>
      <w:r w:rsidDel="00000000" w:rsidR="00000000" w:rsidRPr="00000000">
        <w:rPr>
          <w:rFonts w:ascii="Google Sans" w:cs="Google Sans" w:eastAsia="Google Sans" w:hAnsi="Google Sans"/>
          <w:b w:val="1"/>
          <w:bCs w:val="1"/>
          <w:color w:val="1f1f1f"/>
          <w:rtl w:val="0"/>
        </w:rPr>
        <w:t xml:space="preserve">TD Global Forest</w:t>
      </w:r>
      <w:r w:rsidDel="00000000" w:rsidR="00000000" w:rsidRPr="00000000">
        <w:rPr>
          <w:rFonts w:ascii="Google Sans" w:cs="Google Sans" w:eastAsia="Google Sans" w:hAnsi="Google Sans"/>
          <w:color w:val="1f1f1f"/>
          <w:rtl w:val="0"/>
        </w:rPr>
        <w:t xml:space="preserve"> and its associated domains (</w:t>
      </w:r>
      <w:r w:rsidDel="00000000" w:rsidR="00000000" w:rsidRPr="00000000">
        <w:rPr>
          <w:rFonts w:ascii="Google Sans" w:cs="Google Sans" w:eastAsia="Google Sans" w:hAnsi="Google Sans"/>
          <w:b w:val="1"/>
          <w:bCs w:val="1"/>
          <w:color w:val="1f1f1f"/>
          <w:rtl w:val="0"/>
        </w:rPr>
        <w:t xml:space="preserve">TDBFG, TDSecurities, RNET, BKNG, and MelocheMonnex</w:t>
      </w:r>
      <w:r w:rsidDel="00000000" w:rsidR="00000000" w:rsidRPr="00000000">
        <w:rPr>
          <w:rFonts w:ascii="Google Sans" w:cs="Google Sans" w:eastAsia="Google Sans" w:hAnsi="Google Sans"/>
          <w:color w:val="1f1f1f"/>
          <w:rtl w:val="0"/>
        </w:rPr>
        <w:t xml:space="preserve">), the organization can eliminate the massive performance strain of running 12- to 15-hour native queries against the live directories. Storing the extracted on-premises AD data in an offline SQL database protects the performance of critical enterprise authentication services while still allowing for rapid, on-demand querying by the reporting servers.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Debt Reduction &amp; Operational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organization has an opportunity to replace legacy, unsupportable in-house applications with a vendor-supported solution. Utilizing Quest Enterprise Reporter leverages an existing vendor relationship (integrating seamlessly with already deployed tools like ARS and QRM) and offloads maintenance and troubleshooting to vendor professional services, removing the internal burden of supporting bespoke code across multiple distinct AD domains.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Cross-Functional Data Enablement: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project presents an opportunity to democratize access governance data across the enterprise. By structuring and exporting the raw data from the on-premises AD domains, the engineering team can empower external business units (such as AMH and Employee Enablement) to autonomously ingest this data into their own visualization tools (like PowerBI). This provides tailored visibility to different teams assisting with broader FND-59999 remediation without granting them direct database access or introducing new security vulnerabilities to the Global Forest.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