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Traceability Matrix: Problem Statements to Business Opportunities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Problem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Problem Component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Opportunity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Addressed Business Opportunity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PRB-01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Compliance (FND-59999):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Lack of visibility, sustainability, and maintenance of nested groups in on-premises AD, requiring remediation of parts 6 and 7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OPP-01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Regulatory Compliance &amp; Risk Mitigation: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Implement dedicated reporting to deliver evidence to auditors and fully remediate the assigned FND-59999 items before the deadline.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PRB-01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Compliance (FND-59999):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Lack of visibility, sustainability, and maintenance of nested groups in on-premises AD, requiring remediation of parts 6 and 7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OPP-02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Cross-Functional Data Enablement: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Export raw AD data to empower partner teams (AMH, Employee Enablement) to assist with broader FND-59999 remediation via custom dashboards.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PRB-02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Technical (Performance):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Native queries across TD Global Forest domains (TDBFG, TDSecurities, RNET, BKNG, MelocheMonnex) take 12–15 hours, degrading live AD performance.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OPP-03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Enterprise Infrastructure Optimization: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Deploy clustered discovery nodes and an offline SQL database to protect live AD infrastructure while providing rapid, on-demand querying.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PRB-03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Technical (Supportability):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Legacy bespoke extraction tools create technical debt, fail modern code reviews, and lack professional support.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OPP-04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Technical Debt Reduction &amp; Operational Efficiency: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Replace unsupportable in-house code with the vendor-supported Quest Enterprise Reporter, leveraging existing vendor relationships.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