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Disaster Recovery (DR) Infrastructure Requirements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 AND SERVER INFRASTRUCTURE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Server Allocation:</w:t>
      </w:r>
      <w:r w:rsidDel="00000000" w:rsidR="00000000" w:rsidRPr="00000000">
        <w:rPr>
          <w:rFonts w:ascii="Google Sans" w:cs="Google Sans" w:eastAsia="Google Sans" w:hAnsi="Google Sans"/>
          <w:color w:val="1f1f1f"/>
          <w:rtl w:val="0"/>
        </w:rPr>
        <w:t xml:space="preserve"> Provision a total footprint of up to 18 servers across the various environments (TD Global Forest, BK&amp;G, MMI), which equates to approximately 6 servers per environment inclusive of DR nodes.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Risk-Based Deployment:</w:t>
      </w:r>
      <w:r w:rsidDel="00000000" w:rsidR="00000000" w:rsidRPr="00000000">
        <w:rPr>
          <w:rFonts w:ascii="Google Sans" w:cs="Google Sans" w:eastAsia="Google Sans" w:hAnsi="Google Sans"/>
          <w:color w:val="1f1f1f"/>
          <w:rtl w:val="0"/>
        </w:rPr>
        <w:t xml:space="preserve"> Deploy a variation of specific DR servers within each environment tailored to the associated risk profile of that specific domain.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Component Hosting:</w:t>
      </w:r>
      <w:r w:rsidDel="00000000" w:rsidR="00000000" w:rsidRPr="00000000">
        <w:rPr>
          <w:rFonts w:ascii="Google Sans" w:cs="Google Sans" w:eastAsia="Google Sans" w:hAnsi="Google Sans"/>
          <w:color w:val="1f1f1f"/>
          <w:rtl w:val="0"/>
        </w:rPr>
        <w:t xml:space="preserve"> DR servers must be sized and configured to host the Discovery Manager and Report Manager instances in the event the primary servers become unusable.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AND STORAGE INFRASTRUCTURE</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Portability &amp; Preservation:</w:t>
      </w:r>
      <w:r w:rsidDel="00000000" w:rsidR="00000000" w:rsidRPr="00000000">
        <w:rPr>
          <w:rFonts w:ascii="Google Sans" w:cs="Google Sans" w:eastAsia="Google Sans" w:hAnsi="Google Sans"/>
          <w:color w:val="1f1f1f"/>
          <w:rtl w:val="0"/>
        </w:rPr>
        <w:t xml:space="preserve"> The DR infrastructure must prioritize the capture and availability of the SQL database, as the primary recovery mechanism relies on the database being portable and persistent even if the application servers are lost.</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Retention:</w:t>
      </w:r>
      <w:r w:rsidDel="00000000" w:rsidR="00000000" w:rsidRPr="00000000">
        <w:rPr>
          <w:rFonts w:ascii="Google Sans" w:cs="Google Sans" w:eastAsia="Google Sans" w:hAnsi="Google Sans"/>
          <w:color w:val="1f1f1f"/>
          <w:rtl w:val="0"/>
        </w:rPr>
        <w:t xml:space="preserve"> Ensure the SQL database is continuously or periodically backed up/replicated, as it serves as the sole repository for all extracted Active Directory group and membership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AND KEY MANAGEMENT</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Encryption Key Vaulting:</w:t>
      </w:r>
      <w:r w:rsidDel="00000000" w:rsidR="00000000" w:rsidRPr="00000000">
        <w:rPr>
          <w:rFonts w:ascii="Google Sans" w:cs="Google Sans" w:eastAsia="Google Sans" w:hAnsi="Google Sans"/>
          <w:color w:val="1f1f1f"/>
          <w:rtl w:val="0"/>
        </w:rPr>
        <w:t xml:space="preserve"> Establish a secure, centralized storage mechanism for the application's encryption key generated at the time of initial installation.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 Linking:</w:t>
      </w:r>
      <w:r w:rsidDel="00000000" w:rsidR="00000000" w:rsidRPr="00000000">
        <w:rPr>
          <w:rFonts w:ascii="Google Sans" w:cs="Google Sans" w:eastAsia="Google Sans" w:hAnsi="Google Sans"/>
          <w:color w:val="1f1f1f"/>
          <w:rtl w:val="0"/>
        </w:rPr>
        <w:t xml:space="preserve"> The infrastructure must support the retrieval of this specific encryption key during a DR event, as it is strictly required to successfully link a newly stood-up report manager or discovery manager instance to the surviving SQL database.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AND CONNECTIVITY</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Mirrored Port Configurations:</w:t>
      </w:r>
      <w:r w:rsidDel="00000000" w:rsidR="00000000" w:rsidRPr="00000000">
        <w:rPr>
          <w:rFonts w:ascii="Google Sans" w:cs="Google Sans" w:eastAsia="Google Sans" w:hAnsi="Google Sans"/>
          <w:color w:val="1f1f1f"/>
          <w:rtl w:val="0"/>
        </w:rPr>
        <w:t xml:space="preserve"> Network firewalls in the DR environments must replicate the primary network rules, ensuring all required Microsoft AD ports, SQL ports, and specific application ports are open.</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Cross-Domain Trust Access:</w:t>
      </w:r>
      <w:r w:rsidDel="00000000" w:rsidR="00000000" w:rsidRPr="00000000">
        <w:rPr>
          <w:rFonts w:ascii="Google Sans" w:cs="Google Sans" w:eastAsia="Google Sans" w:hAnsi="Google Sans"/>
          <w:color w:val="1f1f1f"/>
          <w:rtl w:val="0"/>
        </w:rPr>
        <w:t xml:space="preserve"> Ensure the DR servers maintain the appropriate Active Directory trust access and domain-join status required to query the node servers and local AD environments without obstruction during a failover event.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