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Based on the meeting transcript, the architectural load distribution requirements were established to prevent the system from degrading live Active Directory performance.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Here are the specific load distribution requirements discussed:</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Distributed Cluster Deployment:</w:t>
      </w:r>
      <w:r w:rsidDel="00000000" w:rsidR="00000000" w:rsidRPr="00000000">
        <w:rPr>
          <w:rFonts w:ascii="Arial" w:cs="Arial" w:eastAsia="Arial" w:hAnsi="Arial"/>
          <w:color w:val="1f1f1f"/>
          <w:rtl w:val="0"/>
        </w:rPr>
        <w:t xml:space="preserve"> The architecture must utilize a clustered node format rather than a single-server deployment. In a single-server proof-of-concept, querying the massive volume of AD data took 12 to 15 hours to run, which the vendor flagged as poor for performance and load management.</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Primary Server Allocation:</w:t>
      </w:r>
      <w:r w:rsidDel="00000000" w:rsidR="00000000" w:rsidRPr="00000000">
        <w:rPr>
          <w:rFonts w:ascii="Arial" w:cs="Arial" w:eastAsia="Arial" w:hAnsi="Arial"/>
          <w:color w:val="1f1f1f"/>
          <w:rtl w:val="0"/>
        </w:rPr>
        <w:t xml:space="preserve"> Within a multi-domain forest, the primary Discovery Manager server (the main cluster) must be installed within the primary domain (e.g., TDBFG within the TD Global forest).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Localized Node Allocation:</w:t>
      </w:r>
      <w:r w:rsidDel="00000000" w:rsidR="00000000" w:rsidRPr="00000000">
        <w:rPr>
          <w:rFonts w:ascii="Arial" w:cs="Arial" w:eastAsia="Arial" w:hAnsi="Arial"/>
          <w:color w:val="1f1f1f"/>
          <w:rtl w:val="0"/>
        </w:rPr>
        <w:t xml:space="preserve"> Individual node instances must be installed locally in each secondary domain within the trust (e.g., ARNet and TD Securities). These localized nodes are responsible for executing the heavy queries directly against their own local domains, packaging that data, and sending it back through the primary server to the database.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Standalone Forest Configuration:</w:t>
      </w:r>
      <w:r w:rsidDel="00000000" w:rsidR="00000000" w:rsidRPr="00000000">
        <w:rPr>
          <w:rFonts w:ascii="Arial" w:cs="Arial" w:eastAsia="Arial" w:hAnsi="Arial"/>
          <w:color w:val="1f1f1f"/>
          <w:rtl w:val="0"/>
        </w:rPr>
        <w:t xml:space="preserve"> For forests that only contain a single domain (specifically identified as BK&amp;G and MMI), the discovery servers can run as standalone instances without needing the complex primary/node clustering required for the global forest.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Offline Reporting &amp; Read Isolation:</w:t>
      </w:r>
      <w:r w:rsidDel="00000000" w:rsidR="00000000" w:rsidRPr="00000000">
        <w:rPr>
          <w:rFonts w:ascii="Arial" w:cs="Arial" w:eastAsia="Arial" w:hAnsi="Arial"/>
          <w:color w:val="1f1f1f"/>
          <w:rtl w:val="0"/>
        </w:rPr>
        <w:t xml:space="preserve"> Once the Discovery Manager finishes pulling the data into the SQL database, its connection to Active Directory is terminated. All subsequent reporting actions, data exports, and client reads must be performed strictly against the offline SQL database to completely isolate the reporting load from the live AD infrastructure.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Scheduled Execution:</w:t>
      </w:r>
      <w:r w:rsidDel="00000000" w:rsidR="00000000" w:rsidRPr="00000000">
        <w:rPr>
          <w:rFonts w:ascii="Arial" w:cs="Arial" w:eastAsia="Arial" w:hAnsi="Arial"/>
          <w:color w:val="1f1f1f"/>
          <w:rtl w:val="0"/>
        </w:rPr>
        <w:t xml:space="preserve"> To further protect Active Directory performance, the discovery queries must be executed on a scheduled basis (the team debated monthly versus weekly runs) rather than running continuously in real-time.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