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E2072" w14:textId="77777777" w:rsidR="00E361CC" w:rsidRPr="00E361CC" w:rsidRDefault="00E361CC" w:rsidP="00E361CC">
      <w:pPr>
        <w:rPr>
          <w:b/>
          <w:bCs/>
        </w:rPr>
      </w:pPr>
      <w:r w:rsidRPr="00E361CC">
        <w:rPr>
          <w:b/>
          <w:bCs/>
        </w:rPr>
        <w:t>FR-1.0: Data Loss Prevention &amp; Email Content Inspection</w:t>
      </w:r>
    </w:p>
    <w:p w14:paraId="417F7F25" w14:textId="77777777" w:rsidR="00E361CC" w:rsidRPr="00E361CC" w:rsidRDefault="00E361CC" w:rsidP="00E361CC">
      <w:pPr>
        <w:numPr>
          <w:ilvl w:val="0"/>
          <w:numId w:val="1"/>
        </w:numPr>
      </w:pPr>
      <w:r w:rsidRPr="00E361CC">
        <w:rPr>
          <w:b/>
          <w:bCs/>
        </w:rPr>
        <w:t>FR-1.1: Endpoint Certificate Pattern Detection</w:t>
      </w:r>
      <w:r w:rsidRPr="00E361CC">
        <w:t xml:space="preserve"> </w:t>
      </w:r>
    </w:p>
    <w:p w14:paraId="533D7E17" w14:textId="77777777" w:rsidR="00E361CC" w:rsidRPr="00E361CC" w:rsidRDefault="00E361CC" w:rsidP="00E361CC">
      <w:pPr>
        <w:numPr>
          <w:ilvl w:val="1"/>
          <w:numId w:val="1"/>
        </w:numPr>
      </w:pPr>
      <w:r w:rsidRPr="00E361CC">
        <w:rPr>
          <w:b/>
          <w:bCs/>
        </w:rPr>
        <w:t>Requirement:</w:t>
      </w:r>
      <w:r w:rsidRPr="00E361CC">
        <w:t xml:space="preserve"> The system shall detect base64-encoded digital certificate strings (e.g., vendor certificates beginning with 'M' followed by numerical strings situated between header/footer tags) at the endpoint level, regardless of whether leading spaces or newlines precede the string.</w:t>
      </w:r>
    </w:p>
    <w:p w14:paraId="791B156A" w14:textId="77777777" w:rsidR="00E361CC" w:rsidRPr="00E361CC" w:rsidRDefault="00E361CC" w:rsidP="00E361CC">
      <w:pPr>
        <w:numPr>
          <w:ilvl w:val="1"/>
          <w:numId w:val="1"/>
        </w:numPr>
      </w:pPr>
      <w:r w:rsidRPr="00E361CC">
        <w:rPr>
          <w:b/>
          <w:bCs/>
        </w:rPr>
        <w:t>System Rationale &amp; Constraint:</w:t>
      </w:r>
      <w:r w:rsidRPr="00E361CC">
        <w:t xml:space="preserve"> Endpoint agents fail to trigger smart identifier/regex evaluations when certificate tokens appear at the very start of a file due to normalization engine handling. Correcting or working around this pattern detection failure prevents users from copying and exfiltrating sensitive digital master keys to external parties.</w:t>
      </w:r>
    </w:p>
    <w:p w14:paraId="1F117447" w14:textId="77777777" w:rsidR="00E361CC" w:rsidRPr="00E361CC" w:rsidRDefault="00E361CC" w:rsidP="00E361CC">
      <w:pPr>
        <w:numPr>
          <w:ilvl w:val="0"/>
          <w:numId w:val="1"/>
        </w:numPr>
      </w:pPr>
      <w:r w:rsidRPr="00E361CC">
        <w:rPr>
          <w:b/>
          <w:bCs/>
        </w:rPr>
        <w:t>FR-1.2: Data Class Exclusion &amp; Policy Priority Handling</w:t>
      </w:r>
      <w:r w:rsidRPr="00E361CC">
        <w:t xml:space="preserve"> </w:t>
      </w:r>
    </w:p>
    <w:p w14:paraId="7BA68980" w14:textId="77777777" w:rsidR="00E361CC" w:rsidRPr="00E361CC" w:rsidRDefault="00E361CC" w:rsidP="00E361CC">
      <w:pPr>
        <w:numPr>
          <w:ilvl w:val="1"/>
          <w:numId w:val="1"/>
        </w:numPr>
      </w:pPr>
      <w:r w:rsidRPr="00E361CC">
        <w:rPr>
          <w:b/>
          <w:bCs/>
        </w:rPr>
        <w:t>Requirement:</w:t>
      </w:r>
      <w:r w:rsidRPr="00E361CC">
        <w:t xml:space="preserve"> The email DLP module shall support </w:t>
      </w:r>
      <w:proofErr w:type="gramStart"/>
      <w:r w:rsidRPr="00E361CC">
        <w:t>higher-priority</w:t>
      </w:r>
      <w:proofErr w:type="gramEnd"/>
      <w:r w:rsidRPr="00E361CC">
        <w:t xml:space="preserve"> "continue" rules that evaluate and bypass specific internal data classes (e.g., Identity Management / IDM employee numbers) prior to enforcing general Personally Identifiable Information (PII) blocking rules.</w:t>
      </w:r>
    </w:p>
    <w:p w14:paraId="3EF5FF2B" w14:textId="77777777" w:rsidR="00E361CC" w:rsidRPr="00E361CC" w:rsidRDefault="00E361CC" w:rsidP="00E361CC">
      <w:pPr>
        <w:numPr>
          <w:ilvl w:val="1"/>
          <w:numId w:val="1"/>
        </w:numPr>
      </w:pPr>
      <w:r w:rsidRPr="00E361CC">
        <w:rPr>
          <w:b/>
          <w:bCs/>
        </w:rPr>
        <w:t>System Rationale &amp; Constraint:</w:t>
      </w:r>
      <w:r w:rsidRPr="00E361CC">
        <w:t xml:space="preserve"> Internal 9-digit employee IDs frequently trigger broad 9-digit Social Security Number (SSN/PII) blocking rules. In the absence of a native "NOT data class" </w:t>
      </w:r>
      <w:proofErr w:type="spellStart"/>
      <w:r w:rsidRPr="00E361CC">
        <w:t>boolean</w:t>
      </w:r>
      <w:proofErr w:type="spellEnd"/>
      <w:r w:rsidRPr="00E361CC">
        <w:t xml:space="preserve"> operator, explicit higher-priority bypass rules are required to allow legitimate internal emails to pass without triggering false-positive blocks.</w:t>
      </w:r>
    </w:p>
    <w:p w14:paraId="7E4ADE46" w14:textId="77777777" w:rsidR="00E361CC" w:rsidRPr="00E361CC" w:rsidRDefault="00E361CC" w:rsidP="00E361CC">
      <w:pPr>
        <w:numPr>
          <w:ilvl w:val="0"/>
          <w:numId w:val="1"/>
        </w:numPr>
      </w:pPr>
      <w:r w:rsidRPr="00E361CC">
        <w:rPr>
          <w:b/>
          <w:bCs/>
        </w:rPr>
        <w:t>FR-1.3: Container Unpacking &amp; Selective Content Scanning</w:t>
      </w:r>
      <w:r w:rsidRPr="00E361CC">
        <w:t xml:space="preserve"> </w:t>
      </w:r>
    </w:p>
    <w:p w14:paraId="193E127A" w14:textId="77777777" w:rsidR="00E361CC" w:rsidRPr="00E361CC" w:rsidRDefault="00E361CC" w:rsidP="00E361CC">
      <w:pPr>
        <w:numPr>
          <w:ilvl w:val="1"/>
          <w:numId w:val="1"/>
        </w:numPr>
      </w:pPr>
      <w:r w:rsidRPr="00E361CC">
        <w:rPr>
          <w:b/>
          <w:bCs/>
        </w:rPr>
        <w:t>Requirement:</w:t>
      </w:r>
      <w:r w:rsidRPr="00E361CC">
        <w:t xml:space="preserve"> The email protection engine shall break down container files (.xlsx, .zip) into constituent subfiles to evaluate embedded components (such as XML or text) against malware and sandboxing protocols, while prohibiting blanket "true file type" blocking on standard container formats.</w:t>
      </w:r>
    </w:p>
    <w:p w14:paraId="7D578D49" w14:textId="77777777" w:rsidR="00E361CC" w:rsidRPr="00E361CC" w:rsidRDefault="00E361CC" w:rsidP="00E361CC">
      <w:pPr>
        <w:numPr>
          <w:ilvl w:val="1"/>
          <w:numId w:val="1"/>
        </w:numPr>
      </w:pPr>
      <w:r w:rsidRPr="00E361CC">
        <w:rPr>
          <w:b/>
          <w:bCs/>
        </w:rPr>
        <w:t>System Rationale &amp; Constraint:</w:t>
      </w:r>
      <w:r w:rsidRPr="00E361CC">
        <w:t xml:space="preserve"> Modern email clients natively attach structural .html or .txt files (body.html), and office documents consist of zipped XML structures. Blocking inbound emails based strictly on true file types like XML or HTML severely disrupts standard business mail flow.</w:t>
      </w:r>
    </w:p>
    <w:p w14:paraId="22D427DA" w14:textId="77777777" w:rsidR="00E361CC" w:rsidRPr="00E361CC" w:rsidRDefault="00E361CC" w:rsidP="00E361CC">
      <w:r w:rsidRPr="00E361CC">
        <w:pict w14:anchorId="359C62CD">
          <v:rect id="_x0000_i1049" style="width:0;height:1.5pt" o:hralign="center" o:hrstd="t" o:hr="t" fillcolor="#a0a0a0" stroked="f"/>
        </w:pict>
      </w:r>
    </w:p>
    <w:p w14:paraId="40099343" w14:textId="77777777" w:rsidR="00E361CC" w:rsidRPr="00E361CC" w:rsidRDefault="00E361CC" w:rsidP="00E361CC">
      <w:pPr>
        <w:rPr>
          <w:b/>
          <w:bCs/>
        </w:rPr>
      </w:pPr>
      <w:r w:rsidRPr="00E361CC">
        <w:rPr>
          <w:b/>
          <w:bCs/>
        </w:rPr>
        <w:t>FR-2.0: System Performance &amp; Resource Controls</w:t>
      </w:r>
    </w:p>
    <w:p w14:paraId="4A634C9A" w14:textId="77777777" w:rsidR="00E361CC" w:rsidRPr="00E361CC" w:rsidRDefault="00E361CC" w:rsidP="00E361CC">
      <w:pPr>
        <w:numPr>
          <w:ilvl w:val="0"/>
          <w:numId w:val="2"/>
        </w:numPr>
      </w:pPr>
      <w:r w:rsidRPr="00E361CC">
        <w:rPr>
          <w:b/>
          <w:bCs/>
        </w:rPr>
        <w:t>FR-2.1: Optical Character Recognition (OCR) Scanning Limits</w:t>
      </w:r>
      <w:r w:rsidRPr="00E361CC">
        <w:t xml:space="preserve"> </w:t>
      </w:r>
    </w:p>
    <w:p w14:paraId="5E7E92ED" w14:textId="77777777" w:rsidR="00E361CC" w:rsidRPr="00E361CC" w:rsidRDefault="00E361CC" w:rsidP="00E361CC">
      <w:pPr>
        <w:numPr>
          <w:ilvl w:val="1"/>
          <w:numId w:val="2"/>
        </w:numPr>
      </w:pPr>
      <w:r w:rsidRPr="00E361CC">
        <w:rPr>
          <w:b/>
          <w:bCs/>
        </w:rPr>
        <w:lastRenderedPageBreak/>
        <w:t>Requirement:</w:t>
      </w:r>
      <w:r w:rsidRPr="00E361CC">
        <w:t xml:space="preserve"> The email protection module shall enforce a hardcoded 30KB maximum file size threshold for Optical Character Recognition (OCR) text extraction on embedded images.</w:t>
      </w:r>
    </w:p>
    <w:p w14:paraId="38D765EA" w14:textId="77777777" w:rsidR="00E361CC" w:rsidRPr="00E361CC" w:rsidRDefault="00E361CC" w:rsidP="00E361CC">
      <w:pPr>
        <w:numPr>
          <w:ilvl w:val="1"/>
          <w:numId w:val="2"/>
        </w:numPr>
      </w:pPr>
      <w:r w:rsidRPr="00E361CC">
        <w:rPr>
          <w:b/>
          <w:bCs/>
        </w:rPr>
        <w:t>System Rationale &amp; Constraint:</w:t>
      </w:r>
      <w:r w:rsidRPr="00E361CC">
        <w:t xml:space="preserve"> Performing text extraction on image files prior to scan-cloud submission incurs heavy backend processing overhead. Maintaining the 30KB threshold prevents severe system latency, email delivery delays, and processing cost spikes until upgraded engines are deployed.</w:t>
      </w:r>
    </w:p>
    <w:p w14:paraId="3A6D975A" w14:textId="77777777" w:rsidR="00E361CC" w:rsidRPr="00E361CC" w:rsidRDefault="00E361CC" w:rsidP="00E361CC">
      <w:pPr>
        <w:numPr>
          <w:ilvl w:val="0"/>
          <w:numId w:val="2"/>
        </w:numPr>
      </w:pPr>
      <w:r w:rsidRPr="00E361CC">
        <w:rPr>
          <w:b/>
          <w:bCs/>
        </w:rPr>
        <w:t>FR-2.2: Active Memory Dictionary Performance Guardrails</w:t>
      </w:r>
      <w:r w:rsidRPr="00E361CC">
        <w:t xml:space="preserve"> </w:t>
      </w:r>
    </w:p>
    <w:p w14:paraId="19542D44" w14:textId="77777777" w:rsidR="00E361CC" w:rsidRPr="00E361CC" w:rsidRDefault="00E361CC" w:rsidP="00E361CC">
      <w:pPr>
        <w:numPr>
          <w:ilvl w:val="1"/>
          <w:numId w:val="2"/>
        </w:numPr>
      </w:pPr>
      <w:r w:rsidRPr="00E361CC">
        <w:rPr>
          <w:b/>
          <w:bCs/>
        </w:rPr>
        <w:t>Requirement:</w:t>
      </w:r>
      <w:r w:rsidRPr="00E361CC">
        <w:t xml:space="preserve"> Active memory dictionaries shall restrict content to plain text strings (limiting complex regular expressions to less than 80 total rules and 150 characters per entry), offloading complex regex strings to dedicated DLP or firewall routing rules.</w:t>
      </w:r>
    </w:p>
    <w:p w14:paraId="4D594DD0" w14:textId="77777777" w:rsidR="00E361CC" w:rsidRPr="00E361CC" w:rsidRDefault="00E361CC" w:rsidP="00E361CC">
      <w:pPr>
        <w:numPr>
          <w:ilvl w:val="1"/>
          <w:numId w:val="2"/>
        </w:numPr>
      </w:pPr>
      <w:r w:rsidRPr="00E361CC">
        <w:rPr>
          <w:b/>
          <w:bCs/>
        </w:rPr>
        <w:t>System Rationale &amp; Constraint:</w:t>
      </w:r>
      <w:r w:rsidRPr="00E361CC">
        <w:t xml:space="preserve"> Dictionaries are loaded directly into active memory across all inbound mail streams; executing complex or lengthy regexes within active memory causes severe processing overhead and system crashes.</w:t>
      </w:r>
    </w:p>
    <w:p w14:paraId="760B02AB" w14:textId="77777777" w:rsidR="00E361CC" w:rsidRPr="00E361CC" w:rsidRDefault="00E361CC" w:rsidP="00E361CC">
      <w:pPr>
        <w:numPr>
          <w:ilvl w:val="0"/>
          <w:numId w:val="2"/>
        </w:numPr>
      </w:pPr>
      <w:r w:rsidRPr="00E361CC">
        <w:rPr>
          <w:b/>
          <w:bCs/>
        </w:rPr>
        <w:t>FR-2.3: Deactivation of Redundant Inbound Filtering Modules</w:t>
      </w:r>
      <w:r w:rsidRPr="00E361CC">
        <w:t xml:space="preserve"> </w:t>
      </w:r>
    </w:p>
    <w:p w14:paraId="1F725FB8" w14:textId="77777777" w:rsidR="00E361CC" w:rsidRPr="00E361CC" w:rsidRDefault="00E361CC" w:rsidP="00E361CC">
      <w:pPr>
        <w:numPr>
          <w:ilvl w:val="1"/>
          <w:numId w:val="2"/>
        </w:numPr>
      </w:pPr>
      <w:r w:rsidRPr="00E361CC">
        <w:rPr>
          <w:b/>
          <w:bCs/>
        </w:rPr>
        <w:t>Requirement:</w:t>
      </w:r>
      <w:r w:rsidRPr="00E361CC">
        <w:t xml:space="preserve"> The platform administration console shall support the complete deactivation of legacy spam and antivirus (AV) scanning modules.</w:t>
      </w:r>
    </w:p>
    <w:p w14:paraId="01CEEA97" w14:textId="77777777" w:rsidR="00E361CC" w:rsidRPr="00E361CC" w:rsidRDefault="00E361CC" w:rsidP="00E361CC">
      <w:pPr>
        <w:numPr>
          <w:ilvl w:val="1"/>
          <w:numId w:val="2"/>
        </w:numPr>
      </w:pPr>
      <w:r w:rsidRPr="00E361CC">
        <w:rPr>
          <w:b/>
          <w:bCs/>
        </w:rPr>
        <w:t>System Rationale &amp; Constraint:</w:t>
      </w:r>
      <w:r w:rsidRPr="00E361CC">
        <w:t xml:space="preserve"> Eliminating redundant scanning layers reduces unnecessary processing weight and simplifies administrative overhead within the specific platform architecture.</w:t>
      </w:r>
    </w:p>
    <w:p w14:paraId="7A0A6709" w14:textId="77777777" w:rsidR="00E361CC" w:rsidRPr="00E361CC" w:rsidRDefault="00E361CC" w:rsidP="00E361CC">
      <w:r w:rsidRPr="00E361CC">
        <w:pict w14:anchorId="4B872917">
          <v:rect id="_x0000_i1050" style="width:0;height:1.5pt" o:hralign="center" o:hrstd="t" o:hr="t" fillcolor="#a0a0a0" stroked="f"/>
        </w:pict>
      </w:r>
    </w:p>
    <w:p w14:paraId="7C1FCFB6" w14:textId="77777777" w:rsidR="00E361CC" w:rsidRPr="00E361CC" w:rsidRDefault="00E361CC" w:rsidP="00E361CC">
      <w:pPr>
        <w:rPr>
          <w:b/>
          <w:bCs/>
        </w:rPr>
      </w:pPr>
      <w:r w:rsidRPr="00E361CC">
        <w:rPr>
          <w:b/>
          <w:bCs/>
        </w:rPr>
        <w:t>FR-3.0: System Administration &amp; Access Controls</w:t>
      </w:r>
    </w:p>
    <w:p w14:paraId="6B706B3B" w14:textId="77777777" w:rsidR="00E361CC" w:rsidRPr="00E361CC" w:rsidRDefault="00E361CC" w:rsidP="00E361CC">
      <w:pPr>
        <w:numPr>
          <w:ilvl w:val="0"/>
          <w:numId w:val="3"/>
        </w:numPr>
      </w:pPr>
      <w:r w:rsidRPr="00E361CC">
        <w:rPr>
          <w:b/>
          <w:bCs/>
        </w:rPr>
        <w:t>FR-3.1: Multi-Factor Authentication (MFA) for Administrative Accounts</w:t>
      </w:r>
      <w:r w:rsidRPr="00E361CC">
        <w:t xml:space="preserve"> </w:t>
      </w:r>
    </w:p>
    <w:p w14:paraId="52CEA8D9" w14:textId="77777777" w:rsidR="00E361CC" w:rsidRPr="00E361CC" w:rsidRDefault="00E361CC" w:rsidP="00E361CC">
      <w:pPr>
        <w:numPr>
          <w:ilvl w:val="1"/>
          <w:numId w:val="3"/>
        </w:numPr>
      </w:pPr>
      <w:r w:rsidRPr="00E361CC">
        <w:rPr>
          <w:b/>
          <w:bCs/>
        </w:rPr>
        <w:t>Requirement:</w:t>
      </w:r>
      <w:r w:rsidRPr="00E361CC">
        <w:t xml:space="preserve"> The administration interface shall enforce mandatory Multi-Factor Authentication (MFA) across all pod administrator accounts, while incorporating operational controls for shared emergency "break-glass" accounts.</w:t>
      </w:r>
    </w:p>
    <w:p w14:paraId="5D3074C2" w14:textId="77777777" w:rsidR="00E361CC" w:rsidRPr="00E361CC" w:rsidRDefault="00E361CC" w:rsidP="00E361CC">
      <w:pPr>
        <w:numPr>
          <w:ilvl w:val="1"/>
          <w:numId w:val="3"/>
        </w:numPr>
      </w:pPr>
      <w:r w:rsidRPr="00E361CC">
        <w:rPr>
          <w:b/>
          <w:bCs/>
        </w:rPr>
        <w:t>System Rationale &amp; Constraint:</w:t>
      </w:r>
      <w:r w:rsidRPr="00E361CC">
        <w:t xml:space="preserve"> Mandatory MFA satisfies security compliance standards to prevent account takeover. To prevent operational lockouts on shared emergency accounts during system outages, administration workflows must accommodate hardware tokens, split credentials, or strict IP whitelisting.</w:t>
      </w:r>
    </w:p>
    <w:p w14:paraId="26FC0DD8" w14:textId="77777777" w:rsidR="00E361CC" w:rsidRPr="00E361CC" w:rsidRDefault="00E361CC" w:rsidP="00E361CC">
      <w:pPr>
        <w:numPr>
          <w:ilvl w:val="0"/>
          <w:numId w:val="3"/>
        </w:numPr>
      </w:pPr>
      <w:r w:rsidRPr="00E361CC">
        <w:rPr>
          <w:b/>
          <w:bCs/>
        </w:rPr>
        <w:t>FR-3.2: Production Rollout Governance &amp; License Cap Control</w:t>
      </w:r>
      <w:r w:rsidRPr="00E361CC">
        <w:t xml:space="preserve"> </w:t>
      </w:r>
    </w:p>
    <w:p w14:paraId="2EABE95E" w14:textId="77777777" w:rsidR="00E361CC" w:rsidRPr="00E361CC" w:rsidRDefault="00E361CC" w:rsidP="00E361CC">
      <w:pPr>
        <w:numPr>
          <w:ilvl w:val="1"/>
          <w:numId w:val="3"/>
        </w:numPr>
      </w:pPr>
      <w:r w:rsidRPr="00E361CC">
        <w:rPr>
          <w:b/>
          <w:bCs/>
        </w:rPr>
        <w:lastRenderedPageBreak/>
        <w:t>Requirement:</w:t>
      </w:r>
      <w:r w:rsidRPr="00E361CC">
        <w:t xml:space="preserve"> The administrative platform shall enforce strict license allocation controls during policy transitions, capping onboarding cohorts (e.g., Wave 2 restricted to 95 US licenses and 14 champions).</w:t>
      </w:r>
    </w:p>
    <w:p w14:paraId="14248315" w14:textId="77777777" w:rsidR="00E361CC" w:rsidRPr="00E361CC" w:rsidRDefault="00E361CC" w:rsidP="00E361CC">
      <w:pPr>
        <w:numPr>
          <w:ilvl w:val="1"/>
          <w:numId w:val="3"/>
        </w:numPr>
      </w:pPr>
      <w:r w:rsidRPr="00E361CC">
        <w:rPr>
          <w:b/>
          <w:bCs/>
        </w:rPr>
        <w:t>System Rationale &amp; Constraint:</w:t>
      </w:r>
      <w:r w:rsidRPr="00E361CC">
        <w:t xml:space="preserve"> Enforcing hard license limits prevents support channels from being overwhelmed, protects platform resources, and reserves pilot capacity strictly for designated participants.</w:t>
      </w:r>
    </w:p>
    <w:p w14:paraId="57C57E7D" w14:textId="77777777" w:rsidR="00E361CC" w:rsidRPr="00E361CC" w:rsidRDefault="00E361CC" w:rsidP="00E361CC">
      <w:r w:rsidRPr="00E361CC">
        <w:pict w14:anchorId="1B40304C">
          <v:rect id="_x0000_i1051" style="width:0;height:1.5pt" o:hralign="center" o:hrstd="t" o:hr="t" fillcolor="#a0a0a0" stroked="f"/>
        </w:pict>
      </w:r>
    </w:p>
    <w:p w14:paraId="4E9274A6" w14:textId="77777777" w:rsidR="00E361CC" w:rsidRPr="00E361CC" w:rsidRDefault="00E361CC" w:rsidP="00E361CC">
      <w:pPr>
        <w:rPr>
          <w:b/>
          <w:bCs/>
        </w:rPr>
      </w:pPr>
      <w:r w:rsidRPr="00E361CC">
        <w:rPr>
          <w:b/>
          <w:bCs/>
        </w:rPr>
        <w:t>FR-4.0: Logging, Audit &amp; SIEM Integration</w:t>
      </w:r>
    </w:p>
    <w:p w14:paraId="6391EC14" w14:textId="77777777" w:rsidR="00E361CC" w:rsidRPr="00E361CC" w:rsidRDefault="00E361CC" w:rsidP="00E361CC">
      <w:pPr>
        <w:numPr>
          <w:ilvl w:val="0"/>
          <w:numId w:val="4"/>
        </w:numPr>
      </w:pPr>
      <w:r w:rsidRPr="00E361CC">
        <w:rPr>
          <w:b/>
          <w:bCs/>
        </w:rPr>
        <w:t>FR-4.1: Cloud Admin Audit Log Export to SIEM</w:t>
      </w:r>
      <w:r w:rsidRPr="00E361CC">
        <w:t xml:space="preserve"> </w:t>
      </w:r>
    </w:p>
    <w:p w14:paraId="701AAB0E" w14:textId="77777777" w:rsidR="00E361CC" w:rsidRPr="00E361CC" w:rsidRDefault="00E361CC" w:rsidP="00E361CC">
      <w:pPr>
        <w:numPr>
          <w:ilvl w:val="1"/>
          <w:numId w:val="4"/>
        </w:numPr>
      </w:pPr>
      <w:r w:rsidRPr="00E361CC">
        <w:rPr>
          <w:b/>
          <w:bCs/>
        </w:rPr>
        <w:t>Requirement:</w:t>
      </w:r>
      <w:r w:rsidRPr="00E361CC">
        <w:t xml:space="preserve"> The platform shall support deploying and staging administrative audit scripts on cloud servers to capture and stream administrative event logs to external SIEM environments.</w:t>
      </w:r>
    </w:p>
    <w:p w14:paraId="4A213896" w14:textId="77777777" w:rsidR="00E361CC" w:rsidRPr="00E361CC" w:rsidRDefault="00E361CC" w:rsidP="00E361CC">
      <w:pPr>
        <w:numPr>
          <w:ilvl w:val="1"/>
          <w:numId w:val="4"/>
        </w:numPr>
      </w:pPr>
      <w:r w:rsidRPr="00E361CC">
        <w:rPr>
          <w:b/>
          <w:bCs/>
        </w:rPr>
        <w:t>System Rationale &amp; Constraint:</w:t>
      </w:r>
      <w:r w:rsidRPr="00E361CC">
        <w:t xml:space="preserve"> Automated log streaming to a central SIEM provides required security visibility, tracking, and compliance auditing across all administrative configuration changes.</w:t>
      </w:r>
    </w:p>
    <w:p w14:paraId="7784C01C" w14:textId="77777777" w:rsidR="00E361CC" w:rsidRPr="00E361CC" w:rsidRDefault="00E361CC" w:rsidP="00E361CC">
      <w:pPr>
        <w:numPr>
          <w:ilvl w:val="0"/>
          <w:numId w:val="4"/>
        </w:numPr>
      </w:pPr>
      <w:r w:rsidRPr="00E361CC">
        <w:rPr>
          <w:b/>
          <w:bCs/>
        </w:rPr>
        <w:t>FR-4.2: Data Security Platform (DSP) Sender Attribution Correction</w:t>
      </w:r>
      <w:r w:rsidRPr="00E361CC">
        <w:t xml:space="preserve"> </w:t>
      </w:r>
    </w:p>
    <w:p w14:paraId="3ACAE869" w14:textId="77777777" w:rsidR="00E361CC" w:rsidRPr="00E361CC" w:rsidRDefault="00E361CC" w:rsidP="00E361CC">
      <w:pPr>
        <w:numPr>
          <w:ilvl w:val="1"/>
          <w:numId w:val="4"/>
        </w:numPr>
      </w:pPr>
      <w:r w:rsidRPr="00E361CC">
        <w:rPr>
          <w:b/>
          <w:bCs/>
        </w:rPr>
        <w:t>Requirement:</w:t>
      </w:r>
      <w:r w:rsidRPr="00E361CC">
        <w:t xml:space="preserve"> Data Security Platform (DSP) event logging engines shall correctly attribute risky user actions in security alerts and bounce-back logs to the actual originating email sender rather than system postmaster addresses.</w:t>
      </w:r>
    </w:p>
    <w:p w14:paraId="1542CFE6" w14:textId="77777777" w:rsidR="00E361CC" w:rsidRPr="00E361CC" w:rsidRDefault="00E361CC" w:rsidP="00E361CC">
      <w:pPr>
        <w:numPr>
          <w:ilvl w:val="1"/>
          <w:numId w:val="4"/>
        </w:numPr>
      </w:pPr>
      <w:r w:rsidRPr="00E361CC">
        <w:rPr>
          <w:b/>
          <w:bCs/>
        </w:rPr>
        <w:t>System Rationale &amp; Constraint:</w:t>
      </w:r>
      <w:r w:rsidRPr="00E361CC">
        <w:t xml:space="preserve"> Misidentifying actual email senders as "postmaster" hinders security analysis and prevents security operations teams from auditing risky user behaviors.</w:t>
      </w:r>
    </w:p>
    <w:p w14:paraId="3F2E7688" w14:textId="77777777" w:rsidR="00E361CC" w:rsidRPr="00E361CC" w:rsidRDefault="00E361CC" w:rsidP="00E361CC">
      <w:r w:rsidRPr="00E361CC">
        <w:pict w14:anchorId="08899E64">
          <v:rect id="_x0000_i1052" style="width:0;height:1.5pt" o:hralign="center" o:hrstd="t" o:hr="t" fillcolor="#a0a0a0" stroked="f"/>
        </w:pict>
      </w:r>
    </w:p>
    <w:p w14:paraId="74862049" w14:textId="77777777" w:rsidR="00E361CC" w:rsidRPr="00E361CC" w:rsidRDefault="00E361CC" w:rsidP="00E361CC">
      <w:pPr>
        <w:rPr>
          <w:b/>
          <w:bCs/>
        </w:rPr>
      </w:pPr>
      <w:r w:rsidRPr="00E361CC">
        <w:rPr>
          <w:b/>
          <w:bCs/>
        </w:rPr>
        <w:t>FR-5.0: Environment Administration &amp; Synchronization</w:t>
      </w:r>
    </w:p>
    <w:p w14:paraId="58918B67" w14:textId="77777777" w:rsidR="00E361CC" w:rsidRPr="00E361CC" w:rsidRDefault="00E361CC" w:rsidP="00E361CC">
      <w:pPr>
        <w:numPr>
          <w:ilvl w:val="0"/>
          <w:numId w:val="5"/>
        </w:numPr>
      </w:pPr>
      <w:r w:rsidRPr="00E361CC">
        <w:rPr>
          <w:b/>
          <w:bCs/>
        </w:rPr>
        <w:t>FR-5.1: Multi-Pod 3D TLS Domain List Synchronization</w:t>
      </w:r>
      <w:r w:rsidRPr="00E361CC">
        <w:t xml:space="preserve"> </w:t>
      </w:r>
    </w:p>
    <w:p w14:paraId="629DC40F" w14:textId="77777777" w:rsidR="00E361CC" w:rsidRPr="00E361CC" w:rsidRDefault="00E361CC" w:rsidP="00E361CC">
      <w:pPr>
        <w:numPr>
          <w:ilvl w:val="1"/>
          <w:numId w:val="5"/>
        </w:numPr>
      </w:pPr>
      <w:r w:rsidRPr="00E361CC">
        <w:rPr>
          <w:b/>
          <w:bCs/>
        </w:rPr>
        <w:t>Requirement:</w:t>
      </w:r>
      <w:r w:rsidRPr="00E361CC">
        <w:t xml:space="preserve"> The system shall support manual export and import (upload/download) of trusted 3D TLS domain lists across work pods as an interim workflow until programmatic API endpoints are made available.</w:t>
      </w:r>
    </w:p>
    <w:p w14:paraId="597764E4" w14:textId="77777777" w:rsidR="00E361CC" w:rsidRPr="00E361CC" w:rsidRDefault="00E361CC" w:rsidP="00E361CC">
      <w:pPr>
        <w:numPr>
          <w:ilvl w:val="1"/>
          <w:numId w:val="5"/>
        </w:numPr>
      </w:pPr>
      <w:r w:rsidRPr="00E361CC">
        <w:rPr>
          <w:b/>
          <w:bCs/>
        </w:rPr>
        <w:t>System Rationale &amp; Constraint:</w:t>
      </w:r>
      <w:r w:rsidRPr="00E361CC">
        <w:t xml:space="preserve"> Automated API management for TLS domain lists is not supported in the current UI environment. Manual file transfers serve as an interim operational requirement to maintain identical trusted domain lists across server pods.</w:t>
      </w:r>
    </w:p>
    <w:p w14:paraId="546658D1" w14:textId="77777777" w:rsidR="00E361CC" w:rsidRPr="00E361CC" w:rsidRDefault="00E361CC" w:rsidP="00E361CC">
      <w:r w:rsidRPr="00E361CC">
        <w:rPr>
          <w:rFonts w:ascii="Segoe UI Emoji" w:hAnsi="Segoe UI Emoji" w:cs="Segoe UI Emoji"/>
        </w:rPr>
        <w:lastRenderedPageBreak/>
        <w:t>💡</w:t>
      </w:r>
      <w:r w:rsidRPr="00E361CC">
        <w:t xml:space="preserve"> Would you like me to generate a formal Requirements Traceability Matrix (RTM) or turn this specification into a downloadable PDF report?</w:t>
      </w:r>
    </w:p>
    <w:p w14:paraId="65D0ECBC" w14:textId="77777777" w:rsidR="00000000" w:rsidRDefault="00000000"/>
    <w:sectPr w:rsidR="00291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64A8"/>
    <w:multiLevelType w:val="multilevel"/>
    <w:tmpl w:val="B3124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23690"/>
    <w:multiLevelType w:val="multilevel"/>
    <w:tmpl w:val="FE9C4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87F05"/>
    <w:multiLevelType w:val="multilevel"/>
    <w:tmpl w:val="6EE0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E24676"/>
    <w:multiLevelType w:val="multilevel"/>
    <w:tmpl w:val="DA08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22A4E"/>
    <w:multiLevelType w:val="multilevel"/>
    <w:tmpl w:val="77C43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809311">
    <w:abstractNumId w:val="3"/>
  </w:num>
  <w:num w:numId="2" w16cid:durableId="135071888">
    <w:abstractNumId w:val="0"/>
  </w:num>
  <w:num w:numId="3" w16cid:durableId="1197505752">
    <w:abstractNumId w:val="1"/>
  </w:num>
  <w:num w:numId="4" w16cid:durableId="700252189">
    <w:abstractNumId w:val="2"/>
  </w:num>
  <w:num w:numId="5" w16cid:durableId="10425624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1CC"/>
    <w:rsid w:val="00294AB0"/>
    <w:rsid w:val="00476B34"/>
    <w:rsid w:val="00B24F92"/>
    <w:rsid w:val="00E361C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BE1ED"/>
  <w15:chartTrackingRefBased/>
  <w15:docId w15:val="{850016AE-A370-4575-AE78-D9FD5643E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1C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361C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361C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361C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361C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36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1C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361C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361C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361C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361C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36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1CC"/>
    <w:rPr>
      <w:rFonts w:eastAsiaTheme="majorEastAsia" w:cstheme="majorBidi"/>
      <w:color w:val="272727" w:themeColor="text1" w:themeTint="D8"/>
    </w:rPr>
  </w:style>
  <w:style w:type="paragraph" w:styleId="Title">
    <w:name w:val="Title"/>
    <w:basedOn w:val="Normal"/>
    <w:next w:val="Normal"/>
    <w:link w:val="TitleChar"/>
    <w:uiPriority w:val="10"/>
    <w:qFormat/>
    <w:rsid w:val="00E36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1C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1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61CC"/>
    <w:rPr>
      <w:i/>
      <w:iCs/>
      <w:color w:val="404040" w:themeColor="text1" w:themeTint="BF"/>
    </w:rPr>
  </w:style>
  <w:style w:type="paragraph" w:styleId="ListParagraph">
    <w:name w:val="List Paragraph"/>
    <w:basedOn w:val="Normal"/>
    <w:uiPriority w:val="34"/>
    <w:qFormat/>
    <w:rsid w:val="00E361CC"/>
    <w:pPr>
      <w:ind w:left="720"/>
      <w:contextualSpacing/>
    </w:pPr>
  </w:style>
  <w:style w:type="character" w:styleId="IntenseEmphasis">
    <w:name w:val="Intense Emphasis"/>
    <w:basedOn w:val="DefaultParagraphFont"/>
    <w:uiPriority w:val="21"/>
    <w:qFormat/>
    <w:rsid w:val="00E361CC"/>
    <w:rPr>
      <w:i/>
      <w:iCs/>
      <w:color w:val="365F91" w:themeColor="accent1" w:themeShade="BF"/>
    </w:rPr>
  </w:style>
  <w:style w:type="paragraph" w:styleId="IntenseQuote">
    <w:name w:val="Intense Quote"/>
    <w:basedOn w:val="Normal"/>
    <w:next w:val="Normal"/>
    <w:link w:val="IntenseQuoteChar"/>
    <w:uiPriority w:val="30"/>
    <w:qFormat/>
    <w:rsid w:val="00E361C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361CC"/>
    <w:rPr>
      <w:i/>
      <w:iCs/>
      <w:color w:val="365F91" w:themeColor="accent1" w:themeShade="BF"/>
    </w:rPr>
  </w:style>
  <w:style w:type="character" w:styleId="IntenseReference">
    <w:name w:val="Intense Reference"/>
    <w:basedOn w:val="DefaultParagraphFont"/>
    <w:uiPriority w:val="32"/>
    <w:qFormat/>
    <w:rsid w:val="00E361C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948</Words>
  <Characters>5405</Characters>
  <Application>Microsoft Office Word</Application>
  <DocSecurity>0</DocSecurity>
  <Lines>45</Lines>
  <Paragraphs>12</Paragraphs>
  <ScaleCrop>false</ScaleCrop>
  <Company>HP</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D'costa (510007086)</dc:creator>
  <cp:keywords/>
  <dc:description/>
  <cp:lastModifiedBy>Ryan D'costa (510007086)</cp:lastModifiedBy>
  <cp:revision>1</cp:revision>
  <dcterms:created xsi:type="dcterms:W3CDTF">2026-09-20T23:10:00Z</dcterms:created>
  <dcterms:modified xsi:type="dcterms:W3CDTF">2026-09-20T23:12:00Z</dcterms:modified>
</cp:coreProperties>
</file>