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LiveKit Red-Team — Condensed Solution Brief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X915fe386637ea206c5f5651f6436c922adc4b33"/>
    <w:p>
      <w:pPr>
        <w:pStyle w:val="Heading1"/>
      </w:pPr>
      <w:r>
        <w:t xml:space="preserve">LiveKit Agent Red-Team Hardening — Condensed Solution Brief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VT4S team and per-agent owning teams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What we are building, how we will roll it out, and which repositories adopt it in which order</w:t>
      </w:r>
      <w:r>
        <w:t xml:space="preserve"> </w:t>
      </w:r>
      <w:r>
        <w:rPr>
          <w:b/>
          <w:bCs/>
        </w:rPr>
        <w:t xml:space="preserve">Companion:</w:t>
      </w:r>
      <w:r>
        <w:t xml:space="preserve"> </w:t>
      </w:r>
      <w:r>
        <w:t xml:space="preserve">the full technical specification (</w:t>
      </w:r>
      <w:r>
        <w:rPr>
          <w:rStyle w:val="VerbatimChar"/>
        </w:rPr>
        <w:t xml:space="preserve">livekit-agent-red-team-hardening.docx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12" w:name="the-solution-in-one-paragraph"/>
    <w:p>
      <w:pPr>
        <w:pStyle w:val="Heading2"/>
      </w:pPr>
      <w:r>
        <w:t xml:space="preserve">1. The solution in one paragraph</w:t>
      </w:r>
    </w:p>
    <w:p>
      <w:pPr>
        <w:pStyle w:val="FirstParagraph"/>
      </w:pPr>
      <w:r>
        <w:t xml:space="preserve">A single Python package,</w:t>
      </w:r>
      <w:r>
        <w:t xml:space="preserve"> </w:t>
      </w:r>
      <w:r>
        <w:rPr>
          <w:rStyle w:val="VerbatimChar"/>
        </w:rPr>
        <w:t xml:space="preserve">vt-agent-redteam</w:t>
      </w:r>
      <w:r>
        <w:t xml:space="preserve">, runs adversarial scenarios against every LiveKit-hosted AI agent at Varsity Tutors and decides whether the agent’s behavior passes safety thresholds. Each agent declares its configuration in a</w:t>
      </w:r>
      <w:r>
        <w:t xml:space="preserve"> </w:t>
      </w:r>
      <w:r>
        <w:rPr>
          <w:rStyle w:val="VerbatimChar"/>
        </w:rPr>
        <w:t xml:space="preserve">.redteam/manifest.yaml</w:t>
      </w:r>
      <w:r>
        <w:t xml:space="preserve"> </w:t>
      </w:r>
      <w:r>
        <w:t xml:space="preserve">file in its own repository — there is no central registry. A GitHub Actions workflow invokes the framework on pull requests, deploys, and a weekly canary. Failures block the gate, alert the responsible team, and land in Postgres for dashboarding. The architecture is uniform; the per-agent variation lives in the manifest.</w:t>
      </w:r>
    </w:p>
    <w:p>
      <w:pPr>
        <w:pStyle w:val="CaptionedFigure"/>
      </w:pPr>
      <w:r>
        <w:drawing>
          <wp:inline>
            <wp:extent cx="5334000" cy="10745982"/>
            <wp:effectExtent b="0" l="0" r="0" t="0"/>
            <wp:docPr descr="Figure 1 — System overview" title="" id="10" name="Picture"/>
            <a:graphic>
              <a:graphicData uri="http://schemas.openxmlformats.org/drawingml/2006/picture">
                <pic:pic>
                  <pic:nvPicPr>
                    <pic:cNvPr descr="diagrams/01-system-overview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45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System overview</w:t>
      </w:r>
    </w:p>
    <w:p>
      <w:r>
        <w:pict>
          <v:rect style="width:0;height:1.5pt" o:hralign="center" o:hrstd="t" o:hr="t"/>
        </w:pict>
      </w:r>
    </w:p>
    <w:bookmarkEnd w:id="12"/>
    <w:bookmarkStart w:id="16" w:name="the-execution-pipeline"/>
    <w:p>
      <w:pPr>
        <w:pStyle w:val="Heading2"/>
      </w:pPr>
      <w:r>
        <w:t xml:space="preserve">2. The execution pipeline</w:t>
      </w:r>
    </w:p>
    <w:p>
      <w:pPr>
        <w:pStyle w:val="FirstParagraph"/>
      </w:pPr>
      <w:r>
        <w:t xml:space="preserve">For each scenario, the framework loads the manifest, renders the agent’s expected metadata, creates a LiveKit room, dispatches the agent worker, joins as a synthetic participant, publishes an adversarial prompt (via TTS audio, HTTP, or a direct-LLM bypass), captures the agent’s response, scores it with four parallel detectors, and persists the result with full provenance. The pipeline is identical across runner modes.</w:t>
      </w:r>
    </w:p>
    <w:p>
      <w:pPr>
        <w:pStyle w:val="CaptionedFigure"/>
      </w:pPr>
      <w:r>
        <w:drawing>
          <wp:inline>
            <wp:extent cx="5334000" cy="8137500"/>
            <wp:effectExtent b="0" l="0" r="0" t="0"/>
            <wp:docPr descr="Figure 2 — Per-scenario execution pipeline" title="" id="14" name="Picture"/>
            <a:graphic>
              <a:graphicData uri="http://schemas.openxmlformats.org/drawingml/2006/picture">
                <pic:pic>
                  <pic:nvPicPr>
                    <pic:cNvPr descr="diagrams/02-pipelin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3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Per-scenario execution pipeline</w:t>
      </w:r>
    </w:p>
    <w:p>
      <w:r>
        <w:pict>
          <v:rect style="width:0;height:1.5pt" o:hralign="center" o:hrstd="t" o:hr="t"/>
        </w:pict>
      </w:r>
    </w:p>
    <w:bookmarkEnd w:id="16"/>
    <w:bookmarkStart w:id="23" w:name="triggers-and-gating"/>
    <w:p>
      <w:pPr>
        <w:pStyle w:val="Heading2"/>
      </w:pPr>
      <w:r>
        <w:t xml:space="preserve">3. Triggers and gating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What runs</w:t>
            </w:r>
          </w:p>
        </w:tc>
        <w:tc>
          <w:tcPr/>
          <w:p>
            <w:pPr>
              <w:pStyle w:val="Compact"/>
            </w:pPr>
            <w:r>
              <w:t xml:space="preserve">Blocks?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 request</w:t>
            </w:r>
          </w:p>
        </w:tc>
        <w:tc>
          <w:tcPr/>
          <w:p>
            <w:pPr>
              <w:pStyle w:val="Compact"/>
            </w:pPr>
            <w:r>
              <w:t xml:space="preserve">On every PR</w:t>
            </w:r>
          </w:p>
        </w:tc>
        <w:tc>
          <w:tcPr/>
          <w:p>
            <w:pPr>
              <w:pStyle w:val="Compact"/>
            </w:pPr>
            <w:r>
              <w:t xml:space="preserve">12 smoke scenarios (~3 min)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gate</w:t>
            </w:r>
          </w:p>
        </w:tc>
        <w:tc>
          <w:tcPr/>
          <w:p>
            <w:pPr>
              <w:pStyle w:val="Compact"/>
            </w:pPr>
            <w:r>
              <w:t xml:space="preserve">On merge to main</w:t>
            </w:r>
          </w:p>
        </w:tc>
        <w:tc>
          <w:tcPr/>
          <w:p>
            <w:pPr>
              <w:pStyle w:val="Compact"/>
            </w:pPr>
            <w:r>
              <w:t xml:space="preserve">Smoke + high-risk (~5 min)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release</w:t>
            </w:r>
          </w:p>
        </w:tc>
        <w:tc>
          <w:tcPr/>
          <w:p>
            <w:pPr>
              <w:pStyle w:val="Compact"/>
            </w:pPr>
            <w:r>
              <w:t xml:space="preserve">On release tag</w:t>
            </w:r>
          </w:p>
        </w:tc>
        <w:tc>
          <w:tcPr/>
          <w:p>
            <w:pPr>
              <w:pStyle w:val="Compact"/>
            </w:pPr>
            <w:r>
              <w:t xml:space="preserve">High-risk against canary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canary</w:t>
            </w:r>
          </w:p>
        </w:tc>
        <w:tc>
          <w:tcPr/>
          <w:p>
            <w:pPr>
              <w:pStyle w:val="Compact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Full corpus (195 scenarios)</w:t>
            </w:r>
          </w:p>
        </w:tc>
        <w:tc>
          <w:tcPr/>
          <w:p>
            <w:pPr>
              <w:pStyle w:val="Compact"/>
            </w:pPr>
            <w:r>
              <w:t xml:space="preserve">Alert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Operator invocation</w:t>
            </w:r>
          </w:p>
        </w:tc>
        <w:tc>
          <w:tcPr/>
          <w:p>
            <w:pPr>
              <w:pStyle w:val="Compact"/>
            </w:pPr>
            <w:r>
              <w:t xml:space="preserve">Targeted category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CaptionedFigure"/>
      </w:pPr>
      <w:r>
        <w:drawing>
          <wp:inline>
            <wp:extent cx="5334000" cy="4628514"/>
            <wp:effectExtent b="0" l="0" r="0" t="0"/>
            <wp:docPr descr="Figure 3 — Trigger model" title="" id="18" name="Picture"/>
            <a:graphic>
              <a:graphicData uri="http://schemas.openxmlformats.org/drawingml/2006/picture">
                <pic:pic>
                  <pic:nvPicPr>
                    <pic:cNvPr descr="diagrams/03-trigger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8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Trigger model</w:t>
      </w:r>
    </w:p>
    <w:p>
      <w:pPr>
        <w:pStyle w:val="BodyText"/>
      </w:pPr>
      <w:r>
        <w:t xml:space="preserve">The blocking decision applies severity precedence: a single P0 failure (privacy leak, prompt leak, severe safety failure) blocks regardless of aggregate pass rate; below that, the manifest’s threshold applies. A stubbed run (any row marked</w:t>
      </w:r>
      <w:r>
        <w:t xml:space="preserve"> </w:t>
      </w:r>
      <w:r>
        <w:rPr>
          <w:rStyle w:val="VerbatimChar"/>
        </w:rPr>
        <w:t xml:space="preserve">is_stub_response = true</w:t>
      </w:r>
      <w:r>
        <w:t xml:space="preserve">) forces the gate to a NULL state with exit code 3 — the framework refuses to let a stub pretend to be a real gate.</w:t>
      </w:r>
    </w:p>
    <w:p>
      <w:pPr>
        <w:pStyle w:val="CaptionedFigure"/>
      </w:pPr>
      <w:r>
        <w:drawing>
          <wp:inline>
            <wp:extent cx="5334000" cy="6065859"/>
            <wp:effectExtent b="0" l="0" r="0" t="0"/>
            <wp:docPr descr="Figure 4 — Gate decision tree" title="" id="21" name="Picture"/>
            <a:graphic>
              <a:graphicData uri="http://schemas.openxmlformats.org/drawingml/2006/picture">
                <pic:pic>
                  <pic:nvPicPr>
                    <pic:cNvPr descr="diagrams/04-gate-decisi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65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Gate decision tree</w:t>
      </w:r>
    </w:p>
    <w:p>
      <w:r>
        <w:pict>
          <v:rect style="width:0;height:1.5pt" o:hralign="center" o:hrstd="t" o:hr="t"/>
        </w:pict>
      </w:r>
    </w:p>
    <w:bookmarkEnd w:id="23"/>
    <w:bookmarkStart w:id="24" w:name="results-capture-and-feedback"/>
    <w:p>
      <w:pPr>
        <w:pStyle w:val="Heading2"/>
      </w:pPr>
      <w:r>
        <w:t xml:space="preserve">4. Results capture and feedback</w:t>
      </w:r>
    </w:p>
    <w:p>
      <w:pPr>
        <w:pStyle w:val="FirstParagraph"/>
      </w:pPr>
      <w:r>
        <w:t xml:space="preserve">Every scenario execution produces one durable row in Postgres (</w:t>
      </w:r>
      <w:r>
        <w:rPr>
          <w:rStyle w:val="VerbatimChar"/>
        </w:rPr>
        <w:t xml:space="preserve">redteam.redteam_runs</w:t>
      </w:r>
      <w:r>
        <w:t xml:space="preserve">) with the adversarial prompt, the captured agent response, per-scorer verdict, severity, cost, and provenance fields (</w:t>
      </w:r>
      <w:r>
        <w:rPr>
          <w:rStyle w:val="VerbatimChar"/>
        </w:rPr>
        <w:t xml:space="preserve">is_stub_response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transcript_source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artifact_uri</w:t>
      </w:r>
      <w:r>
        <w:t xml:space="preserve"> </w:t>
      </w:r>
      <w:r>
        <w:t xml:space="preserve">pointing to the captured audio or transcript).</w:t>
      </w:r>
    </w:p>
    <w:p>
      <w:pPr>
        <w:pStyle w:val="BodyText"/>
      </w:pPr>
      <w:r>
        <w:t xml:space="preserve">Results are surfaced to the responsible team through four channels: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 Check</w:t>
      </w:r>
      <w:r>
        <w:t xml:space="preserve"> </w:t>
      </w:r>
      <w:r>
        <w:t xml:space="preserve">on the PR or deploy workflow with pass/fail + a link to the run.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Slack alert</w:t>
      </w:r>
      <w:r>
        <w:t xml:space="preserve"> </w:t>
      </w:r>
      <w:r>
        <w:t xml:space="preserve">on failure with the agent, severity, failing scenario identifiers, scorer reasons, and a dashboard link.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backed by three Postgres views: pass rate by bucket per agent per week, recent failures, and cost per run.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run_summary.json</w:t>
      </w:r>
      <w:r>
        <w:t xml:space="preserve"> </w:t>
      </w:r>
      <w:r>
        <w:t xml:space="preserve">artifact attached to every workflow run for CI consumption.</w:t>
      </w:r>
    </w:p>
    <w:p>
      <w:pPr>
        <w:pStyle w:val="FirstParagraph"/>
      </w:pPr>
      <w:r>
        <w:t xml:space="preserve">Categorization is uniform across the fleet. The 22 detailed scenario categories collapse into three general buckets (computed by Postgres, not by the application — they cannot drift):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content_safety</w:t>
      </w:r>
      <w:r>
        <w:t xml:space="preserve"> </w:t>
      </w:r>
      <w:r>
        <w:t xml:space="preserve">— violence, sexual, self-harm, hate, harassment.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policy_compliance</w:t>
      </w:r>
      <w:r>
        <w:t xml:space="preserve"> </w:t>
      </w:r>
      <w:r>
        <w:t xml:space="preserve">— politics, forbidden topics, dating and romance, diversity framing, off-topic academic.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privacy_integrity</w:t>
      </w:r>
      <w:r>
        <w:t xml:space="preserve"> </w:t>
      </w:r>
      <w:r>
        <w:t xml:space="preserve">— personal information, prompt leakage, cheating integrity, brand and stakeholder protection, impersonation, emotional manipulation, jailbreak, illicit content.</w:t>
      </w:r>
    </w:p>
    <w:p>
      <w:pPr>
        <w:pStyle w:val="FirstParagraph"/>
      </w:pPr>
      <w:r>
        <w:t xml:space="preserve">Every dashboard, every Slack alert, and every weekly trend report uses these three buckets. The agent owning team always sees</w:t>
      </w:r>
      <w:r>
        <w:t xml:space="preserve"> </w:t>
      </w:r>
      <w:r>
        <w:t xml:space="preserve">“your agent’s pass rate by content_safety, policy_compliance, privacy_integrity”</w:t>
      </w:r>
      <w:r>
        <w:t xml:space="preserve"> </w:t>
      </w:r>
      <w:r>
        <w:t xml:space="preserve">— not a different categorization per team.</w:t>
      </w:r>
    </w:p>
    <w:bookmarkEnd w:id="24"/>
    <w:bookmarkStart w:id="25" w:name="implementation-at-varsity-tutors"/>
    <w:p>
      <w:pPr>
        <w:pStyle w:val="Heading2"/>
      </w:pPr>
      <w:r>
        <w:t xml:space="preserve">5. Implementation at Varsity Tutors</w:t>
      </w:r>
    </w:p>
    <w:p>
      <w:pPr>
        <w:pStyle w:val="FirstParagraph"/>
      </w:pPr>
      <w:r>
        <w:t xml:space="preserve">Implementation is deliberately incremental and per-team. Each agent’s owning team commits the manifest in their own repository; VT4S maintains the framework. Adoption proceeds in five waves: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Pilot (4 weeks) — Conversation Club Language Tutor.</w:t>
      </w:r>
      <w:r>
        <w:t xml:space="preserve"> </w:t>
      </w:r>
      <w:r>
        <w:t xml:space="preserve">VT4S owns the manifest end-to-end. Goal: one non-stub deploy gate run that blocks a deliberately failing PR. Produces the canonical reference implementation.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First voluntary onboarding (2 weeks) — Tutor Interviewer.</w:t>
      </w:r>
      <w:r>
        <w:t xml:space="preserve"> </w:t>
      </w:r>
      <w:r>
        <w:t xml:space="preserve">Pair-engineered with the owning team. Validates the TypeScript path and the 30-minute onboarding target.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Pattern documentation (1 week).</w:t>
      </w:r>
      <w:r>
        <w:t xml:space="preserve"> </w:t>
      </w:r>
      <w:r>
        <w:t xml:space="preserve">VT4S publishes a one-page adoption guide, a</w:t>
      </w:r>
      <w:r>
        <w:t xml:space="preserve"> </w:t>
      </w:r>
      <w:r>
        <w:rPr>
          <w:rStyle w:val="VerbatimChar"/>
        </w:rPr>
        <w:t xml:space="preserve">vt-agent-redteam-cookbook</w:t>
      </w:r>
      <w:r>
        <w:t xml:space="preserve"> </w:t>
      </w:r>
      <w:r>
        <w:t xml:space="preserve">repo with three pre-filled manifest templates (K-12, support, commerce), and a brown-bag for the broader org.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Wave onboarding (6 weeks).</w:t>
      </w:r>
      <w:r>
        <w:t xml:space="preserve"> </w:t>
      </w:r>
      <w:r>
        <w:t xml:space="preserve">Maya Support, Course Platform Live, Checkout Quote Avatar, and the Checkout Video variants onboard in parallel with light VT4S support — under four hours of VT4S engagement per agent.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Steady state.</w:t>
      </w:r>
      <w:r>
        <w:t xml:space="preserve"> </w:t>
      </w:r>
      <w:r>
        <w:t xml:space="preserve">New agents adopt the framework as part of their initial deploy workflow, not as a retrofit. VT4S supports asynchronously via a dedicated Slack channel.</w:t>
      </w:r>
    </w:p>
    <w:p>
      <w:pPr>
        <w:pStyle w:val="FirstParagraph"/>
      </w:pPr>
      <w:r>
        <w:rPr>
          <w:b/>
          <w:bCs/>
        </w:rPr>
        <w:t xml:space="preserve">Adoption metrics surfaced to leadership.</w:t>
      </w:r>
      <w:r>
        <w:t xml:space="preserve"> </w:t>
      </w:r>
      <w:r>
        <w:t xml:space="preserve">Number of agents with active manifests; number with workflows running; median time from PR open to first gate result; active overrides per agent and per team; canary pass rate by bucket over time.</w:t>
      </w:r>
    </w:p>
    <w:p>
      <w:r>
        <w:pict>
          <v:rect style="width:0;height:1.5pt" o:hralign="center" o:hrstd="t" o:hr="t"/>
        </w:pict>
      </w:r>
    </w:p>
    <w:bookmarkEnd w:id="25"/>
    <w:bookmarkStart w:id="26" w:name="per-repository-applicability"/>
    <w:p>
      <w:pPr>
        <w:pStyle w:val="Heading2"/>
      </w:pPr>
      <w:r>
        <w:t xml:space="preserve">6. Per-repository applicability</w:t>
      </w:r>
    </w:p>
    <w:p>
      <w:pPr>
        <w:pStyle w:val="FirstParagraph"/>
      </w:pPr>
      <w:r>
        <w:t xml:space="preserve">The sixteen LiveKit-hosted agents discovered in the</w:t>
      </w:r>
      <w:r>
        <w:t xml:space="preserve"> </w:t>
      </w:r>
      <w:r>
        <w:rPr>
          <w:rStyle w:val="VerbatimChar"/>
        </w:rPr>
        <w:t xml:space="preserve">varsitytutors</w:t>
      </w:r>
      <w:r>
        <w:t xml:space="preserve"> </w:t>
      </w:r>
      <w:r>
        <w:t xml:space="preserve">organization, with the wave each enters: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1260"/>
        <w:gridCol w:w="2160"/>
        <w:gridCol w:w="288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Policy profile</w:t>
            </w:r>
          </w:p>
        </w:tc>
        <w:tc>
          <w:tcPr/>
          <w:p>
            <w:pPr>
              <w:pStyle w:val="Compact"/>
            </w:pPr>
            <w:r>
              <w:t xml:space="preserve">Wave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Tutor Interviewer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varsitytutors/livekit-agents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interview_assessment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Pilot+1 (P1)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Language Tutor (Conversation Club)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varsitytutors/conversation-club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k12_learner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 (P0)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Language Checkpoint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varsitytutors/conversation-club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k12_learner</w:t>
            </w:r>
          </w:p>
        </w:tc>
        <w:tc>
          <w:tcPr/>
          <w:p>
            <w:pPr>
              <w:pStyle w:val="Compact"/>
            </w:pPr>
            <w:r>
              <w:t xml:space="preserve">Wave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Maya Support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varsitytutors/student-onboarding-orchestration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support_navigation</w:t>
            </w:r>
          </w:p>
        </w:tc>
        <w:tc>
          <w:tcPr/>
          <w:p>
            <w:pPr>
              <w:pStyle w:val="Compact"/>
            </w:pPr>
            <w:r>
              <w:t xml:space="preserve">Wave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Course Platform Live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varsitytutors/b2b-course-platform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b2b_course</w:t>
            </w:r>
          </w:p>
        </w:tc>
        <w:tc>
          <w:tcPr/>
          <w:p>
            <w:pPr>
              <w:pStyle w:val="Compact"/>
            </w:pPr>
            <w:r>
              <w:t xml:space="preserve">Wave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Checkout Quote Avatar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varsitytutors/livekit-lemonslice-avatar-quotes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commerce_checkout</w:t>
            </w:r>
          </w:p>
        </w:tc>
        <w:tc>
          <w:tcPr/>
          <w:p>
            <w:pPr>
              <w:pStyle w:val="Compact"/>
            </w:pPr>
            <w:r>
              <w:t xml:space="preserve">Wave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Nerdy Avatar Tutor (Gemini POC)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varsitytutors/nerdy-avatar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k12_learner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Pilot+2 (P2)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Nerdy Avatar JPW fork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varsitytutors/nerdy-avatar-jpw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k12_learner</w:t>
            </w:r>
          </w:p>
        </w:tc>
        <w:tc>
          <w:tcPr/>
          <w:p>
            <w:pPr>
              <w:pStyle w:val="Compact"/>
            </w:pPr>
            <w:r>
              <w:t xml:space="preserve">Wave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Nerdy Tutor POC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varsitytutors/nerdy-tutor-poc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demo_poc</w:t>
            </w:r>
          </w:p>
        </w:tc>
        <w:tc>
          <w:tcPr/>
          <w:p>
            <w:pPr>
              <w:pStyle w:val="Compact"/>
            </w:pPr>
            <w:r>
              <w:t xml:space="preserve">Out of scope (stale)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Nerdy Tutor POC2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varsitytutors/nerdy-tutor-poc2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demo_poc</w:t>
            </w:r>
          </w:p>
        </w:tc>
        <w:tc>
          <w:tcPr/>
          <w:p>
            <w:pPr>
              <w:pStyle w:val="Compact"/>
            </w:pPr>
            <w:r>
              <w:t xml:space="preserve">When promoted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Checkout Video Agent (redesign)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varsitytutors/redesign-avatars-quotes-checkouts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commerce_checkout</w:t>
            </w:r>
          </w:p>
        </w:tc>
        <w:tc>
          <w:tcPr/>
          <w:p>
            <w:pPr>
              <w:pStyle w:val="Compact"/>
            </w:pPr>
            <w:r>
              <w:t xml:space="preserve">Wave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Checkout Video Agent (transfer)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varsitytutors/temporary-quote-avatar-transfer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demo_poc</w:t>
            </w:r>
          </w:p>
        </w:tc>
        <w:tc>
          <w:tcPr/>
          <w:p>
            <w:pPr>
              <w:pStyle w:val="Compact"/>
            </w:pPr>
            <w:r>
              <w:t xml:space="preserve">When promoted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Cloud Avatar Video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varsitytutors/video-agent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Superseded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AI Video Agent (Groq POC)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varsitytutors/ai-video-agent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Abandoned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LemonSlice Demo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varsitytutors/lemonslice-demo-agent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demo_poc</w:t>
            </w:r>
          </w:p>
        </w:tc>
        <w:tc>
          <w:tcPr/>
          <w:p>
            <w:pPr>
              <w:pStyle w:val="Compact"/>
            </w:pPr>
            <w:r>
              <w:t xml:space="preserve">When promoted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temp-practice-v2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varsitytutors/temp-practice-v2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Scratch</w:t>
            </w:r>
          </w:p>
        </w:tc>
      </w:tr>
    </w:tbl>
    <w:p>
      <w:pPr>
        <w:pStyle w:val="BodyText"/>
      </w:pPr>
      <w:r>
        <w:t xml:space="preserve">The MVP coverage (rows 1, 2, 7) is selected because it spans every dimension of stack diversity in the inventory: two runtimes (Python + TypeScript), three LLM backends (OpenAI Realtime, OpenAI gpt-5-mini, Gemini Live), agents with and without the LemonSlice avatar, and both typed and ad-hoc metadata schemas. Validating these three validates the framework’s reusability claim against the full fleet.</w:t>
      </w:r>
    </w:p>
    <w:p>
      <w:r>
        <w:pict>
          <v:rect style="width:0;height:1.5pt" o:hralign="center" o:hrstd="t" o:hr="t"/>
        </w:pict>
      </w:r>
    </w:p>
    <w:bookmarkEnd w:id="26"/>
    <w:bookmarkStart w:id="27" w:name="what-changes-in-each-repository"/>
    <w:p>
      <w:pPr>
        <w:pStyle w:val="Heading2"/>
      </w:pPr>
      <w:r>
        <w:t xml:space="preserve">7. What changes in each repository</w:t>
      </w:r>
    </w:p>
    <w:p>
      <w:pPr>
        <w:pStyle w:val="FirstParagraph"/>
      </w:pPr>
      <w:r>
        <w:t xml:space="preserve">For an agent to be covered, three small artifacts must exist in its own repository: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.redteam/manifest.yaml</w:t>
      </w:r>
      <w:r>
        <w:t xml:space="preserve"> </w:t>
      </w:r>
      <w:r>
        <w:t xml:space="preserve">— declares the agent’s LiveKit dispatch name, policy profile, metadata template, thresholds, and override authority. Roughly 100 lines of YAML, copied from a template.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.github/workflows/redteam.yml</w:t>
      </w:r>
      <w:r>
        <w:t xml:space="preserve"> </w:t>
      </w:r>
      <w:r>
        <w:t xml:space="preserve">— a ten-line workflow file invoking the framework’s reusable workflow with the manifest path and the trigger mode.</w:t>
      </w:r>
    </w:p>
    <w:p>
      <w:pPr>
        <w:pStyle w:val="Compact"/>
        <w:numPr>
          <w:ilvl w:val="0"/>
          <w:numId w:val="1004"/>
        </w:numPr>
      </w:pPr>
      <w:r>
        <w:t xml:space="preserve">Four CI secrets configured in repository settings:</w:t>
      </w:r>
      <w:r>
        <w:t xml:space="preserve"> </w:t>
      </w:r>
      <w:r>
        <w:rPr>
          <w:rStyle w:val="VerbatimChar"/>
        </w:rPr>
        <w:t xml:space="preserve">LIVEKIT_URL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LIVEKIT_API_KEY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LIVEKIT_API_SECRET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.</w:t>
      </w:r>
    </w:p>
    <w:p>
      <w:pPr>
        <w:pStyle w:val="FirstParagraph"/>
      </w:pPr>
      <w:r>
        <w:t xml:space="preserve">No source code changes to the agent. No central registry to update. The agent’s owning team retains control of the configuration and reviews the manifest pull request normally.</w:t>
      </w:r>
    </w:p>
    <w:p>
      <w:r>
        <w:pict>
          <v:rect style="width:0;height:1.5pt" o:hralign="center" o:hrstd="t" o:hr="t"/>
        </w:pict>
      </w:r>
    </w:p>
    <w:bookmarkEnd w:id="27"/>
    <w:bookmarkStart w:id="32" w:name="boss-role-review-current-standing"/>
    <w:p>
      <w:pPr>
        <w:pStyle w:val="Heading2"/>
      </w:pPr>
      <w:r>
        <w:t xml:space="preserve">8. Boss-role review — current standing</w:t>
      </w:r>
    </w:p>
    <w:p>
      <w:pPr>
        <w:pStyle w:val="FirstParagraph"/>
      </w:pPr>
      <w:r>
        <w:t xml:space="preserve">The document has been through two rounds of cold review by the role of senior engineering leadership. The most recent verdict is</w:t>
      </w:r>
      <w:r>
        <w:t xml:space="preserve"> </w:t>
      </w:r>
      <w:r>
        <w:rPr>
          <w:b/>
          <w:bCs/>
        </w:rPr>
        <w:t xml:space="preserve">greenlight-with-conditions</w:t>
      </w:r>
      <w:r>
        <w:t xml:space="preserve"> </w:t>
      </w:r>
      <w:r>
        <w:t xml:space="preserve">— the document is ready to forward once the small textual defects and operational reframing items below are addressed.</w:t>
      </w:r>
    </w:p>
    <w:bookmarkStart w:id="28" w:name="issues-fully-resolved-through-revision"/>
    <w:p>
      <w:pPr>
        <w:pStyle w:val="Heading3"/>
      </w:pPr>
      <w:r>
        <w:t xml:space="preserve">8.1 Issues fully resolved through revision</w:t>
      </w:r>
    </w:p>
    <w:p>
      <w:pPr>
        <w:pStyle w:val="Compact"/>
        <w:numPr>
          <w:ilvl w:val="0"/>
          <w:numId w:val="1005"/>
        </w:numPr>
      </w:pPr>
      <w:r>
        <w:t xml:space="preserve">Section 4.2 no longer forwards to a non-existent</w:t>
      </w:r>
      <w:r>
        <w:t xml:space="preserve"> </w:t>
      </w:r>
      <w:r>
        <w:t xml:space="preserve">“companion document”</w:t>
      </w:r>
      <w:r>
        <w:t xml:space="preserve"> </w:t>
      </w:r>
      <w:r>
        <w:t xml:space="preserve">— the full sixteen-agent catalog is inline.</w:t>
      </w:r>
    </w:p>
    <w:p>
      <w:pPr>
        <w:pStyle w:val="Compact"/>
        <w:numPr>
          <w:ilvl w:val="0"/>
          <w:numId w:val="1005"/>
        </w:numPr>
      </w:pPr>
      <w:r>
        <w:t xml:space="preserve">Section 15 leads with the audio-capture P0 blocker, names the race condition, defines four validation criteria for declaring the fix complete, and is honest about the</w:t>
      </w:r>
      <w:r>
        <w:t xml:space="preserve"> </w:t>
      </w:r>
      <w:r>
        <w:rPr>
          <w:rStyle w:val="VerbatimChar"/>
        </w:rPr>
        <w:t xml:space="preserve">messageCount=0</w:t>
      </w:r>
      <w:r>
        <w:t xml:space="preserve"> </w:t>
      </w:r>
      <w:r>
        <w:t xml:space="preserve">caveat in the prior TypeScript proof.</w:t>
      </w:r>
    </w:p>
    <w:p>
      <w:pPr>
        <w:pStyle w:val="Compact"/>
        <w:numPr>
          <w:ilvl w:val="0"/>
          <w:numId w:val="1005"/>
        </w:numPr>
      </w:pPr>
      <w:r>
        <w:t xml:space="preserve">Section 16.4 walks the cost model arithmetically — $0.003 per scenario, $54/year per agent at MVP cadence, $2,000/year aggregate with contingency, reconciled to the $20,000/year twenty-agent extrapolation.</w:t>
      </w:r>
    </w:p>
    <w:p>
      <w:pPr>
        <w:pStyle w:val="Compact"/>
        <w:numPr>
          <w:ilvl w:val="0"/>
          <w:numId w:val="1005"/>
        </w:numPr>
      </w:pPr>
      <w:r>
        <w:t xml:space="preserve">Sections 10.6 and 10.7 supply per-scorer false-positive budgets (XSTest, OR-Bench) and the over-refusal counter-gate.</w:t>
      </w:r>
    </w:p>
    <w:p>
      <w:pPr>
        <w:pStyle w:val="Compact"/>
        <w:numPr>
          <w:ilvl w:val="0"/>
          <w:numId w:val="1005"/>
        </w:numPr>
      </w:pPr>
      <w:r>
        <w:t xml:space="preserve">Section 14 frames reusability as design intent pending Phase 2–3 validation rather than asserting it as fact.</w:t>
      </w:r>
    </w:p>
    <w:bookmarkEnd w:id="28"/>
    <w:bookmarkStart w:id="29" w:name="X2ee340674134f965c081ea7b7cd02f53cb7ae96"/>
    <w:p>
      <w:pPr>
        <w:pStyle w:val="Heading3"/>
      </w:pPr>
      <w:r>
        <w:t xml:space="preserve">8.2 Conditions for greenlight (must fix before forwarding to head of engineering)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2 typo.</w:t>
      </w:r>
      <w:r>
        <w:t xml:space="preserve"> </w:t>
      </w:r>
      <w:r>
        <w:t xml:space="preserve">“all advisory-non-only scorers must pass”</w:t>
      </w:r>
      <w:r>
        <w:t xml:space="preserve"> </w:t>
      </w:r>
      <w:r>
        <w:t xml:space="preserve">must read</w:t>
      </w:r>
      <w:r>
        <w:t xml:space="preserve"> </w:t>
      </w:r>
      <w:r>
        <w:t xml:space="preserve">“all non-advisory scorers must pass”</w:t>
      </w:r>
      <w:r>
        <w:t xml:space="preserve">. This is the canonical pipeline diagram — the typo is the first thing a reader notices.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 version banner.</w:t>
      </w:r>
      <w:r>
        <w:t xml:space="preserve"> </w:t>
      </w:r>
      <w:r>
        <w:t xml:space="preserve">Top of the doc still says v2.1; bump to v2.2.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Section 4.2 lifecycle accounting prose.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“Transitional or demo: 3 … totaling 4”</w:t>
      </w:r>
      <w:r>
        <w:t xml:space="preserve"> </w:t>
      </w:r>
      <w:r>
        <w:t xml:space="preserve">is internally contradictory. The leading</w:t>
      </w:r>
      <w:r>
        <w:t xml:space="preserve"> </w:t>
      </w:r>
      <w:r>
        <w:t xml:space="preserve">“3”</w:t>
      </w:r>
      <w:r>
        <w:t xml:space="preserve"> </w:t>
      </w:r>
      <w:r>
        <w:t xml:space="preserve">should be</w:t>
      </w:r>
      <w:r>
        <w:t xml:space="preserve"> </w:t>
      </w:r>
      <w:r>
        <w:t xml:space="preserve">“4”</w:t>
      </w:r>
      <w:r>
        <w:t xml:space="preserve">; labels need to be consistent across the table and the prose.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Section 17.6 (adoption strategy).</w:t>
      </w:r>
      <w:r>
        <w:t xml:space="preserve"> </w:t>
      </w:r>
      <w:r>
        <w:t xml:space="preserve">Currently reads as if other organizations (security &amp; compliance, engineering leadership) have already committed to the listed behaviors. Either cite written sign-off or reframe the section as</w:t>
      </w:r>
      <w:r>
        <w:t xml:space="preserve"> </w:t>
      </w:r>
      <w:r>
        <w:t xml:space="preserve">“proposed adoption strategy, pending stakeholder sign-off.”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Appendix K.12 contradicts Section 15.1.</w:t>
      </w:r>
      <w:r>
        <w:t xml:space="preserve"> </w:t>
      </w:r>
      <w:r>
        <w:t xml:space="preserve">The chronological run example shows the audio path working end-to-end, but the audio capture P0 is documented as unresolved. Either label K.12 as a post-Phase-1 target run or rewrite in</w:t>
      </w:r>
      <w:r>
        <w:t xml:space="preserve"> </w:t>
      </w:r>
      <w:r>
        <w:rPr>
          <w:rStyle w:val="VerbatimChar"/>
        </w:rPr>
        <w:t xml:space="preserve">direct-llm</w:t>
      </w:r>
      <w:r>
        <w:t xml:space="preserve"> </w:t>
      </w:r>
      <w:r>
        <w:t xml:space="preserve">mode.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Override read path is asserted but not specified.</w:t>
      </w:r>
      <w:r>
        <w:t xml:space="preserve"> </w:t>
      </w:r>
      <w:r>
        <w:t xml:space="preserve">The override runbook (Appendix I) says inserting a row in</w:t>
      </w:r>
      <w:r>
        <w:t xml:space="preserve"> </w:t>
      </w:r>
      <w:r>
        <w:rPr>
          <w:rStyle w:val="VerbatimChar"/>
        </w:rPr>
        <w:t xml:space="preserve">redteam.overrides</w:t>
      </w:r>
      <w:r>
        <w:t xml:space="preserve"> </w:t>
      </w:r>
      <w:r>
        <w:t xml:space="preserve">is the only mechanism that allows bypass, but no section describes how the workflow reads that table at gate-evaluation time. Specify the code path.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Section 12.4 PII redaction.</w:t>
      </w:r>
      <w:r>
        <w:t xml:space="preserve"> </w:t>
      </w:r>
      <w:r>
        <w:t xml:space="preserve">Clarify whether the un-redacted agent response is preserved under</w:t>
      </w:r>
      <w:r>
        <w:t xml:space="preserve"> </w:t>
      </w:r>
      <w:r>
        <w:rPr>
          <w:rStyle w:val="VerbatimChar"/>
        </w:rPr>
        <w:t xml:space="preserve">artifact_uri</w:t>
      </w:r>
      <w:r>
        <w:t xml:space="preserve"> </w:t>
      </w:r>
      <w:r>
        <w:t xml:space="preserve">— otherwise the evidence the scorer flagged is destroyed at write time.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Storage naming inconsistency.</w:t>
      </w:r>
      <w:r>
        <w:t xml:space="preserve"> </w:t>
      </w:r>
      <w:r>
        <w:t xml:space="preserve">Figure 1 says</w:t>
      </w:r>
      <w:r>
        <w:t xml:space="preserve"> </w:t>
      </w:r>
      <w:r>
        <w:t xml:space="preserve">“Postgres / Supabase”</w:t>
      </w:r>
      <w:r>
        <w:t xml:space="preserve">, Section 12.1 says</w:t>
      </w:r>
      <w:r>
        <w:t xml:space="preserve"> </w:t>
      </w:r>
      <w:r>
        <w:t xml:space="preserve">“Postgres”</w:t>
      </w:r>
      <w:r>
        <w:t xml:space="preserve">, Section 17.2 says</w:t>
      </w:r>
      <w:r>
        <w:t xml:space="preserve"> </w:t>
      </w:r>
      <w:r>
        <w:t xml:space="preserve">“Supabase”</w:t>
      </w:r>
      <w:r>
        <w:t xml:space="preserve">. Pick one and use it consistently.</w:t>
      </w:r>
    </w:p>
    <w:bookmarkEnd w:id="29"/>
    <w:bookmarkStart w:id="30" w:name="polish-items-nice-to-have"/>
    <w:p>
      <w:pPr>
        <w:pStyle w:val="Heading3"/>
      </w:pPr>
      <w:r>
        <w:t xml:space="preserve">8.3 Polish items (nice to have)</w:t>
      </w:r>
    </w:p>
    <w:p>
      <w:pPr>
        <w:pStyle w:val="Compact"/>
        <w:numPr>
          <w:ilvl w:val="0"/>
          <w:numId w:val="1007"/>
        </w:numPr>
      </w:pPr>
      <w:r>
        <w:t xml:space="preserve">Section 5.4 token-scoping #4 should name the GitHub mechanism (Environments + OIDC, branch-protected secrets, etc.) by which production-canary secrets are scoped.</w:t>
      </w:r>
    </w:p>
    <w:p>
      <w:pPr>
        <w:pStyle w:val="Compact"/>
        <w:numPr>
          <w:ilvl w:val="0"/>
          <w:numId w:val="1007"/>
        </w:numPr>
      </w:pPr>
      <w:r>
        <w:t xml:space="preserve">Section 13 prose should add one sentence acknowledging that a stubbed P0 produces exit code 3 (NULL), not exit code 2.</w:t>
      </w:r>
    </w:p>
    <w:p>
      <w:pPr>
        <w:pStyle w:val="Compact"/>
        <w:numPr>
          <w:ilvl w:val="0"/>
          <w:numId w:val="1007"/>
        </w:numPr>
      </w:pPr>
      <w:r>
        <w:t xml:space="preserve">Section 17.6 metric</w:t>
      </w:r>
      <w:r>
        <w:t xml:space="preserve"> </w:t>
      </w:r>
      <w:r>
        <w:t xml:space="preserve">“deploy is gated by the threshold”</w:t>
      </w:r>
      <w:r>
        <w:t xml:space="preserve"> </w:t>
      </w:r>
      <w:r>
        <w:t xml:space="preserve">should split into</w:t>
      </w:r>
      <w:r>
        <w:t xml:space="preserve"> </w:t>
      </w:r>
      <w:r>
        <w:t xml:space="preserve">“gate exists”</w:t>
      </w:r>
      <w:r>
        <w:t xml:space="preserve"> </w:t>
      </w:r>
      <w:r>
        <w:t xml:space="preserve">and</w:t>
      </w:r>
      <w:r>
        <w:t xml:space="preserve"> </w:t>
      </w:r>
      <w:r>
        <w:t xml:space="preserve">“gate blocks deploy”</w:t>
      </w:r>
      <w:r>
        <w:t xml:space="preserve"> </w:t>
      </w:r>
      <w:r>
        <w:t xml:space="preserve">— different states with different acceptance criteria.</w:t>
      </w:r>
    </w:p>
    <w:p>
      <w:pPr>
        <w:pStyle w:val="Compact"/>
        <w:numPr>
          <w:ilvl w:val="0"/>
          <w:numId w:val="1007"/>
        </w:numPr>
      </w:pPr>
      <w:r>
        <w:t xml:space="preserve">Appendix J should name at least one concrete test per layer; currently it is a coverage target plus three sentences.</w:t>
      </w:r>
    </w:p>
    <w:p>
      <w:pPr>
        <w:pStyle w:val="Compact"/>
        <w:numPr>
          <w:ilvl w:val="0"/>
          <w:numId w:val="1007"/>
        </w:numPr>
      </w:pPr>
      <w:r>
        <w:t xml:space="preserve">Section 14.1 line items</w:t>
      </w:r>
      <w:r>
        <w:t xml:space="preserve"> </w:t>
      </w:r>
      <w:r>
        <w:t xml:space="preserve">“Add support-agent deploy workflow if absent”</w:t>
      </w:r>
      <w:r>
        <w:t xml:space="preserve"> </w:t>
      </w:r>
      <w:r>
        <w:t xml:space="preserve">and</w:t>
      </w:r>
      <w:r>
        <w:t xml:space="preserve"> </w:t>
      </w:r>
      <w:r>
        <w:t xml:space="preserve">“Needs course fixture maintainer”</w:t>
      </w:r>
      <w:r>
        <w:t xml:space="preserve"> </w:t>
      </w:r>
      <w:r>
        <w:t xml:space="preserve">need owners or a delegation to the post-MVP wave.</w:t>
      </w:r>
    </w:p>
    <w:p>
      <w:pPr>
        <w:pStyle w:val="Compact"/>
        <w:numPr>
          <w:ilvl w:val="0"/>
          <w:numId w:val="1007"/>
        </w:numPr>
      </w:pPr>
      <w:r>
        <w:t xml:space="preserve">Add a paragraph on</w:t>
      </w:r>
      <w:r>
        <w:t xml:space="preserve"> </w:t>
      </w:r>
      <w:r>
        <w:t xml:space="preserve">“framework is down or broken”</w:t>
      </w:r>
      <w:r>
        <w:t xml:space="preserve"> </w:t>
      </w:r>
      <w:r>
        <w:t xml:space="preserve">— the operational path when the gate itself is the blocker, not the agent.</w:t>
      </w:r>
    </w:p>
    <w:p>
      <w:pPr>
        <w:pStyle w:val="Compact"/>
        <w:numPr>
          <w:ilvl w:val="0"/>
          <w:numId w:val="1007"/>
        </w:numPr>
      </w:pPr>
      <w:r>
        <w:t xml:space="preserve">Section 10.6 calibration and Section 8.4 corpus expansion are both quarterly; specify ordering (calibration runs after corpus stabilizes).</w:t>
      </w:r>
    </w:p>
    <w:bookmarkEnd w:id="30"/>
    <w:bookmarkStart w:id="31" w:name="assessment-against-the-original-criteria"/>
    <w:p>
      <w:pPr>
        <w:pStyle w:val="Heading3"/>
      </w:pPr>
      <w:r>
        <w:t xml:space="preserve">8.4 Assessment against the original criteria</w:t>
      </w:r>
    </w:p>
    <w:p>
      <w:pPr>
        <w:pStyle w:val="FirstParagraph"/>
      </w:pPr>
      <w:r>
        <w:t xml:space="preserve">Sixteen of sixteen review criteria pass or pass-with-edit. None fail. Once items 1–3 in 7.2 are applied — they are textual defects, not architectural changes — the document is ready to forward. Items 4–8 in 7.2 should follow before the broader engineering audience reads it.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what-we-ask-the-team-for-next"/>
    <w:p>
      <w:pPr>
        <w:pStyle w:val="Heading2"/>
      </w:pPr>
      <w:r>
        <w:t xml:space="preserve">9. What we ask the team for next</w:t>
      </w:r>
    </w:p>
    <w:p>
      <w:pPr>
        <w:pStyle w:val="Compact"/>
        <w:numPr>
          <w:ilvl w:val="0"/>
          <w:numId w:val="1008"/>
        </w:numPr>
      </w:pPr>
      <w:r>
        <w:t xml:space="preserve">Conversation Club, Tutor Interviewer, and Nerdy Avatar Gemini teams: a 30-minute kickoff with VT4S to confirm policy-profile assignments and walk through the manifest template.</w:t>
      </w:r>
    </w:p>
    <w:p>
      <w:pPr>
        <w:pStyle w:val="Compact"/>
        <w:numPr>
          <w:ilvl w:val="0"/>
          <w:numId w:val="1008"/>
        </w:numPr>
      </w:pPr>
      <w:r>
        <w:t xml:space="preserve">Security &amp; compliance: written confirmation of the policy-profile assignments and of the FERPA/COPPA scenario scope.</w:t>
      </w:r>
    </w:p>
    <w:p>
      <w:pPr>
        <w:pStyle w:val="Compact"/>
        <w:numPr>
          <w:ilvl w:val="0"/>
          <w:numId w:val="1008"/>
        </w:numPr>
      </w:pPr>
      <w:r>
        <w:t xml:space="preserve">Engineering leadership: agreement on the adoption metrics surfaced in 17.6 and on the override-audit visibility commitment.</w:t>
      </w:r>
    </w:p>
    <w:p>
      <w:pPr>
        <w:pStyle w:val="Compact"/>
        <w:numPr>
          <w:ilvl w:val="0"/>
          <w:numId w:val="1008"/>
        </w:numPr>
      </w:pPr>
      <w:r>
        <w:t xml:space="preserve">Infrastructure: provisioning of the Postgres schema (</w:t>
      </w:r>
      <w:r>
        <w:rPr>
          <w:rStyle w:val="VerbatimChar"/>
        </w:rPr>
        <w:t xml:space="preserve">redteam</w:t>
      </w:r>
      <w:r>
        <w:t xml:space="preserve">) and of the four CI secrets per consuming repository.</w:t>
      </w:r>
    </w:p>
    <w:p>
      <w:pPr>
        <w:pStyle w:val="FirstParagraph"/>
      </w:pPr>
      <w:r>
        <w:t xml:space="preserve">Once those are in place, Pilot week 1 begins.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LiveKit Red-Team — Condensed Solution Brief</dc:title>
  <dc:creator/>
  <cp:keywords/>
  <dcterms:created xsi:type="dcterms:W3CDTF">2026-05-28T14:29:08Z</dcterms:created>
  <dcterms:modified xsi:type="dcterms:W3CDTF">2026-05-28T14:29:08Z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