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36"/>
          <w:szCs w:val="36"/>
        </w:rPr>
        <w:t xml:space="preserve">Retour d'encadrement — pour correction</w:t>
      </w:r>
    </w:p>
    <w:p>
      <w:pPr>
        <w:pBdr>
          <w:bottom w:val="single" w:color="2E75B6" w:sz="8" w:space="4"/>
        </w:pBdr>
        <w:spacing w:after="160"/>
      </w:pPr>
      <w:r>
        <w:rPr>
          <w:color w:val="595959"/>
          <w:sz w:val="22"/>
          <w:szCs w:val="22"/>
        </w:rPr>
        <w:t xml:space="preserve">Note ciblée — fusion des chapitres 2 et 3 (Business Understanding CRISP-DM)</w:t>
      </w:r>
    </w:p>
    <w:p>
      <w:pPr>
        <w:spacing w:after="40"/>
      </w:pPr>
      <w:r>
        <w:rPr>
          <w:b/>
          <w:bCs/>
          <w:color w:val="1F3864"/>
          <w:sz w:val="20"/>
          <w:szCs w:val="20"/>
        </w:rPr>
        <w:t xml:space="preserve">PFE : </w:t>
      </w:r>
      <w:r>
        <w:rPr>
          <w:sz w:val="20"/>
          <w:szCs w:val="20"/>
        </w:rPr>
        <w:t xml:space="preserve">Conception et développement d'un assistant intelligent pour l'analyse et l'exploration des données SAP — AVAXIA Group, équipe Quadient (SAP BASIS)</w:t>
      </w:r>
    </w:p>
    <w:p>
      <w:pPr>
        <w:spacing w:after="40"/>
      </w:pPr>
      <w:r>
        <w:rPr>
          <w:b/>
          <w:bCs/>
          <w:color w:val="1F3864"/>
          <w:sz w:val="20"/>
          <w:szCs w:val="20"/>
        </w:rPr>
        <w:t xml:space="preserve">Étudiants : </w:t>
      </w:r>
      <w:r>
        <w:rPr>
          <w:sz w:val="20"/>
          <w:szCs w:val="20"/>
        </w:rPr>
        <w:t xml:space="preserve">Binôme : Ben Hamad Yassine &amp; Azizi Ghada</w:t>
      </w:r>
    </w:p>
    <w:p>
      <w:pPr>
        <w:spacing w:after="40"/>
      </w:pPr>
      <w:r>
        <w:rPr>
          <w:b/>
          <w:bCs/>
          <w:color w:val="1F3864"/>
          <w:sz w:val="20"/>
          <w:szCs w:val="20"/>
        </w:rPr>
        <w:t xml:space="preserve">Niveau / établissement : </w:t>
      </w:r>
      <w:r>
        <w:rPr>
          <w:sz w:val="20"/>
          <w:szCs w:val="20"/>
        </w:rPr>
        <w:t xml:space="preserve">Licence Appliquée en Technologies de l'Informatique — parcours DSI, ISET de Radès</w:t>
      </w:r>
    </w:p>
    <w:p>
      <w:pPr>
        <w:spacing w:after="40"/>
      </w:pPr>
      <w:r>
        <w:rPr>
          <w:b/>
          <w:bCs/>
          <w:color w:val="1F3864"/>
          <w:sz w:val="20"/>
          <w:szCs w:val="20"/>
        </w:rPr>
        <w:t xml:space="preserve">Périmètre du présent retour : </w:t>
      </w:r>
      <w:r>
        <w:rPr>
          <w:sz w:val="20"/>
          <w:szCs w:val="20"/>
        </w:rPr>
        <w:t xml:space="preserve">Chapitres 2 (« Planification et spécification des besoins ») et 3 (« Compréhension métier ») de la v2, avec proposition de fusion en un seul chapitre aligné sur la phase 1 de CRISP-DM.</w:t>
      </w:r>
    </w:p>
    <w:p>
      <w:pPr>
        <w:spacing w:after="40"/>
      </w:pPr>
      <w:r>
        <w:rPr>
          <w:b/>
          <w:bCs/>
          <w:color w:val="1F3864"/>
          <w:sz w:val="20"/>
          <w:szCs w:val="20"/>
        </w:rPr>
        <w:t xml:space="preserve">Posture : </w:t>
      </w:r>
      <w:r>
        <w:rPr>
          <w:sz w:val="20"/>
          <w:szCs w:val="20"/>
        </w:rPr>
        <w:t xml:space="preserve">Encadrement (retour à l'étudiant) — Format 1, sans note, sans barème, sans verdict</w:t>
      </w:r>
    </w:p>
    <w:p>
      <w:pPr>
        <w:spacing w:after="40"/>
      </w:pPr>
      <w:r>
        <w:rPr>
          <w:b/>
          <w:bCs/>
          <w:color w:val="1F3864"/>
          <w:sz w:val="20"/>
          <w:szCs w:val="20"/>
        </w:rPr>
        <w:t xml:space="preserve">Référentiel mobilisé : </w:t>
      </w:r>
      <w:r>
        <w:rPr>
          <w:sz w:val="20"/>
          <w:szCs w:val="20"/>
        </w:rPr>
        <w:t xml:space="preserve">CRISP-DM 1.0 : Step-by-step Data Mining Guide (Chapman, Clinton, Kerber, Khabaza, Reinartz, Shearer, Wirth — 2000), tâches et livrables canoniques de la phase Business Understanding.</w:t>
      </w:r>
    </w:p>
    <w:p>
      <w:pPr>
        <w:spacing w:after="40"/>
      </w:pPr>
      <w:r>
        <w:rPr>
          <w:b/>
          <w:bCs/>
          <w:color w:val="1F3864"/>
          <w:sz w:val="20"/>
          <w:szCs w:val="20"/>
        </w:rPr>
        <w:t xml:space="preserve">Version du retour : </w:t>
      </w:r>
      <w:r>
        <w:rPr>
          <w:sz w:val="20"/>
          <w:szCs w:val="20"/>
        </w:rPr>
        <w:t xml:space="preserve">Note ciblée — 4 juin 2026</w:t>
      </w:r>
    </w:p>
    <w:p>
      <w:pPr>
        <w:spacing w:after="80" w:before="240"/>
      </w:pPr>
      <w:r>
        <w:rPr>
          <w:b/>
          <w:bCs/>
          <w:color w:val="1F3864"/>
          <w:sz w:val="24"/>
          <w:szCs w:val="24"/>
        </w:rPr>
        <w:t xml:space="preserve">Mot d'introduction</w:t>
      </w:r>
    </w:p>
    <w:p>
      <w:pPr>
        <w:spacing w:after="100"/>
        <w:jc w:val="both"/>
      </w:pPr>
      <w:r>
        <w:rPr>
          <w:sz w:val="22"/>
          <w:szCs w:val="22"/>
        </w:rPr>
        <w:t xml:space="preserve">Ce document est un retour d'encadrement ciblé : il porte exclusivement sur les chapitres 2 et 3 de la v2, et il est articulé autour d'une recommandation structurelle qui mérite d'être traitée d'un bloc — la fusion des deux chapitres en un seul, aligné sur la phase 1 de CRISP-DM (Business Understanding). Les remarques de fond et de forme propres à ces deux chapitres sont également incluses, mais elles s'inscrivent dans le mouvement de fusion.</w:t>
      </w:r>
    </w:p>
    <w:p>
      <w:pPr>
        <w:spacing w:after="100"/>
        <w:jc w:val="both"/>
      </w:pPr>
      <w:r>
        <w:rPr>
          <w:sz w:val="22"/>
          <w:szCs w:val="22"/>
        </w:rPr>
        <w:t xml:space="preserve">La proposition s'appuie sur le guide canonique CRISP-DM 1.0 (Chapman et al., 2000) qui définit les tâches et livrables précis de la phase Business Understanding. Le constat est que l'intégralité du contenu actuel des ch.2 et ch.3 relève de cette phase, sans aucun élément débordant : la fusion n'enlève rien, elle remet simplement l'ensemble dans une structure cohérente avec la méthodologie déclarée et avec les chapitres suivants (4 à 8) qui suivent déjà la correspondance 1-à-1 phase-CRISP-DM ↔ chapitre.</w:t>
      </w:r>
    </w:p>
    <w:p>
      <w:pPr>
        <w:spacing w:after="100"/>
        <w:jc w:val="both"/>
      </w:pPr>
      <w:r>
        <w:rPr>
          <w:sz w:val="22"/>
          <w:szCs w:val="22"/>
        </w:rPr>
        <w:t xml:space="preserve">Comme pour tout retour Format 1, aucune notation n'est attribuée : la décision finale reste celle de l'encadrante.</w:t>
      </w:r>
    </w:p>
    <w:p>
      <w:pPr>
        <w:spacing w:after="40" w:before="80"/>
      </w:pPr>
      <w:r>
        <w:rPr>
          <w:b/>
          <w:bCs/>
          <w:color w:val="1F3864"/>
          <w:sz w:val="18"/>
          <w:szCs w:val="18"/>
        </w:rPr>
        <w:t xml:space="preserve">Légende — Type : </w:t>
      </w:r>
      <w:r>
        <w:rPr>
          <w:sz w:val="18"/>
          <w:szCs w:val="18"/>
        </w:rPr>
        <w:t xml:space="preserve">FOND · FORME · MÉTHODE · TECHNIQUE · COHÉRENCE · UML-VIZ.   </w:t>
      </w:r>
      <w:r>
        <w:rPr>
          <w:b/>
          <w:bCs/>
          <w:color w:val="1F3864"/>
          <w:sz w:val="18"/>
          <w:szCs w:val="18"/>
        </w:rPr>
        <w:t xml:space="preserve">Priorité : </w:t>
      </w:r>
      <w:r>
        <w:rPr>
          <w:sz w:val="18"/>
          <w:szCs w:val="18"/>
        </w:rPr>
        <w:t xml:space="preserve">P1 impératif · P2 important · P3 finition.</w:t>
      </w:r>
    </w:p>
    <w:p>
      <w:r>
        <w:br w:type="page"/>
      </w:r>
    </w:p>
    <w:p>
      <w:pPr>
        <w:pStyle w:val="Heading1"/>
      </w:pPr>
      <w:r>
        <w:t xml:space="preserve">A. Diagnostic structurel — pourquoi fusionner</w:t>
      </w:r>
    </w:p>
    <w:p>
      <w:pPr>
        <w:spacing w:after="100"/>
        <w:jc w:val="both"/>
      </w:pPr>
      <w:r>
        <w:rPr>
          <w:sz w:val="22"/>
          <w:szCs w:val="22"/>
        </w:rPr>
        <w:t xml:space="preserve">La phase 1 de CRISP-DM (Business Understanding) se décompose en quatre tâches officielles, chacune ayant des livrables nommés explicitement dans le guide Chapman et al. (2000) : Determine Business Objectives (Background, Business Objectives, Business Success Criteria), Assess Situation (Inventory of Resources, Requirements, Assumptions and Constraints, Risks and Contingencies, Terminology, Costs and Benefits), Determine Data Mining Goals (Data Mining Goals, Data Mining Success Criteria) et Produce Project Plan (Project Plan, Initial Assessment of Tools and Techniques).</w:t>
      </w:r>
    </w:p>
    <w:p>
      <w:pPr>
        <w:spacing w:after="100"/>
        <w:jc w:val="both"/>
      </w:pPr>
      <w:r>
        <w:rPr>
          <w:sz w:val="22"/>
          <w:szCs w:val="22"/>
        </w:rPr>
        <w:t xml:space="preserve">Quand on confronte le contenu actuel des deux chapitres à cette grille, chaque section trouve sa place dans la phase 1, et aucun élément des deux chapitres ne déborde de cette phase :</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7458"/>
      </w:tblGrid>
      <w:tr>
        <w:trPr>
          <w:tblHeader/>
        </w:trPr>
        <w:tc>
          <w:tcPr>
            <w:tcW w:type="dxa" w:w="3000"/>
            <w:tcBorders>
              <w:top w:val="single" w:color="C9C9C9" w:sz="1"/>
              <w:left w:val="single" w:color="C9C9C9" w:sz="1"/>
              <w:bottom w:val="single" w:color="C9C9C9" w:sz="1"/>
              <w:right w:val="single" w:color="C9C9C9" w:sz="1"/>
            </w:tcBorders>
            <w:shd w:fill="1F3864" w:val="clear"/>
            <w:tcMar>
              <w:top w:type="dxa" w:w="60"/>
              <w:left w:type="dxa" w:w="110"/>
              <w:bottom w:type="dxa" w:w="60"/>
              <w:right w:type="dxa" w:w="110"/>
            </w:tcMar>
            <w:vAlign w:val="top"/>
          </w:tcPr>
          <w:p>
            <w:r>
              <w:rPr>
                <w:b/>
                <w:bCs/>
                <w:color w:val="FFFFFF"/>
                <w:sz w:val="18"/>
                <w:szCs w:val="18"/>
              </w:rPr>
              <w:t xml:space="preserve">Tâche CRISP-DM (Phase 1)</w:t>
            </w:r>
          </w:p>
        </w:tc>
        <w:tc>
          <w:tcPr>
            <w:tcW w:type="dxa" w:w="3500"/>
            <w:tcBorders>
              <w:top w:val="single" w:color="C9C9C9" w:sz="1"/>
              <w:left w:val="single" w:color="C9C9C9" w:sz="1"/>
              <w:bottom w:val="single" w:color="C9C9C9" w:sz="1"/>
              <w:right w:val="single" w:color="C9C9C9" w:sz="1"/>
            </w:tcBorders>
            <w:shd w:fill="1F3864" w:val="clear"/>
            <w:tcMar>
              <w:top w:type="dxa" w:w="60"/>
              <w:left w:type="dxa" w:w="110"/>
              <w:bottom w:type="dxa" w:w="60"/>
              <w:right w:type="dxa" w:w="110"/>
            </w:tcMar>
            <w:vAlign w:val="top"/>
          </w:tcPr>
          <w:p>
            <w:r>
              <w:rPr>
                <w:b/>
                <w:bCs/>
                <w:color w:val="FFFFFF"/>
                <w:sz w:val="18"/>
                <w:szCs w:val="18"/>
              </w:rPr>
              <w:t xml:space="preserve">Livrable officiel</w:t>
            </w:r>
          </w:p>
        </w:tc>
        <w:tc>
          <w:tcPr>
            <w:tcW w:type="dxa" w:w="7458"/>
            <w:tcBorders>
              <w:top w:val="single" w:color="C9C9C9" w:sz="1"/>
              <w:left w:val="single" w:color="C9C9C9" w:sz="1"/>
              <w:bottom w:val="single" w:color="C9C9C9" w:sz="1"/>
              <w:right w:val="single" w:color="C9C9C9" w:sz="1"/>
            </w:tcBorders>
            <w:shd w:fill="1F3864" w:val="clear"/>
            <w:tcMar>
              <w:top w:type="dxa" w:w="60"/>
              <w:left w:type="dxa" w:w="110"/>
              <w:bottom w:type="dxa" w:w="60"/>
              <w:right w:type="dxa" w:w="110"/>
            </w:tcMar>
            <w:vAlign w:val="top"/>
          </w:tcPr>
          <w:p>
            <w:r>
              <w:rPr>
                <w:b/>
                <w:bCs/>
                <w:color w:val="FFFFFF"/>
                <w:sz w:val="18"/>
                <w:szCs w:val="18"/>
              </w:rPr>
              <w:t xml:space="preserve">Localisation actuelle dans ch.2 / ch.3</w:t>
            </w:r>
          </w:p>
        </w:tc>
      </w:tr>
      <w:tr>
        <w:tc>
          <w:tcPr>
            <w:tcW w:type="dxa" w:w="30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r>
              <w:rPr>
                <w:b/>
                <w:bCs/>
                <w:sz w:val="18"/>
                <w:szCs w:val="18"/>
              </w:rPr>
              <w:t xml:space="preserve">Determine Business Objectives</w:t>
            </w:r>
          </w:p>
        </w:tc>
        <w:tc>
          <w:tcPr>
            <w:tcW w:type="dxa" w:w="35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r>
              <w:rPr>
                <w:sz w:val="18"/>
                <w:szCs w:val="18"/>
              </w:rPr>
              <w:t xml:space="preserve">Background, Business Objectives, Business Success Criteria</w:t>
            </w:r>
          </w:p>
        </w:tc>
        <w:tc>
          <w:tcPr>
            <w:tcW w:type="dxa" w:w="7458"/>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r>
              <w:rPr>
                <w:sz w:val="18"/>
                <w:szCs w:val="18"/>
              </w:rPr>
              <w:t xml:space="preserve">§2.1 Vision et objectifs / §3.1 Contexte métier SAP (background) / §2.2.3 NFR (devraient être les business success criteria, mais aujourd'hui non quantifiés — voir remarques)</w:t>
            </w:r>
          </w:p>
        </w:tc>
      </w:tr>
      <w:tr>
        <w:tc>
          <w:tcPr>
            <w:tcW w:type="dxa" w:w="3000"/>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r>
              <w:rPr>
                <w:b/>
                <w:bCs/>
                <w:sz w:val="18"/>
                <w:szCs w:val="18"/>
              </w:rPr>
              <w:t xml:space="preserve">Assess Situation</w:t>
            </w:r>
          </w:p>
        </w:tc>
        <w:tc>
          <w:tcPr>
            <w:tcW w:type="dxa" w:w="3500"/>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r>
              <w:rPr>
                <w:sz w:val="18"/>
                <w:szCs w:val="18"/>
              </w:rPr>
              <w:t xml:space="preserve">Inventory of Resources, Requirements, Assumptions, Constraints, Risks and Contingencies, Terminology, Costs and Benefits</w:t>
            </w:r>
          </w:p>
        </w:tc>
        <w:tc>
          <w:tcPr>
            <w:tcW w:type="dxa" w:w="7458"/>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r>
              <w:rPr>
                <w:sz w:val="18"/>
                <w:szCs w:val="18"/>
              </w:rPr>
              <w:t xml:space="preserve">§2.2.1 Acteurs (resources) / §2.2.2 Besoins fonctionnels (requirements) / Liste des abréviations + §3.1.1–3.1.3 (terminology) / Risks et Costs and Benefits actuellement absents</w:t>
            </w:r>
          </w:p>
        </w:tc>
      </w:tr>
      <w:tr>
        <w:tc>
          <w:tcPr>
            <w:tcW w:type="dxa" w:w="30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r>
              <w:rPr>
                <w:b/>
                <w:bCs/>
                <w:sz w:val="18"/>
                <w:szCs w:val="18"/>
              </w:rPr>
              <w:t xml:space="preserve">Determine Data Mining Goals</w:t>
            </w:r>
          </w:p>
        </w:tc>
        <w:tc>
          <w:tcPr>
            <w:tcW w:type="dxa" w:w="35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r>
              <w:rPr>
                <w:sz w:val="18"/>
                <w:szCs w:val="18"/>
              </w:rPr>
              <w:t xml:space="preserve">Data Mining Goals, Data Mining Success Criteria</w:t>
            </w:r>
          </w:p>
        </w:tc>
        <w:tc>
          <w:tcPr>
            <w:tcW w:type="dxa" w:w="7458"/>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r>
              <w:rPr>
                <w:sz w:val="18"/>
                <w:szCs w:val="18"/>
              </w:rPr>
              <w:t xml:space="preserve">Implicite dans §2.1 mais pas formalisé séparément en termes data science (à clarifier)</w:t>
            </w:r>
          </w:p>
        </w:tc>
      </w:tr>
      <w:tr>
        <w:tc>
          <w:tcPr>
            <w:tcW w:type="dxa" w:w="3000"/>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r>
              <w:rPr>
                <w:b/>
                <w:bCs/>
                <w:sz w:val="18"/>
                <w:szCs w:val="18"/>
              </w:rPr>
              <w:t xml:space="preserve">Produce Project Plan</w:t>
            </w:r>
          </w:p>
        </w:tc>
        <w:tc>
          <w:tcPr>
            <w:tcW w:type="dxa" w:w="3500"/>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r>
              <w:rPr>
                <w:sz w:val="18"/>
                <w:szCs w:val="18"/>
              </w:rPr>
              <w:t xml:space="preserve">Project Plan, Initial Assessment of Tools and Techniques</w:t>
            </w:r>
          </w:p>
        </w:tc>
        <w:tc>
          <w:tcPr>
            <w:tcW w:type="dxa" w:w="7458"/>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r>
              <w:rPr>
                <w:sz w:val="18"/>
                <w:szCs w:val="18"/>
              </w:rPr>
              <w:t xml:space="preserve">§2.3 Gestion CRISP-DM + §2.4 Gantt (project plan) / §3.2 État de l'art + §3.3 Choix du RAG (initial assessment of tools and techniques)</w:t>
            </w:r>
          </w:p>
        </w:tc>
      </w:tr>
    </w:tbl>
    <w:p>
      <w:pPr>
        <w:spacing w:after="120"/>
      </w:pPr>
      <w:r>
        <w:t xml:space="preserve"/>
      </w:r>
    </w:p>
    <w:p>
      <w:pPr>
        <w:spacing w:after="100"/>
        <w:jc w:val="both"/>
      </w:pPr>
      <w:r>
        <w:rPr>
          <w:sz w:val="22"/>
          <w:szCs w:val="22"/>
        </w:rPr>
        <w:t xml:space="preserve">Trois conséquences se déduisent de cette grille.</w:t>
      </w:r>
    </w:p>
    <w:p>
      <w:pPr>
        <w:spacing w:after="100"/>
        <w:jc w:val="both"/>
      </w:pPr>
      <w:r>
        <w:rPr>
          <w:sz w:val="22"/>
          <w:szCs w:val="22"/>
        </w:rPr>
        <w:t xml:space="preserve">1. Le binôme a éclaté la phase 1 de CRISP-DM en deux chapitres, en étiquetant le premier avec un vocabulaire UML / cycle en V (« Planification et spécification des besoins ») et le second avec un vocabulaire CRISP-DM (« Compréhension métier »). C'est la seule incohérence méthodologique dans la structure globale du rapport : les chapitres 4 à 8 suivent déjà rigoureusement la correspondance 1-à-1 entre une phase CRISP-DM et un chapitre (ch.4 = Data Understanding, ch.5 = Data Preparation, ch.6 = Modeling, ch.7 = Evaluation, ch.8 = Deployment).</w:t>
      </w:r>
    </w:p>
    <w:p>
      <w:pPr>
        <w:spacing w:after="100"/>
        <w:jc w:val="both"/>
      </w:pPr>
      <w:r>
        <w:rPr>
          <w:sz w:val="22"/>
          <w:szCs w:val="22"/>
        </w:rPr>
        <w:t xml:space="preserve">2. Fusionner ch.2 et ch.3 fait simplement gagner à la phase 1 le même statut que les autres phases — un chapitre = une phase — et rétablit la cohérence méthodologique d'ensemble.</w:t>
      </w:r>
    </w:p>
    <w:p>
      <w:pPr>
        <w:spacing w:after="100"/>
        <w:jc w:val="both"/>
      </w:pPr>
      <w:r>
        <w:rPr>
          <w:sz w:val="22"/>
          <w:szCs w:val="22"/>
        </w:rPr>
        <w:t xml:space="preserve">3. La fusion offre une opportunité naturelle de régler trois écarts ouverts en v2 : (a) le diagramme de cas d'utilisation, mal placé en §8.3, retrouve sa place légitime dans la spécification des besoins ; (b) les NFR doivent être restaurés en version chiffrée et confrontés aux mesures du ch.7 ; (c) les promesses résiduelles de « détection d'anomalies » disséminées dans §2.1, §3 intro, §3.1.3 et la conclusion ch.3 deviennent traitables d'un seul coup dans un chapitre unique.</w:t>
      </w:r>
    </w:p>
    <w:p>
      <w:r>
        <w:br w:type="page"/>
      </w:r>
    </w:p>
    <w:p>
      <w:pPr>
        <w:pStyle w:val="Heading1"/>
      </w:pPr>
      <w:r>
        <w:t xml:space="preserve">B. Plan détaillé du chapitre fusionné</w:t>
      </w:r>
    </w:p>
    <w:p>
      <w:pPr>
        <w:spacing w:after="80"/>
        <w:jc w:val="both"/>
      </w:pPr>
      <w:r>
        <w:rPr>
          <w:sz w:val="22"/>
          <w:szCs w:val="22"/>
        </w:rPr>
        <w:t xml:space="preserve">L'ordre proposé suit la séquence des quatre tâches officielles de la phase 1 CRISP-DM : Background → Business Objectives → Requirements / Inventory → Initial Assessment of Tools and Techniques → Project Plan. Le chapitre 3 actuel disparaît ; le chapitre 4 actuel devient ch.3, et tous les chapitres suivants sont renumérotés en cascade.</w:t>
      </w:r>
    </w:p>
    <w:p>
      <w:pPr>
        <w:spacing w:after="60" w:before="120"/>
      </w:pPr>
      <w:r>
        <w:rPr>
          <w:b/>
          <w:bCs/>
          <w:color w:val="1F3864"/>
          <w:sz w:val="26"/>
          <w:szCs w:val="26"/>
        </w:rPr>
        <w:t xml:space="preserve">Chapitre 2 — Compréhension métier et spécification des besoins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400"/>
        <w:gridCol w:w="12558"/>
      </w:tblGrid>
      <w:tr>
        <w:tc>
          <w:tcPr>
            <w:tcW w:type="dxa" w:w="14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r>
              <w:rPr>
                <w:b/>
                <w:bCs/>
                <w:color w:val="595959"/>
                <w:sz w:val="20"/>
                <w:szCs w:val="20"/>
              </w:rPr>
              <w:t xml:space="preserve"/>
            </w:r>
          </w:p>
        </w:tc>
        <w:tc>
          <w:tcPr>
            <w:tcW w:type="dxa" w:w="12558"/>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r>
              <w:rPr>
                <w:b/>
                <w:bCs/>
                <w:color w:val="595959"/>
                <w:sz w:val="20"/>
                <w:szCs w:val="20"/>
              </w:rPr>
              <w:t xml:space="preserve">Objectifs du chapitre</w:t>
            </w:r>
          </w:p>
        </w:tc>
      </w:tr>
      <w:tr>
        <w:tc>
          <w:tcPr>
            <w:tcW w:type="dxa" w:w="1400"/>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r>
              <w:rPr>
                <w:b/>
                <w:bCs/>
                <w:color w:val="595959"/>
                <w:sz w:val="20"/>
                <w:szCs w:val="20"/>
              </w:rPr>
              <w:t xml:space="preserve"/>
            </w:r>
          </w:p>
        </w:tc>
        <w:tc>
          <w:tcPr>
            <w:tcW w:type="dxa" w:w="12558"/>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r>
              <w:rPr>
                <w:b/>
                <w:bCs/>
                <w:color w:val="595959"/>
                <w:sz w:val="20"/>
                <w:szCs w:val="20"/>
              </w:rPr>
              <w:t xml:space="preserve">Introduction</w:t>
            </w:r>
          </w:p>
        </w:tc>
      </w:tr>
      <w:tr>
        <w:tc>
          <w:tcPr>
            <w:tcW w:type="dxa" w:w="14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r>
              <w:rPr>
                <w:b/>
                <w:bCs/>
                <w:color w:val="1F3864"/>
                <w:sz w:val="20"/>
                <w:szCs w:val="20"/>
              </w:rPr>
              <w:t xml:space="preserve">2.1</w:t>
            </w:r>
          </w:p>
        </w:tc>
        <w:tc>
          <w:tcPr>
            <w:tcW w:type="dxa" w:w="12558"/>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r>
              <w:rPr>
                <w:b/>
                <w:bCs/>
                <w:sz w:val="20"/>
                <w:szCs w:val="20"/>
              </w:rPr>
              <w:t xml:space="preserve">Contexte métier SAP</w:t>
            </w:r>
          </w:p>
        </w:tc>
      </w:tr>
      <w:tr>
        <w:tc>
          <w:tcPr>
            <w:tcW w:type="dxa" w:w="1400"/>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r>
              <w:rPr>
                <w:b w:val="false"/>
                <w:bCs w:val="false"/>
                <w:color w:val="1F3864"/>
                <w:sz w:val="18"/>
                <w:szCs w:val="18"/>
              </w:rPr>
              <w:t xml:space="preserve">2.1.1</w:t>
            </w:r>
          </w:p>
        </w:tc>
        <w:tc>
          <w:tcPr>
            <w:tcW w:type="dxa" w:w="12558"/>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r>
              <w:rPr>
                <w:b w:val="false"/>
                <w:bCs w:val="false"/>
                <w:sz w:val="18"/>
                <w:szCs w:val="18"/>
              </w:rPr>
              <w:t xml:space="preserve">Qu'est-ce qu'un ERP</w:t>
            </w:r>
          </w:p>
        </w:tc>
      </w:tr>
      <w:tr>
        <w:tc>
          <w:tcPr>
            <w:tcW w:type="dxa" w:w="14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r>
              <w:rPr>
                <w:b w:val="false"/>
                <w:bCs w:val="false"/>
                <w:color w:val="1F3864"/>
                <w:sz w:val="18"/>
                <w:szCs w:val="18"/>
              </w:rPr>
              <w:t xml:space="preserve">2.1.2</w:t>
            </w:r>
          </w:p>
        </w:tc>
        <w:tc>
          <w:tcPr>
            <w:tcW w:type="dxa" w:w="12558"/>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r>
              <w:rPr>
                <w:b w:val="false"/>
                <w:bCs w:val="false"/>
                <w:sz w:val="18"/>
                <w:szCs w:val="18"/>
              </w:rPr>
              <w:t xml:space="preserve">Le consultant SAP BASIS</w:t>
            </w:r>
          </w:p>
        </w:tc>
      </w:tr>
      <w:tr>
        <w:tc>
          <w:tcPr>
            <w:tcW w:type="dxa" w:w="1400"/>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r>
              <w:rPr>
                <w:b w:val="false"/>
                <w:bCs w:val="false"/>
                <w:color w:val="1F3864"/>
                <w:sz w:val="18"/>
                <w:szCs w:val="18"/>
              </w:rPr>
              <w:t xml:space="preserve">2.1.3</w:t>
            </w:r>
          </w:p>
        </w:tc>
        <w:tc>
          <w:tcPr>
            <w:tcW w:type="dxa" w:w="12558"/>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r>
              <w:rPr>
                <w:b w:val="false"/>
                <w:bCs w:val="false"/>
                <w:sz w:val="18"/>
                <w:szCs w:val="18"/>
              </w:rPr>
              <w:t xml:space="preserve">Les codes de transaction SAP (T-codes)</w:t>
            </w:r>
          </w:p>
        </w:tc>
      </w:tr>
      <w:tr>
        <w:tc>
          <w:tcPr>
            <w:tcW w:type="dxa" w:w="14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r>
              <w:rPr>
                <w:b/>
                <w:bCs/>
                <w:color w:val="1F3864"/>
                <w:sz w:val="20"/>
                <w:szCs w:val="20"/>
              </w:rPr>
              <w:t xml:space="preserve">2.2</w:t>
            </w:r>
          </w:p>
        </w:tc>
        <w:tc>
          <w:tcPr>
            <w:tcW w:type="dxa" w:w="12558"/>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r>
              <w:rPr>
                <w:b/>
                <w:bCs/>
                <w:sz w:val="20"/>
                <w:szCs w:val="20"/>
              </w:rPr>
              <w:t xml:space="preserve">Vision et objectifs du système</w:t>
            </w:r>
          </w:p>
        </w:tc>
      </w:tr>
      <w:tr>
        <w:tc>
          <w:tcPr>
            <w:tcW w:type="dxa" w:w="1400"/>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r>
              <w:rPr>
                <w:b/>
                <w:bCs/>
                <w:color w:val="1F3864"/>
                <w:sz w:val="20"/>
                <w:szCs w:val="20"/>
              </w:rPr>
              <w:t xml:space="preserve">2.3</w:t>
            </w:r>
          </w:p>
        </w:tc>
        <w:tc>
          <w:tcPr>
            <w:tcW w:type="dxa" w:w="12558"/>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r>
              <w:rPr>
                <w:b/>
                <w:bCs/>
                <w:sz w:val="20"/>
                <w:szCs w:val="20"/>
              </w:rPr>
              <w:t xml:space="preserve">Spécification des besoins</w:t>
            </w:r>
          </w:p>
        </w:tc>
      </w:tr>
      <w:tr>
        <w:tc>
          <w:tcPr>
            <w:tcW w:type="dxa" w:w="14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r>
              <w:rPr>
                <w:b w:val="false"/>
                <w:bCs w:val="false"/>
                <w:color w:val="1F3864"/>
                <w:sz w:val="18"/>
                <w:szCs w:val="18"/>
              </w:rPr>
              <w:t xml:space="preserve">2.3.1</w:t>
            </w:r>
          </w:p>
        </w:tc>
        <w:tc>
          <w:tcPr>
            <w:tcW w:type="dxa" w:w="12558"/>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r>
              <w:rPr>
                <w:b w:val="false"/>
                <w:bCs w:val="false"/>
                <w:sz w:val="18"/>
                <w:szCs w:val="18"/>
              </w:rPr>
              <w:t xml:space="preserve">Identification des acteurs</w:t>
            </w:r>
          </w:p>
        </w:tc>
      </w:tr>
      <w:tr>
        <w:tc>
          <w:tcPr>
            <w:tcW w:type="dxa" w:w="1400"/>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r>
              <w:rPr>
                <w:b w:val="false"/>
                <w:bCs w:val="false"/>
                <w:color w:val="1F3864"/>
                <w:sz w:val="18"/>
                <w:szCs w:val="18"/>
              </w:rPr>
              <w:t xml:space="preserve">2.3.2</w:t>
            </w:r>
          </w:p>
        </w:tc>
        <w:tc>
          <w:tcPr>
            <w:tcW w:type="dxa" w:w="12558"/>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r>
              <w:rPr>
                <w:b w:val="false"/>
                <w:bCs w:val="false"/>
                <w:sz w:val="18"/>
                <w:szCs w:val="18"/>
              </w:rPr>
              <w:t xml:space="preserve">Besoins fonctionnels</w:t>
            </w:r>
          </w:p>
        </w:tc>
      </w:tr>
      <w:tr>
        <w:tc>
          <w:tcPr>
            <w:tcW w:type="dxa" w:w="14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r>
              <w:rPr>
                <w:b w:val="false"/>
                <w:bCs w:val="false"/>
                <w:color w:val="1F3864"/>
                <w:sz w:val="18"/>
                <w:szCs w:val="18"/>
              </w:rPr>
              <w:t xml:space="preserve">2.3.3</w:t>
            </w:r>
          </w:p>
        </w:tc>
        <w:tc>
          <w:tcPr>
            <w:tcW w:type="dxa" w:w="12558"/>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r>
              <w:rPr>
                <w:b w:val="false"/>
                <w:bCs w:val="false"/>
                <w:sz w:val="18"/>
                <w:szCs w:val="18"/>
              </w:rPr>
              <w:t xml:space="preserve">Besoins non fonctionnels (avec Tableau 2.2 — Catégorie · Seuil cible · Mécanisme)</w:t>
            </w:r>
          </w:p>
        </w:tc>
      </w:tr>
      <w:tr>
        <w:tc>
          <w:tcPr>
            <w:tcW w:type="dxa" w:w="1400"/>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r>
              <w:rPr>
                <w:b w:val="false"/>
                <w:bCs w:val="false"/>
                <w:color w:val="1F3864"/>
                <w:sz w:val="18"/>
                <w:szCs w:val="18"/>
              </w:rPr>
              <w:t xml:space="preserve">2.3.4</w:t>
            </w:r>
          </w:p>
        </w:tc>
        <w:tc>
          <w:tcPr>
            <w:tcW w:type="dxa" w:w="12558"/>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r>
              <w:rPr>
                <w:b w:val="false"/>
                <w:bCs w:val="false"/>
                <w:sz w:val="18"/>
                <w:szCs w:val="18"/>
              </w:rPr>
              <w:t xml:space="preserve">Diagramme de cas d'utilisation général</w:t>
            </w:r>
            <w:r>
              <w:rPr>
                <w:i/>
                <w:iCs/>
                <w:color w:val="BF8F00"/>
                <w:sz w:val="18"/>
                <w:szCs w:val="18"/>
              </w:rPr>
              <w:t xml:space="preserve">    [à rapatrier depuis l'actuel §8.3 / Fig 8.2]</w:t>
            </w:r>
          </w:p>
        </w:tc>
      </w:tr>
      <w:tr>
        <w:tc>
          <w:tcPr>
            <w:tcW w:type="dxa" w:w="14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r>
              <w:rPr>
                <w:b/>
                <w:bCs/>
                <w:color w:val="1F3864"/>
                <w:sz w:val="20"/>
                <w:szCs w:val="20"/>
              </w:rPr>
              <w:t xml:space="preserve">2.4</w:t>
            </w:r>
          </w:p>
        </w:tc>
        <w:tc>
          <w:tcPr>
            <w:tcW w:type="dxa" w:w="12558"/>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r>
              <w:rPr>
                <w:b/>
                <w:bCs/>
                <w:sz w:val="20"/>
                <w:szCs w:val="20"/>
              </w:rPr>
              <w:t xml:space="preserve">État de l'art des architectures d'IA générative</w:t>
            </w:r>
          </w:p>
        </w:tc>
      </w:tr>
      <w:tr>
        <w:tc>
          <w:tcPr>
            <w:tcW w:type="dxa" w:w="1400"/>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r>
              <w:rPr>
                <w:b w:val="false"/>
                <w:bCs w:val="false"/>
                <w:color w:val="1F3864"/>
                <w:sz w:val="18"/>
                <w:szCs w:val="18"/>
              </w:rPr>
              <w:t xml:space="preserve">2.4.1</w:t>
            </w:r>
          </w:p>
        </w:tc>
        <w:tc>
          <w:tcPr>
            <w:tcW w:type="dxa" w:w="12558"/>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r>
              <w:rPr>
                <w:b w:val="false"/>
                <w:bCs w:val="false"/>
                <w:sz w:val="18"/>
                <w:szCs w:val="18"/>
              </w:rPr>
              <w:t xml:space="preserve">Fondements technologiques de l'IA générative</w:t>
            </w:r>
          </w:p>
        </w:tc>
      </w:tr>
      <w:tr>
        <w:tc>
          <w:tcPr>
            <w:tcW w:type="dxa" w:w="14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r>
              <w:rPr>
                <w:b w:val="false"/>
                <w:bCs w:val="false"/>
                <w:color w:val="1F3864"/>
                <w:sz w:val="18"/>
                <w:szCs w:val="18"/>
              </w:rPr>
              <w:t xml:space="preserve">2.4.2</w:t>
            </w:r>
          </w:p>
        </w:tc>
        <w:tc>
          <w:tcPr>
            <w:tcW w:type="dxa" w:w="12558"/>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r>
              <w:rPr>
                <w:b w:val="false"/>
                <w:bCs w:val="false"/>
                <w:sz w:val="18"/>
                <w:szCs w:val="18"/>
              </w:rPr>
              <w:t xml:space="preserve">Machine Learning et Intelligence Artificielle</w:t>
            </w:r>
          </w:p>
        </w:tc>
      </w:tr>
      <w:tr>
        <w:tc>
          <w:tcPr>
            <w:tcW w:type="dxa" w:w="1400"/>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r>
              <w:rPr>
                <w:b w:val="false"/>
                <w:bCs w:val="false"/>
                <w:color w:val="1F3864"/>
                <w:sz w:val="18"/>
                <w:szCs w:val="18"/>
              </w:rPr>
              <w:t xml:space="preserve">2.4.3</w:t>
            </w:r>
          </w:p>
        </w:tc>
        <w:tc>
          <w:tcPr>
            <w:tcW w:type="dxa" w:w="12558"/>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r>
              <w:rPr>
                <w:b w:val="false"/>
                <w:bCs w:val="false"/>
                <w:sz w:val="18"/>
                <w:szCs w:val="18"/>
              </w:rPr>
              <w:t xml:space="preserve">Deep Learning</w:t>
            </w:r>
          </w:p>
        </w:tc>
      </w:tr>
      <w:tr>
        <w:tc>
          <w:tcPr>
            <w:tcW w:type="dxa" w:w="14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r>
              <w:rPr>
                <w:b w:val="false"/>
                <w:bCs w:val="false"/>
                <w:color w:val="1F3864"/>
                <w:sz w:val="18"/>
                <w:szCs w:val="18"/>
              </w:rPr>
              <w:t xml:space="preserve">2.4.4</w:t>
            </w:r>
          </w:p>
        </w:tc>
        <w:tc>
          <w:tcPr>
            <w:tcW w:type="dxa" w:w="12558"/>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r>
              <w:rPr>
                <w:b w:val="false"/>
                <w:bCs w:val="false"/>
                <w:sz w:val="18"/>
                <w:szCs w:val="18"/>
              </w:rPr>
              <w:t xml:space="preserve">Architecture Transformer</w:t>
            </w:r>
          </w:p>
        </w:tc>
      </w:tr>
      <w:tr>
        <w:tc>
          <w:tcPr>
            <w:tcW w:type="dxa" w:w="1400"/>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r>
              <w:rPr>
                <w:b w:val="false"/>
                <w:bCs w:val="false"/>
                <w:color w:val="1F3864"/>
                <w:sz w:val="18"/>
                <w:szCs w:val="18"/>
              </w:rPr>
              <w:t xml:space="preserve">2.4.5</w:t>
            </w:r>
          </w:p>
        </w:tc>
        <w:tc>
          <w:tcPr>
            <w:tcW w:type="dxa" w:w="12558"/>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r>
              <w:rPr>
                <w:b w:val="false"/>
                <w:bCs w:val="false"/>
                <w:sz w:val="18"/>
                <w:szCs w:val="18"/>
              </w:rPr>
              <w:t xml:space="preserve">Traitement Automatique du Langage Naturel (NLP)</w:t>
            </w:r>
          </w:p>
        </w:tc>
      </w:tr>
      <w:tr>
        <w:tc>
          <w:tcPr>
            <w:tcW w:type="dxa" w:w="14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r>
              <w:rPr>
                <w:b w:val="false"/>
                <w:bCs w:val="false"/>
                <w:color w:val="1F3864"/>
                <w:sz w:val="18"/>
                <w:szCs w:val="18"/>
              </w:rPr>
              <w:t xml:space="preserve">2.4.6</w:t>
            </w:r>
          </w:p>
        </w:tc>
        <w:tc>
          <w:tcPr>
            <w:tcW w:type="dxa" w:w="12558"/>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r>
              <w:rPr>
                <w:b w:val="false"/>
                <w:bCs w:val="false"/>
                <w:sz w:val="18"/>
                <w:szCs w:val="18"/>
              </w:rPr>
              <w:t xml:space="preserve">Modèles de Langage de Grande Taille</w:t>
            </w:r>
          </w:p>
        </w:tc>
      </w:tr>
      <w:tr>
        <w:tc>
          <w:tcPr>
            <w:tcW w:type="dxa" w:w="1400"/>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r>
              <w:rPr>
                <w:b w:val="false"/>
                <w:bCs w:val="false"/>
                <w:color w:val="1F3864"/>
                <w:sz w:val="18"/>
                <w:szCs w:val="18"/>
              </w:rPr>
              <w:t xml:space="preserve">2.4.7</w:t>
            </w:r>
          </w:p>
        </w:tc>
        <w:tc>
          <w:tcPr>
            <w:tcW w:type="dxa" w:w="12558"/>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r>
              <w:rPr>
                <w:b w:val="false"/>
                <w:bCs w:val="false"/>
                <w:sz w:val="18"/>
                <w:szCs w:val="18"/>
              </w:rPr>
              <w:t xml:space="preserve">Architecture de RAG (Retrieval-Augmented Generation)</w:t>
            </w:r>
          </w:p>
        </w:tc>
      </w:tr>
      <w:tr>
        <w:tc>
          <w:tcPr>
            <w:tcW w:type="dxa" w:w="14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r>
              <w:rPr>
                <w:b w:val="false"/>
                <w:bCs w:val="false"/>
                <w:color w:val="1F3864"/>
                <w:sz w:val="18"/>
                <w:szCs w:val="18"/>
              </w:rPr>
              <w:t xml:space="preserve">2.4.8</w:t>
            </w:r>
          </w:p>
        </w:tc>
        <w:tc>
          <w:tcPr>
            <w:tcW w:type="dxa" w:w="12558"/>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r>
              <w:rPr>
                <w:b w:val="false"/>
                <w:bCs w:val="false"/>
                <w:sz w:val="18"/>
                <w:szCs w:val="18"/>
              </w:rPr>
              <w:t xml:space="preserve">Architecture de CAG (Cache-Augmented Generation)</w:t>
            </w:r>
          </w:p>
        </w:tc>
      </w:tr>
      <w:tr>
        <w:tc>
          <w:tcPr>
            <w:tcW w:type="dxa" w:w="1400"/>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r>
              <w:rPr>
                <w:b w:val="false"/>
                <w:bCs w:val="false"/>
                <w:color w:val="1F3864"/>
                <w:sz w:val="18"/>
                <w:szCs w:val="18"/>
              </w:rPr>
              <w:t xml:space="preserve">2.4.9</w:t>
            </w:r>
          </w:p>
        </w:tc>
        <w:tc>
          <w:tcPr>
            <w:tcW w:type="dxa" w:w="12558"/>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r>
              <w:rPr>
                <w:b w:val="false"/>
                <w:bCs w:val="false"/>
                <w:sz w:val="18"/>
                <w:szCs w:val="18"/>
              </w:rPr>
              <w:t xml:space="preserve">Architecture de Fine-Tuning</w:t>
            </w:r>
          </w:p>
        </w:tc>
      </w:tr>
      <w:tr>
        <w:tc>
          <w:tcPr>
            <w:tcW w:type="dxa" w:w="14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r>
              <w:rPr>
                <w:b w:val="false"/>
                <w:bCs w:val="false"/>
                <w:color w:val="1F3864"/>
                <w:sz w:val="18"/>
                <w:szCs w:val="18"/>
              </w:rPr>
              <w:t xml:space="preserve">2.4.10</w:t>
            </w:r>
          </w:p>
        </w:tc>
        <w:tc>
          <w:tcPr>
            <w:tcW w:type="dxa" w:w="12558"/>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r>
              <w:rPr>
                <w:b w:val="false"/>
                <w:bCs w:val="false"/>
                <w:sz w:val="18"/>
                <w:szCs w:val="18"/>
              </w:rPr>
              <w:t xml:space="preserve">Comparaison des approches Fine-Tuning, RAG et CAG  (Tab. 3.1 actuel → Tab. 2.3)</w:t>
            </w:r>
          </w:p>
        </w:tc>
      </w:tr>
      <w:tr>
        <w:tc>
          <w:tcPr>
            <w:tcW w:type="dxa" w:w="1400"/>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r>
              <w:rPr>
                <w:b/>
                <w:bCs/>
                <w:color w:val="1F3864"/>
                <w:sz w:val="20"/>
                <w:szCs w:val="20"/>
              </w:rPr>
              <w:t xml:space="preserve">2.5</w:t>
            </w:r>
          </w:p>
        </w:tc>
        <w:tc>
          <w:tcPr>
            <w:tcW w:type="dxa" w:w="12558"/>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r>
              <w:rPr>
                <w:b/>
                <w:bCs/>
                <w:sz w:val="20"/>
                <w:szCs w:val="20"/>
              </w:rPr>
              <w:t xml:space="preserve">Choix du RAG pour ce projet</w:t>
            </w:r>
          </w:p>
        </w:tc>
      </w:tr>
      <w:tr>
        <w:tc>
          <w:tcPr>
            <w:tcW w:type="dxa" w:w="14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r>
              <w:rPr>
                <w:b/>
                <w:bCs/>
                <w:color w:val="1F3864"/>
                <w:sz w:val="20"/>
                <w:szCs w:val="20"/>
              </w:rPr>
              <w:t xml:space="preserve">2.6</w:t>
            </w:r>
          </w:p>
        </w:tc>
        <w:tc>
          <w:tcPr>
            <w:tcW w:type="dxa" w:w="12558"/>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r>
              <w:rPr>
                <w:b/>
                <w:bCs/>
                <w:sz w:val="20"/>
                <w:szCs w:val="20"/>
              </w:rPr>
              <w:t xml:space="preserve">Gestion de projet avec la méthode CRISP-DM</w:t>
            </w:r>
          </w:p>
        </w:tc>
      </w:tr>
      <w:tr>
        <w:tc>
          <w:tcPr>
            <w:tcW w:type="dxa" w:w="1400"/>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r>
              <w:rPr>
                <w:b/>
                <w:bCs/>
                <w:color w:val="1F3864"/>
                <w:sz w:val="20"/>
                <w:szCs w:val="20"/>
              </w:rPr>
              <w:t xml:space="preserve">2.7</w:t>
            </w:r>
          </w:p>
        </w:tc>
        <w:tc>
          <w:tcPr>
            <w:tcW w:type="dxa" w:w="12558"/>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r>
              <w:rPr>
                <w:b/>
                <w:bCs/>
                <w:sz w:val="20"/>
                <w:szCs w:val="20"/>
              </w:rPr>
              <w:t xml:space="preserve">Diagramme de Gantt</w:t>
            </w:r>
          </w:p>
        </w:tc>
      </w:tr>
      <w:tr>
        <w:tc>
          <w:tcPr>
            <w:tcW w:type="dxa" w:w="14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r>
              <w:rPr>
                <w:b/>
                <w:bCs/>
                <w:color w:val="595959"/>
                <w:sz w:val="20"/>
                <w:szCs w:val="20"/>
              </w:rPr>
              <w:t xml:space="preserve"/>
            </w:r>
          </w:p>
        </w:tc>
        <w:tc>
          <w:tcPr>
            <w:tcW w:type="dxa" w:w="12558"/>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r>
              <w:rPr>
                <w:b/>
                <w:bCs/>
                <w:color w:val="595959"/>
                <w:sz w:val="20"/>
                <w:szCs w:val="20"/>
              </w:rPr>
              <w:t xml:space="preserve">Conclusion</w:t>
            </w:r>
          </w:p>
        </w:tc>
      </w:tr>
    </w:tbl>
    <w:p>
      <w:pPr>
        <w:spacing w:after="80" w:before="160"/>
      </w:pPr>
      <w:r>
        <w:rPr>
          <w:b/>
          <w:bCs/>
          <w:color w:val="1F3864"/>
          <w:sz w:val="22"/>
          <w:szCs w:val="22"/>
        </w:rPr>
        <w:t xml:space="preserve">Petite note de portée</w:t>
      </w:r>
    </w:p>
    <w:p>
      <w:pPr>
        <w:spacing w:after="80"/>
        <w:jc w:val="both"/>
      </w:pPr>
      <w:r>
        <w:rPr>
          <w:sz w:val="22"/>
          <w:szCs w:val="22"/>
        </w:rPr>
        <w:t xml:space="preserve">Le §1.3 « Méthodologie de développement » du chapitre 1 actuel (qui présente CRISP-DM, TDSP, KDD, Scrum et justifie le choix de CRISP-DM) reste au chapitre 1. Le §2.6 du chapitre fusionné ne refait pas cette comparaison : il décline simplement les six phases CRISP-DM appliquées au projet et leurs livrables, comme dans la v2 actuelle. Cette distinction évite tout doublon entre le ch.1 et le nouveau ch.2.</w:t>
      </w:r>
    </w:p>
    <w:p>
      <w:r>
        <w:br w:type="page"/>
      </w:r>
    </w:p>
    <w:p>
      <w:pPr>
        <w:pStyle w:val="Heading1"/>
      </w:pPr>
      <w:r>
        <w:t xml:space="preserve">C. Implications de renumérotation et propagation</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3200"/>
        <w:gridCol w:w="10758"/>
      </w:tblGrid>
      <w:tr>
        <w:trPr>
          <w:tblHeader/>
        </w:trPr>
        <w:tc>
          <w:tcPr>
            <w:tcW w:type="dxa" w:w="3200"/>
            <w:tcBorders>
              <w:top w:val="single" w:color="C9C9C9" w:sz="1"/>
              <w:left w:val="single" w:color="C9C9C9" w:sz="1"/>
              <w:bottom w:val="single" w:color="C9C9C9" w:sz="1"/>
              <w:right w:val="single" w:color="C9C9C9" w:sz="1"/>
            </w:tcBorders>
            <w:shd w:fill="1F3864" w:val="clear"/>
            <w:tcMar>
              <w:top w:type="dxa" w:w="60"/>
              <w:left w:type="dxa" w:w="110"/>
              <w:bottom w:type="dxa" w:w="60"/>
              <w:right w:type="dxa" w:w="110"/>
            </w:tcMar>
            <w:vAlign w:val="top"/>
          </w:tcPr>
          <w:p>
            <w:r>
              <w:rPr>
                <w:b/>
                <w:bCs/>
                <w:color w:val="FFFFFF"/>
                <w:sz w:val="18"/>
                <w:szCs w:val="18"/>
              </w:rPr>
              <w:t xml:space="preserve">Numérotation cible</w:t>
            </w:r>
          </w:p>
        </w:tc>
        <w:tc>
          <w:tcPr>
            <w:tcW w:type="dxa" w:w="10758"/>
            <w:tcBorders>
              <w:top w:val="single" w:color="C9C9C9" w:sz="1"/>
              <w:left w:val="single" w:color="C9C9C9" w:sz="1"/>
              <w:bottom w:val="single" w:color="C9C9C9" w:sz="1"/>
              <w:right w:val="single" w:color="C9C9C9" w:sz="1"/>
            </w:tcBorders>
            <w:shd w:fill="1F3864" w:val="clear"/>
            <w:tcMar>
              <w:top w:type="dxa" w:w="60"/>
              <w:left w:type="dxa" w:w="110"/>
              <w:bottom w:type="dxa" w:w="60"/>
              <w:right w:type="dxa" w:w="110"/>
            </w:tcMar>
            <w:vAlign w:val="top"/>
          </w:tcPr>
          <w:p>
            <w:r>
              <w:rPr>
                <w:b/>
                <w:bCs/>
                <w:color w:val="FFFFFF"/>
                <w:sz w:val="18"/>
                <w:szCs w:val="18"/>
              </w:rPr>
              <w:t xml:space="preserve">Action / contenu</w:t>
            </w:r>
          </w:p>
        </w:tc>
      </w:tr>
      <w:tr>
        <w:tc>
          <w:tcPr>
            <w:tcW w:type="dxa" w:w="32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r>
              <w:rPr>
                <w:b/>
                <w:bCs/>
                <w:color w:val="1F3864"/>
                <w:sz w:val="20"/>
                <w:szCs w:val="20"/>
              </w:rPr>
              <w:t xml:space="preserve">Ch.1</w:t>
            </w:r>
          </w:p>
        </w:tc>
        <w:tc>
          <w:tcPr>
            <w:tcW w:type="dxa" w:w="10758"/>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r>
              <w:rPr>
                <w:sz w:val="20"/>
                <w:szCs w:val="20"/>
              </w:rPr>
              <w:t xml:space="preserve">Inchangé — Cadre général du projet</w:t>
            </w:r>
          </w:p>
        </w:tc>
      </w:tr>
      <w:tr>
        <w:tc>
          <w:tcPr>
            <w:tcW w:type="dxa" w:w="3200"/>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r>
              <w:rPr>
                <w:b/>
                <w:bCs/>
                <w:color w:val="1F3864"/>
                <w:sz w:val="20"/>
                <w:szCs w:val="20"/>
              </w:rPr>
              <w:t xml:space="preserve">Ch.2</w:t>
            </w:r>
          </w:p>
        </w:tc>
        <w:tc>
          <w:tcPr>
            <w:tcW w:type="dxa" w:w="10758"/>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r>
              <w:rPr>
                <w:sz w:val="20"/>
                <w:szCs w:val="20"/>
              </w:rPr>
              <w:t xml:space="preserve">Fusion ch.2 + ch.3 → « Compréhension métier et spécification des besoins » (cf. §B)</w:t>
            </w:r>
          </w:p>
        </w:tc>
      </w:tr>
      <w:tr>
        <w:tc>
          <w:tcPr>
            <w:tcW w:type="dxa" w:w="32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r>
              <w:rPr>
                <w:b/>
                <w:bCs/>
                <w:color w:val="1F3864"/>
                <w:sz w:val="20"/>
                <w:szCs w:val="20"/>
              </w:rPr>
              <w:t xml:space="preserve">Ch.3 (était ch.4)</w:t>
            </w:r>
          </w:p>
        </w:tc>
        <w:tc>
          <w:tcPr>
            <w:tcW w:type="dxa" w:w="10758"/>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r>
              <w:rPr>
                <w:sz w:val="20"/>
                <w:szCs w:val="20"/>
              </w:rPr>
              <w:t xml:space="preserve">Compréhension des données — pas de modification de contenu, simple renumérotation</w:t>
            </w:r>
          </w:p>
        </w:tc>
      </w:tr>
      <w:tr>
        <w:tc>
          <w:tcPr>
            <w:tcW w:type="dxa" w:w="3200"/>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r>
              <w:rPr>
                <w:b/>
                <w:bCs/>
                <w:color w:val="1F3864"/>
                <w:sz w:val="20"/>
                <w:szCs w:val="20"/>
              </w:rPr>
              <w:t xml:space="preserve">Ch.4 (était ch.5)</w:t>
            </w:r>
          </w:p>
        </w:tc>
        <w:tc>
          <w:tcPr>
            <w:tcW w:type="dxa" w:w="10758"/>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r>
              <w:rPr>
                <w:sz w:val="20"/>
                <w:szCs w:val="20"/>
              </w:rPr>
              <w:t xml:space="preserve">Préparation des données</w:t>
            </w:r>
          </w:p>
        </w:tc>
      </w:tr>
      <w:tr>
        <w:tc>
          <w:tcPr>
            <w:tcW w:type="dxa" w:w="32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r>
              <w:rPr>
                <w:b/>
                <w:bCs/>
                <w:color w:val="1F3864"/>
                <w:sz w:val="20"/>
                <w:szCs w:val="20"/>
              </w:rPr>
              <w:t xml:space="preserve">Ch.5 (était ch.6)</w:t>
            </w:r>
          </w:p>
        </w:tc>
        <w:tc>
          <w:tcPr>
            <w:tcW w:type="dxa" w:w="10758"/>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r>
              <w:rPr>
                <w:sz w:val="20"/>
                <w:szCs w:val="20"/>
              </w:rPr>
              <w:t xml:space="preserve">Modeling</w:t>
            </w:r>
          </w:p>
        </w:tc>
      </w:tr>
      <w:tr>
        <w:tc>
          <w:tcPr>
            <w:tcW w:type="dxa" w:w="3200"/>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r>
              <w:rPr>
                <w:b/>
                <w:bCs/>
                <w:color w:val="1F3864"/>
                <w:sz w:val="20"/>
                <w:szCs w:val="20"/>
              </w:rPr>
              <w:t xml:space="preserve">Ch.6 (était ch.7)</w:t>
            </w:r>
          </w:p>
        </w:tc>
        <w:tc>
          <w:tcPr>
            <w:tcW w:type="dxa" w:w="10758"/>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r>
              <w:rPr>
                <w:sz w:val="20"/>
                <w:szCs w:val="20"/>
              </w:rPr>
              <w:t xml:space="preserve">Évaluation</w:t>
            </w:r>
          </w:p>
        </w:tc>
      </w:tr>
      <w:tr>
        <w:tc>
          <w:tcPr>
            <w:tcW w:type="dxa" w:w="32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r>
              <w:rPr>
                <w:b/>
                <w:bCs/>
                <w:color w:val="1F3864"/>
                <w:sz w:val="20"/>
                <w:szCs w:val="20"/>
              </w:rPr>
              <w:t xml:space="preserve">Ch.7 (était ch.8)</w:t>
            </w:r>
          </w:p>
        </w:tc>
        <w:tc>
          <w:tcPr>
            <w:tcW w:type="dxa" w:w="10758"/>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r>
              <w:rPr>
                <w:sz w:val="20"/>
                <w:szCs w:val="20"/>
              </w:rPr>
              <w:t xml:space="preserve">Déploiement — supprimer la section §8.3 actuelle « Diagramme de cas d'utilisation général » et la « 8.3.1 Technologies utilisées » devient une section autonome (§7.3 « Technologies utilisées » du nouveau plan)</w:t>
            </w:r>
          </w:p>
        </w:tc>
      </w:tr>
    </w:tbl>
    <w:p>
      <w:pPr>
        <w:spacing w:after="80" w:before="140"/>
      </w:pPr>
      <w:r>
        <w:rPr>
          <w:b/>
          <w:bCs/>
          <w:color w:val="1F3864"/>
          <w:sz w:val="22"/>
          <w:szCs w:val="22"/>
        </w:rPr>
        <w:t xml:space="preserve">Propagation</w:t>
      </w:r>
    </w:p>
    <w:p>
      <w:pPr>
        <w:spacing w:after="90"/>
        <w:jc w:val="both"/>
      </w:pPr>
      <w:r>
        <w:rPr>
          <w:sz w:val="21"/>
          <w:szCs w:val="21"/>
        </w:rPr>
        <w:t xml:space="preserve">Les références croisées du rapport (renvois \ref / \cref) sont à recompiler. Les numéros de figures et tableaux ne changent pas dans le contenu de chaque chapitre, mais leur prefixe (3.x → 2.x) change pour ce qui était au ch.3. Toutes les figures et tableaux actuellement en 3.x deviennent en 2.x (dans la nouvelle numérotation) ou en 2.4.x si on choisit le préfixe par section.</w:t>
      </w:r>
    </w:p>
    <w:p>
      <w:pPr>
        <w:spacing w:after="90"/>
        <w:jc w:val="both"/>
      </w:pPr>
      <w:r>
        <w:rPr>
          <w:sz w:val="21"/>
          <w:szCs w:val="21"/>
        </w:rPr>
        <w:t xml:space="preserve">Les références au texte (« comme vu au chapitre 3… ») doivent être recherchées et corrigées — utiliser la fonction « rechercher dans le projet » de l'éditeur LaTeX sur les motifs « chapitre 3 », « chapter 3 », « ch. 3 », et « §3 ».</w:t>
      </w:r>
    </w:p>
    <w:p>
      <w:pPr>
        <w:spacing w:after="90"/>
        <w:jc w:val="both"/>
      </w:pPr>
      <w:r>
        <w:rPr>
          <w:sz w:val="21"/>
          <w:szCs w:val="21"/>
        </w:rPr>
        <w:t xml:space="preserve">La table des matières, la liste des figures et la liste des tableaux se régénèrent automatiquement à la compilation, mais vérifier qu'elles ont bien intégré la nouvelle numérotation (deux compilations successives pour LaTeX).</w:t>
      </w:r>
    </w:p>
    <w:p>
      <w:r>
        <w:br w:type="page"/>
      </w:r>
    </w:p>
    <w:p>
      <w:pPr>
        <w:pStyle w:val="Heading1"/>
      </w:pPr>
      <w:r>
        <w:t xml:space="preserve">D. Remarques ciblées sur les contenus actuels (à intégrer pendant la fusion)</w:t>
      </w:r>
    </w:p>
    <w:p>
      <w:pPr>
        <w:pStyle w:val="Heading2"/>
      </w:pPr>
      <w:r>
        <w:t xml:space="preserve">D.1 Chapitre 2 actuel (Planification et spécification des besoins)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820"/>
        <w:gridCol w:w="1700"/>
        <w:gridCol w:w="1200"/>
        <w:gridCol w:w="760"/>
        <w:gridCol w:w="4739"/>
        <w:gridCol w:w="4739"/>
      </w:tblGrid>
      <w:tr>
        <w:trPr>
          <w:tblHeader/>
        </w:trPr>
        <w:tc>
          <w:tcPr>
            <w:tcW w:type="dxa" w:w="820"/>
            <w:tcBorders>
              <w:top w:val="single" w:color="C9C9C9" w:sz="1"/>
              <w:left w:val="single" w:color="C9C9C9" w:sz="1"/>
              <w:bottom w:val="single" w:color="C9C9C9" w:sz="1"/>
              <w:right w:val="single" w:color="C9C9C9" w:sz="1"/>
            </w:tcBorders>
            <w:shd w:fill="1F3864" w:val="clear"/>
            <w:tcMar>
              <w:top w:type="dxa" w:w="60"/>
              <w:left w:type="dxa" w:w="110"/>
              <w:bottom w:type="dxa" w:w="60"/>
              <w:right w:type="dxa" w:w="110"/>
            </w:tcMar>
            <w:vAlign w:val="top"/>
          </w:tcPr>
          <w:p>
            <w:r>
              <w:rPr>
                <w:b/>
                <w:bCs/>
                <w:color w:val="FFFFFF"/>
                <w:sz w:val="18"/>
                <w:szCs w:val="18"/>
              </w:rPr>
              <w:t xml:space="preserve">Page</w:t>
            </w:r>
          </w:p>
        </w:tc>
        <w:tc>
          <w:tcPr>
            <w:tcW w:type="dxa" w:w="1700"/>
            <w:tcBorders>
              <w:top w:val="single" w:color="C9C9C9" w:sz="1"/>
              <w:left w:val="single" w:color="C9C9C9" w:sz="1"/>
              <w:bottom w:val="single" w:color="C9C9C9" w:sz="1"/>
              <w:right w:val="single" w:color="C9C9C9" w:sz="1"/>
            </w:tcBorders>
            <w:shd w:fill="1F3864" w:val="clear"/>
            <w:tcMar>
              <w:top w:type="dxa" w:w="60"/>
              <w:left w:type="dxa" w:w="110"/>
              <w:bottom w:type="dxa" w:w="60"/>
              <w:right w:type="dxa" w:w="110"/>
            </w:tcMar>
            <w:vAlign w:val="top"/>
          </w:tcPr>
          <w:p>
            <w:r>
              <w:rPr>
                <w:b/>
                <w:bCs/>
                <w:color w:val="FFFFFF"/>
                <w:sz w:val="18"/>
                <w:szCs w:val="18"/>
              </w:rPr>
              <w:t xml:space="preserve">Section / Figure</w:t>
            </w:r>
          </w:p>
        </w:tc>
        <w:tc>
          <w:tcPr>
            <w:tcW w:type="dxa" w:w="1200"/>
            <w:tcBorders>
              <w:top w:val="single" w:color="C9C9C9" w:sz="1"/>
              <w:left w:val="single" w:color="C9C9C9" w:sz="1"/>
              <w:bottom w:val="single" w:color="C9C9C9" w:sz="1"/>
              <w:right w:val="single" w:color="C9C9C9" w:sz="1"/>
            </w:tcBorders>
            <w:shd w:fill="1F3864" w:val="clear"/>
            <w:tcMar>
              <w:top w:type="dxa" w:w="60"/>
              <w:left w:type="dxa" w:w="110"/>
              <w:bottom w:type="dxa" w:w="60"/>
              <w:right w:type="dxa" w:w="110"/>
            </w:tcMar>
            <w:vAlign w:val="top"/>
          </w:tcPr>
          <w:p>
            <w:r>
              <w:rPr>
                <w:b/>
                <w:bCs/>
                <w:color w:val="FFFFFF"/>
                <w:sz w:val="18"/>
                <w:szCs w:val="18"/>
              </w:rPr>
              <w:t xml:space="preserve">Type</w:t>
            </w:r>
          </w:p>
        </w:tc>
        <w:tc>
          <w:tcPr>
            <w:tcW w:type="dxa" w:w="760"/>
            <w:tcBorders>
              <w:top w:val="single" w:color="C9C9C9" w:sz="1"/>
              <w:left w:val="single" w:color="C9C9C9" w:sz="1"/>
              <w:bottom w:val="single" w:color="C9C9C9" w:sz="1"/>
              <w:right w:val="single" w:color="C9C9C9" w:sz="1"/>
            </w:tcBorders>
            <w:shd w:fill="1F3864" w:val="clear"/>
            <w:tcMar>
              <w:top w:type="dxa" w:w="60"/>
              <w:left w:type="dxa" w:w="110"/>
              <w:bottom w:type="dxa" w:w="60"/>
              <w:right w:type="dxa" w:w="110"/>
            </w:tcMar>
            <w:vAlign w:val="top"/>
          </w:tcPr>
          <w:p>
            <w:r>
              <w:rPr>
                <w:b/>
                <w:bCs/>
                <w:color w:val="FFFFFF"/>
                <w:sz w:val="18"/>
                <w:szCs w:val="18"/>
              </w:rPr>
              <w:t xml:space="preserve">Prio.</w:t>
            </w:r>
          </w:p>
        </w:tc>
        <w:tc>
          <w:tcPr>
            <w:tcW w:type="dxa" w:w="4739"/>
            <w:tcBorders>
              <w:top w:val="single" w:color="C9C9C9" w:sz="1"/>
              <w:left w:val="single" w:color="C9C9C9" w:sz="1"/>
              <w:bottom w:val="single" w:color="C9C9C9" w:sz="1"/>
              <w:right w:val="single" w:color="C9C9C9" w:sz="1"/>
            </w:tcBorders>
            <w:shd w:fill="1F3864" w:val="clear"/>
            <w:tcMar>
              <w:top w:type="dxa" w:w="60"/>
              <w:left w:type="dxa" w:w="110"/>
              <w:bottom w:type="dxa" w:w="60"/>
              <w:right w:type="dxa" w:w="110"/>
            </w:tcMar>
            <w:vAlign w:val="top"/>
          </w:tcPr>
          <w:p>
            <w:r>
              <w:rPr>
                <w:b/>
                <w:bCs/>
                <w:color w:val="FFFFFF"/>
                <w:sz w:val="18"/>
                <w:szCs w:val="18"/>
              </w:rPr>
              <w:t xml:space="preserve">Constat</w:t>
            </w:r>
          </w:p>
        </w:tc>
        <w:tc>
          <w:tcPr>
            <w:tcW w:type="dxa" w:w="4739"/>
            <w:tcBorders>
              <w:top w:val="single" w:color="C9C9C9" w:sz="1"/>
              <w:left w:val="single" w:color="C9C9C9" w:sz="1"/>
              <w:bottom w:val="single" w:color="C9C9C9" w:sz="1"/>
              <w:right w:val="single" w:color="C9C9C9" w:sz="1"/>
            </w:tcBorders>
            <w:shd w:fill="1F3864" w:val="clear"/>
            <w:tcMar>
              <w:top w:type="dxa" w:w="60"/>
              <w:left w:type="dxa" w:w="110"/>
              <w:bottom w:type="dxa" w:w="60"/>
              <w:right w:type="dxa" w:w="110"/>
            </w:tcMar>
            <w:vAlign w:val="top"/>
          </w:tcPr>
          <w:p>
            <w:r>
              <w:rPr>
                <w:b/>
                <w:bCs/>
                <w:color w:val="FFFFFF"/>
                <w:sz w:val="18"/>
                <w:szCs w:val="18"/>
              </w:rPr>
              <w:t xml:space="preserve">Correction proposée</w:t>
            </w:r>
          </w:p>
        </w:tc>
      </w:tr>
      <w:tr>
        <w:tc>
          <w:tcPr>
            <w:tcW w:type="dxa" w:w="82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r>
              <w:rPr>
                <w:b/>
                <w:bCs/>
                <w:sz w:val="18"/>
                <w:szCs w:val="18"/>
              </w:rPr>
              <w:t xml:space="preserve">34</w:t>
            </w:r>
          </w:p>
        </w:tc>
        <w:tc>
          <w:tcPr>
            <w:tcW w:type="dxa" w:w="17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r>
              <w:rPr>
                <w:sz w:val="18"/>
                <w:szCs w:val="18"/>
              </w:rPr>
              <w:t xml:space="preserve">§2.1 Vision — « Signaler les anomalies »</w:t>
            </w:r>
          </w:p>
        </w:tc>
        <w:tc>
          <w:tcPr>
            <w:tcW w:type="dxa" w:w="12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r>
              <w:rPr>
                <w:b/>
                <w:bCs/>
                <w:color w:val="1F3864"/>
                <w:sz w:val="18"/>
                <w:szCs w:val="18"/>
              </w:rPr>
              <w:t xml:space="preserve">COHÉRENCE</w:t>
            </w:r>
          </w:p>
        </w:tc>
        <w:tc>
          <w:tcPr>
            <w:tcW w:type="dxa" w:w="76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pPr>
              <w:jc w:val="center"/>
            </w:pPr>
            <w:r>
              <w:rPr>
                <w:b/>
                <w:bCs/>
                <w:color w:val="C00000"/>
                <w:sz w:val="18"/>
                <w:szCs w:val="18"/>
              </w:rPr>
              <w:t xml:space="preserve">P1</w:t>
            </w:r>
          </w:p>
        </w:tc>
        <w:tc>
          <w:tcPr>
            <w:tcW w:type="dxa" w:w="4739"/>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pPr>
              <w:spacing w:after="0"/>
            </w:pPr>
            <w:r>
              <w:rPr>
                <w:sz w:val="18"/>
                <w:szCs w:val="18"/>
              </w:rPr>
              <w:t xml:space="preserve">« Signaler les anomalies et incidents en permettant à l'assistant de mettre en évidence les comportements inhabituels ou les erreurs récurrentes » : la fonctionnalité de détection / signalement automatique d'anomalies dans les données de monitoring n'est pas livrée. Le système répond à des questions sur la documentation et permet une navigation T-code → page de monitoring, mais il n'analyse pas les données pour en extraire des anomalies.</w:t>
            </w:r>
          </w:p>
        </w:tc>
        <w:tc>
          <w:tcPr>
            <w:tcW w:type="dxa" w:w="4739"/>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pPr>
              <w:spacing w:after="50"/>
            </w:pPr>
            <w:r>
              <w:rPr>
                <w:b/>
                <w:bCs/>
                <w:color w:val="2E75B6"/>
                <w:sz w:val="18"/>
                <w:szCs w:val="18"/>
              </w:rPr>
              <w:t xml:space="preserve">Avant : </w:t>
            </w:r>
            <w:r>
              <w:rPr>
                <w:i/>
                <w:iCs/>
                <w:sz w:val="18"/>
                <w:szCs w:val="18"/>
              </w:rPr>
              <w:t xml:space="preserve">« Signaler les anomalies et incidents en permettant à l'assistant de mettre en évidence les comportements inhabituels ou les erreurs récurrentes identifiées dans les données de monitoring. »</w:t>
            </w:r>
          </w:p>
          <w:p>
            <w:pPr>
              <w:spacing w:after="0"/>
            </w:pPr>
            <w:r>
              <w:rPr>
                <w:b/>
                <w:bCs/>
                <w:color w:val="2E75B6"/>
                <w:sz w:val="18"/>
                <w:szCs w:val="18"/>
              </w:rPr>
              <w:t xml:space="preserve">Après : </w:t>
            </w:r>
            <w:r>
              <w:rPr>
                <w:i/>
                <w:iCs/>
                <w:sz w:val="18"/>
                <w:szCs w:val="18"/>
              </w:rPr>
              <w:t xml:space="preserve">« Faciliter l'analyse des incidents en fournissant rapidement, à partir d'un T-code ou d'un message d'erreur, les sections de documentation et les notes SAP pertinentes pour leur résolution. »</w:t>
            </w:r>
          </w:p>
        </w:tc>
      </w:tr>
      <w:tr>
        <w:tc>
          <w:tcPr>
            <w:tcW w:type="dxa" w:w="820"/>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r>
              <w:rPr>
                <w:b/>
                <w:bCs/>
                <w:sz w:val="18"/>
                <w:szCs w:val="18"/>
              </w:rPr>
              <w:t xml:space="preserve">37</w:t>
            </w:r>
          </w:p>
        </w:tc>
        <w:tc>
          <w:tcPr>
            <w:tcW w:type="dxa" w:w="1700"/>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r>
              <w:rPr>
                <w:sz w:val="18"/>
                <w:szCs w:val="18"/>
              </w:rPr>
              <w:t xml:space="preserve">§2.2.2 Besoins fonctionnels — Administrateur</w:t>
            </w:r>
          </w:p>
        </w:tc>
        <w:tc>
          <w:tcPr>
            <w:tcW w:type="dxa" w:w="1200"/>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r>
              <w:rPr>
                <w:b/>
                <w:bCs/>
                <w:color w:val="1F3864"/>
                <w:sz w:val="18"/>
                <w:szCs w:val="18"/>
              </w:rPr>
              <w:t xml:space="preserve">COHÉRENCE</w:t>
            </w:r>
          </w:p>
        </w:tc>
        <w:tc>
          <w:tcPr>
            <w:tcW w:type="dxa" w:w="760"/>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pPr>
              <w:jc w:val="center"/>
            </w:pPr>
            <w:r>
              <w:rPr>
                <w:b/>
                <w:bCs/>
                <w:color w:val="548235"/>
                <w:sz w:val="18"/>
                <w:szCs w:val="18"/>
              </w:rPr>
              <w:t xml:space="preserve">P3</w:t>
            </w:r>
          </w:p>
        </w:tc>
        <w:tc>
          <w:tcPr>
            <w:tcW w:type="dxa" w:w="4739"/>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pPr>
              <w:spacing w:after="0"/>
            </w:pPr>
            <w:r>
              <w:rPr>
                <w:sz w:val="18"/>
                <w:szCs w:val="18"/>
              </w:rPr>
              <w:t xml:space="preserve">« Consulter et analyser les journaux d'activité du système SAP » : « analyser » sur-promet — le système affiche les journaux, l'analyse reste à la charge du consultant ou doit transiter par l'assistant. Reformuler pour clarifier ce que la plateforme produit elle-même.</w:t>
            </w:r>
          </w:p>
        </w:tc>
        <w:tc>
          <w:tcPr>
            <w:tcW w:type="dxa" w:w="4739"/>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r>
              <w:rPr>
                <w:sz w:val="18"/>
                <w:szCs w:val="18"/>
              </w:rPr>
              <w:t xml:space="preserve">« Consulter les journaux d'activité du système SAP et les soumettre à l'assistant intelligent pour interprétation. »</w:t>
            </w:r>
          </w:p>
        </w:tc>
      </w:tr>
      <w:tr>
        <w:tc>
          <w:tcPr>
            <w:tcW w:type="dxa" w:w="82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r>
              <w:rPr>
                <w:b/>
                <w:bCs/>
                <w:sz w:val="18"/>
                <w:szCs w:val="18"/>
              </w:rPr>
              <w:t xml:space="preserve">38</w:t>
            </w:r>
          </w:p>
        </w:tc>
        <w:tc>
          <w:tcPr>
            <w:tcW w:type="dxa" w:w="17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r>
              <w:rPr>
                <w:sz w:val="18"/>
                <w:szCs w:val="18"/>
              </w:rPr>
              <w:t xml:space="preserve">§2.2.3 Besoins non fonctionnels</w:t>
            </w:r>
          </w:p>
        </w:tc>
        <w:tc>
          <w:tcPr>
            <w:tcW w:type="dxa" w:w="12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r>
              <w:rPr>
                <w:b/>
                <w:bCs/>
                <w:color w:val="1F3864"/>
                <w:sz w:val="18"/>
                <w:szCs w:val="18"/>
              </w:rPr>
              <w:t xml:space="preserve">FOND</w:t>
            </w:r>
          </w:p>
        </w:tc>
        <w:tc>
          <w:tcPr>
            <w:tcW w:type="dxa" w:w="76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pPr>
              <w:jc w:val="center"/>
            </w:pPr>
            <w:r>
              <w:rPr>
                <w:b/>
                <w:bCs/>
                <w:color w:val="C00000"/>
                <w:sz w:val="18"/>
                <w:szCs w:val="18"/>
              </w:rPr>
              <w:t xml:space="preserve">P1</w:t>
            </w:r>
          </w:p>
        </w:tc>
        <w:tc>
          <w:tcPr>
            <w:tcW w:type="dxa" w:w="4739"/>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pPr>
              <w:spacing w:after="50"/>
            </w:pPr>
            <w:r>
              <w:rPr>
                <w:sz w:val="18"/>
                <w:szCs w:val="18"/>
              </w:rPr>
              <w:t xml:space="preserve">Régression sévère par rapport à une version antérieure : les quatre sections « Performance / Fiabilité / Confidentialité / Scalabilité » sont désormais entièrement en prose générique, sans aucun seuil chiffré, sans mécanisme.</w:t>
            </w:r>
          </w:p>
          <w:p>
            <w:pPr>
              <w:spacing w:after="50"/>
            </w:pPr>
            <w:r>
              <w:rPr>
                <w:sz w:val="18"/>
                <w:szCs w:val="18"/>
              </w:rPr>
              <w:t xml:space="preserve">Exemple : « Performance — Le système doit fournir des réponses dans un délai raisonnable afin d'assurer une expérience utilisateur fluide et efficace. » Aucun nombre, aucune condition mesurable.</w:t>
            </w:r>
          </w:p>
          <w:p>
            <w:pPr>
              <w:spacing w:after="0"/>
            </w:pPr>
            <w:r>
              <w:rPr>
                <w:sz w:val="18"/>
                <w:szCs w:val="18"/>
              </w:rPr>
              <w:t xml:space="preserve">Pour CRISP-DM phase 1, ces NFR sont la matérialisation des « Business Success Criteria » : ils doivent être chiffrés et vérifiables, et ils doivent être confrontés aux résultats du ch.7.</w:t>
            </w:r>
          </w:p>
        </w:tc>
        <w:tc>
          <w:tcPr>
            <w:tcW w:type="dxa" w:w="4739"/>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pPr>
              <w:spacing w:after="50"/>
            </w:pPr>
            <w:r>
              <w:rPr>
                <w:b/>
                <w:bCs/>
                <w:color w:val="2E75B6"/>
                <w:sz w:val="18"/>
                <w:szCs w:val="18"/>
              </w:rPr>
              <w:t xml:space="preserve">À faire : </w:t>
            </w:r>
            <w:r>
              <w:rPr>
                <w:i w:val="false"/>
                <w:iCs w:val="false"/>
                <w:sz w:val="18"/>
                <w:szCs w:val="18"/>
              </w:rPr>
              <w:t xml:space="preserve">restaurer la version quantifiée des NFR (très probablement présente dans une version antérieure du fichier LaTeX), avec un tableau de synthèse final. Modèle attendu :</w:t>
            </w:r>
          </w:p>
          <w:p>
            <w:pPr>
              <w:spacing w:after="50"/>
            </w:pPr>
            <w:r>
              <w:rPr>
                <w:b/>
                <w:bCs/>
                <w:color w:val="2E75B6"/>
                <w:sz w:val="18"/>
                <w:szCs w:val="18"/>
              </w:rPr>
              <w:t xml:space="preserve">Performance — </w:t>
            </w:r>
            <w:r>
              <w:rPr>
                <w:i/>
                <w:iCs/>
                <w:sz w:val="18"/>
                <w:szCs w:val="18"/>
              </w:rPr>
              <w:t xml:space="preserve">« Le pipeline complet (retrieval + génération) doit retourner une réponse en moins de 5 secondes pour 95 % des requêtes. Ce seuil justifie le choix de l'index HNSW (recherche en O(log n)) et le déploiement local du LLM via Ollama. »</w:t>
            </w:r>
          </w:p>
          <w:p>
            <w:pPr>
              <w:spacing w:after="50"/>
            </w:pPr>
            <w:r>
              <w:rPr>
                <w:b/>
                <w:bCs/>
                <w:color w:val="2E75B6"/>
                <w:sz w:val="18"/>
                <w:szCs w:val="18"/>
              </w:rPr>
              <w:t xml:space="preserve">Fiabilité — </w:t>
            </w:r>
            <w:r>
              <w:rPr>
                <w:i/>
                <w:iCs/>
                <w:sz w:val="18"/>
                <w:szCs w:val="18"/>
              </w:rPr>
              <w:t xml:space="preserve">« Le taux d'hallucination doit rester inférieur à 5 %, garanti par une validation déterministe par règles : les T-codes SAP et numéros de notes mentionnés dans la réponse sont comparés par expressions régulières à ceux présents dans les chunks récupérés ; toute entité non ancrée est supprimée avant renvoi. »</w:t>
            </w:r>
          </w:p>
          <w:p>
            <w:pPr>
              <w:spacing w:after="50"/>
            </w:pPr>
            <w:r>
              <w:rPr>
                <w:b/>
                <w:bCs/>
                <w:color w:val="2E75B6"/>
                <w:sz w:val="18"/>
                <w:szCs w:val="18"/>
              </w:rPr>
              <w:t xml:space="preserve">Confidentialité — </w:t>
            </w:r>
            <w:r>
              <w:rPr>
                <w:i/>
                <w:iCs/>
                <w:sz w:val="18"/>
                <w:szCs w:val="18"/>
              </w:rPr>
              <w:t xml:space="preserve">« L'intégralité du pipeline tourne en local — LLM via Ollama, base vectorielle via pgvector. Aucune donnée SAP n'est transmise à des APIs cloud externes. »</w:t>
            </w:r>
          </w:p>
          <w:p>
            <w:pPr>
              <w:spacing w:after="50"/>
            </w:pPr>
            <w:r>
              <w:rPr>
                <w:b/>
                <w:bCs/>
                <w:color w:val="2E75B6"/>
                <w:sz w:val="18"/>
                <w:szCs w:val="18"/>
              </w:rPr>
              <w:t xml:space="preserve">Scalabilité — </w:t>
            </w:r>
            <w:r>
              <w:rPr>
                <w:i/>
                <w:iCs/>
                <w:sz w:val="18"/>
                <w:szCs w:val="18"/>
              </w:rPr>
              <w:t xml:space="preserve">« L'index HNSW supporte l'insertion incrémentale sans reconstruction, ce qui permet d'ajouter de nouvelles SAP Notes ou de nouveaux modules sans réindexer l'intégralité du corpus. »</w:t>
            </w:r>
          </w:p>
          <w:p>
            <w:pPr>
              <w:spacing w:after="0"/>
            </w:pPr>
            <w:r>
              <w:rPr>
                <w:b/>
                <w:bCs/>
                <w:color w:val="2E75B6"/>
                <w:sz w:val="18"/>
                <w:szCs w:val="18"/>
              </w:rPr>
              <w:t xml:space="preserve">Et : </w:t>
            </w:r>
            <w:r>
              <w:rPr>
                <w:i w:val="false"/>
                <w:iCs w:val="false"/>
                <w:sz w:val="18"/>
                <w:szCs w:val="18"/>
              </w:rPr>
              <w:t xml:space="preserve">ajouter un Tableau 2.2 de synthèse (Catégorie · Seuil cible · Mécanisme) — cf. recommandation au §D du retour v2.</w:t>
            </w:r>
          </w:p>
        </w:tc>
      </w:tr>
      <w:tr>
        <w:tc>
          <w:tcPr>
            <w:tcW w:type="dxa" w:w="820"/>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r>
              <w:rPr>
                <w:b/>
                <w:bCs/>
                <w:sz w:val="18"/>
                <w:szCs w:val="18"/>
              </w:rPr>
              <w:t xml:space="preserve">36–38</w:t>
            </w:r>
          </w:p>
        </w:tc>
        <w:tc>
          <w:tcPr>
            <w:tcW w:type="dxa" w:w="1700"/>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r>
              <w:rPr>
                <w:sz w:val="18"/>
                <w:szCs w:val="18"/>
              </w:rPr>
              <w:t xml:space="preserve">§2.2 — Diagramme de cas d'utilisation absent</w:t>
            </w:r>
          </w:p>
        </w:tc>
        <w:tc>
          <w:tcPr>
            <w:tcW w:type="dxa" w:w="1200"/>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r>
              <w:rPr>
                <w:b/>
                <w:bCs/>
                <w:color w:val="1F3864"/>
                <w:sz w:val="18"/>
                <w:szCs w:val="18"/>
              </w:rPr>
              <w:t xml:space="preserve">COHÉRENCE</w:t>
            </w:r>
          </w:p>
        </w:tc>
        <w:tc>
          <w:tcPr>
            <w:tcW w:type="dxa" w:w="760"/>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pPr>
              <w:jc w:val="center"/>
            </w:pPr>
            <w:r>
              <w:rPr>
                <w:b/>
                <w:bCs/>
                <w:color w:val="C00000"/>
                <w:sz w:val="18"/>
                <w:szCs w:val="18"/>
              </w:rPr>
              <w:t xml:space="preserve">P1</w:t>
            </w:r>
          </w:p>
        </w:tc>
        <w:tc>
          <w:tcPr>
            <w:tcW w:type="dxa" w:w="4739"/>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pPr>
              <w:spacing w:after="0"/>
            </w:pPr>
            <w:r>
              <w:rPr>
                <w:sz w:val="18"/>
                <w:szCs w:val="18"/>
              </w:rPr>
              <w:t xml:space="preserve">Le chapitre formalise les acteurs (§2.2.1), les besoins fonctionnels (§2.2.2) et les besoins non fonctionnels (§2.2.3) mais ne fournit AUCUN diagramme de cas d'utilisation pour synthétiser ces interactions. Le diagramme existe (§8.3, Fig 8.2 « Diagramme de cas d'utilisation général du système déployé ») mais est placé dans le chapitre Déploiement — où il n'a méthodologiquement pas sa place.</w:t>
            </w:r>
          </w:p>
        </w:tc>
        <w:tc>
          <w:tcPr>
            <w:tcW w:type="dxa" w:w="4739"/>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r>
              <w:rPr>
                <w:sz w:val="18"/>
                <w:szCs w:val="18"/>
              </w:rPr>
              <w:t xml:space="preserve">Rapatrier le diagramme de cas d'utilisation (Fig 8.2 actuelle) dans le ch.2 fusionné, en §2.3.4 « Diagramme de cas d'utilisation général ». Réutiliser l'étiquette de frontière « Système : AutoMoni » (cf. remarques v2 sur l'harmonisation du nom).</w:t>
            </w:r>
          </w:p>
        </w:tc>
      </w:tr>
      <w:tr>
        <w:tc>
          <w:tcPr>
            <w:tcW w:type="dxa" w:w="82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r>
              <w:rPr>
                <w:b/>
                <w:bCs/>
                <w:sz w:val="18"/>
                <w:szCs w:val="18"/>
              </w:rPr>
              <w:t xml:space="preserve">38</w:t>
            </w:r>
          </w:p>
        </w:tc>
        <w:tc>
          <w:tcPr>
            <w:tcW w:type="dxa" w:w="17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r>
              <w:rPr>
                <w:sz w:val="18"/>
                <w:szCs w:val="18"/>
              </w:rPr>
              <w:t xml:space="preserve">§2.3 Gestion CRISP-DM — caractères parasites</w:t>
            </w:r>
          </w:p>
        </w:tc>
        <w:tc>
          <w:tcPr>
            <w:tcW w:type="dxa" w:w="12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r>
              <w:rPr>
                <w:b/>
                <w:bCs/>
                <w:color w:val="1F3864"/>
                <w:sz w:val="18"/>
                <w:szCs w:val="18"/>
              </w:rPr>
              <w:t xml:space="preserve">FORME</w:t>
            </w:r>
          </w:p>
        </w:tc>
        <w:tc>
          <w:tcPr>
            <w:tcW w:type="dxa" w:w="76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pPr>
              <w:jc w:val="center"/>
            </w:pPr>
            <w:r>
              <w:rPr>
                <w:b/>
                <w:bCs/>
                <w:color w:val="BF8F00"/>
                <w:sz w:val="18"/>
                <w:szCs w:val="18"/>
              </w:rPr>
              <w:t xml:space="preserve">P2</w:t>
            </w:r>
          </w:p>
        </w:tc>
        <w:tc>
          <w:tcPr>
            <w:tcW w:type="dxa" w:w="4739"/>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pPr>
              <w:spacing w:after="0"/>
            </w:pPr>
            <w:r>
              <w:rPr>
                <w:sz w:val="18"/>
                <w:szCs w:val="18"/>
              </w:rPr>
              <w:t xml:space="preserve">Le texte contient deux occurrences de la séquence « “‘ » (guillemets fermants suivis d'une apostrophe ouvrante) sur des lignes seules, après la description de « Business Understanding » et après « Deployment ». Ce sont des artefacts LaTeX (probablement un \og / \fg ou un copier-coller de guillemets typographiques mal interprétés).</w:t>
            </w:r>
          </w:p>
        </w:tc>
        <w:tc>
          <w:tcPr>
            <w:tcW w:type="dxa" w:w="4739"/>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r>
              <w:rPr>
                <w:sz w:val="18"/>
                <w:szCs w:val="18"/>
              </w:rPr>
              <w:t xml:space="preserve">Supprimer ces deux séquences parasites.</w:t>
            </w:r>
          </w:p>
        </w:tc>
      </w:tr>
      <w:tr>
        <w:tc>
          <w:tcPr>
            <w:tcW w:type="dxa" w:w="820"/>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r>
              <w:rPr>
                <w:b/>
                <w:bCs/>
                <w:sz w:val="18"/>
                <w:szCs w:val="18"/>
              </w:rPr>
              <w:t xml:space="preserve">39</w:t>
            </w:r>
          </w:p>
        </w:tc>
        <w:tc>
          <w:tcPr>
            <w:tcW w:type="dxa" w:w="1700"/>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r>
              <w:rPr>
                <w:sz w:val="18"/>
                <w:szCs w:val="18"/>
              </w:rPr>
              <w:t xml:space="preserve">Conclusion ch.2</w:t>
            </w:r>
          </w:p>
        </w:tc>
        <w:tc>
          <w:tcPr>
            <w:tcW w:type="dxa" w:w="1200"/>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r>
              <w:rPr>
                <w:b/>
                <w:bCs/>
                <w:color w:val="1F3864"/>
                <w:sz w:val="18"/>
                <w:szCs w:val="18"/>
              </w:rPr>
              <w:t xml:space="preserve">COHÉRENCE</w:t>
            </w:r>
          </w:p>
        </w:tc>
        <w:tc>
          <w:tcPr>
            <w:tcW w:type="dxa" w:w="760"/>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pPr>
              <w:jc w:val="center"/>
            </w:pPr>
            <w:r>
              <w:rPr>
                <w:b/>
                <w:bCs/>
                <w:color w:val="BF8F00"/>
                <w:sz w:val="18"/>
                <w:szCs w:val="18"/>
              </w:rPr>
              <w:t xml:space="preserve">P2</w:t>
            </w:r>
          </w:p>
        </w:tc>
        <w:tc>
          <w:tcPr>
            <w:tcW w:type="dxa" w:w="4739"/>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pPr>
              <w:spacing w:after="0"/>
            </w:pPr>
            <w:r>
              <w:rPr>
                <w:sz w:val="18"/>
                <w:szCs w:val="18"/>
              </w:rPr>
              <w:t xml:space="preserve">La conclusion énumère « les besoins fonctionnels et non fonctionnels, identifié les acteurs et structuré la démarche selon la méthodologie CRISP-DM et son calendrier Gantt » — mais elle omet le diagramme de cas d'utilisation (cf. ci-dessus, absent du chapitre). Après fusion, la conclusion devra être réécrite pour couvrir l'ensemble des livrables de la phase Business Understanding (background, objectifs, NFR, acteurs, BF, use case, état de l'art, choix RAG, plan projet, Gantt).</w:t>
            </w:r>
          </w:p>
        </w:tc>
        <w:tc>
          <w:tcPr>
            <w:tcW w:type="dxa" w:w="4739"/>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r>
              <w:rPr>
                <w:sz w:val="18"/>
                <w:szCs w:val="18"/>
              </w:rPr>
              <w:t xml:space="preserve">Réécrire la conclusion à l'issue de la fusion, en suivant la grille CRISP-DM Phase 1 (cf. §B du présent retour).</w:t>
            </w:r>
          </w:p>
        </w:tc>
      </w:tr>
      <w:tr>
        <w:tc>
          <w:tcPr>
            <w:tcW w:type="dxa" w:w="82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r>
              <w:rPr>
                <w:b/>
                <w:bCs/>
                <w:sz w:val="18"/>
                <w:szCs w:val="18"/>
              </w:rPr>
              <w:t xml:space="preserve">35</w:t>
            </w:r>
          </w:p>
        </w:tc>
        <w:tc>
          <w:tcPr>
            <w:tcW w:type="dxa" w:w="17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r>
              <w:rPr>
                <w:sz w:val="18"/>
                <w:szCs w:val="18"/>
              </w:rPr>
              <w:t xml:space="preserve">Tab. 2.1 — Acteurs</w:t>
            </w:r>
          </w:p>
        </w:tc>
        <w:tc>
          <w:tcPr>
            <w:tcW w:type="dxa" w:w="1200"/>
            <w:tcBorders>
              <w:top w:val="single" w:color="C9C9C9" w:sz="1"/>
              <w:left w:val="single" w:color="C9C9C9" w:sz="1"/>
              <w:bottom w:val="single" w:color="C9C9C9" w:sz="1"/>
              <w:right w:val="single" w:color="C9C9C9" w:sz="1"/>
            </w:tcBorders>
            <w:shd w:fill="E2EFDA" w:val="clear"/>
            <w:tcMar>
              <w:top w:type="dxa" w:w="60"/>
              <w:left w:type="dxa" w:w="110"/>
              <w:bottom w:type="dxa" w:w="60"/>
              <w:right w:type="dxa" w:w="110"/>
            </w:tcMar>
            <w:vAlign w:val="top"/>
          </w:tcPr>
          <w:p>
            <w:r>
              <w:rPr>
                <w:b/>
                <w:bCs/>
                <w:color w:val="548235"/>
                <w:sz w:val="18"/>
                <w:szCs w:val="18"/>
              </w:rPr>
              <w:t xml:space="preserve">POINT FORT</w:t>
            </w:r>
          </w:p>
        </w:tc>
        <w:tc>
          <w:tcPr>
            <w:tcW w:type="dxa" w:w="76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pPr>
              <w:jc w:val="center"/>
            </w:pPr>
            <w:r>
              <w:rPr>
                <w:b/>
                <w:bCs/>
                <w:color w:val="595959"/>
                <w:sz w:val="18"/>
                <w:szCs w:val="18"/>
              </w:rPr>
              <w:t xml:space="preserve">—</w:t>
            </w:r>
          </w:p>
        </w:tc>
        <w:tc>
          <w:tcPr>
            <w:tcW w:type="dxa" w:w="4739"/>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pPr>
              <w:spacing w:after="0"/>
            </w:pPr>
            <w:r>
              <w:rPr>
                <w:sz w:val="18"/>
                <w:szCs w:val="18"/>
              </w:rPr>
              <w:t xml:space="preserve">Tableau d'acteurs clair, avec types (acteur principal / acteur secondaire) et responsabilités bien distribuées. L'acteur Système SAP comme acteur secondaire (alimentation PyRFC) est correctement modélisé.</w:t>
            </w:r>
          </w:p>
        </w:tc>
        <w:tc>
          <w:tcPr>
            <w:tcW w:type="dxa" w:w="4739"/>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r>
              <w:rPr>
                <w:sz w:val="18"/>
                <w:szCs w:val="18"/>
              </w:rPr>
              <w:t xml:space="preserve">À conserver.</w:t>
            </w:r>
          </w:p>
        </w:tc>
      </w:tr>
    </w:tbl>
    <w:p>
      <w:pPr>
        <w:spacing w:after="140"/>
      </w:pPr>
      <w:r>
        <w:t xml:space="preserve"/>
      </w:r>
    </w:p>
    <w:p>
      <w:pPr>
        <w:pStyle w:val="Heading2"/>
      </w:pPr>
      <w:r>
        <w:t xml:space="preserve">D.2 Chapitre 3 actuel (Compréhension métier)</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820"/>
        <w:gridCol w:w="1700"/>
        <w:gridCol w:w="1200"/>
        <w:gridCol w:w="760"/>
        <w:gridCol w:w="4739"/>
        <w:gridCol w:w="4739"/>
      </w:tblGrid>
      <w:tr>
        <w:trPr>
          <w:tblHeader/>
        </w:trPr>
        <w:tc>
          <w:tcPr>
            <w:tcW w:type="dxa" w:w="820"/>
            <w:tcBorders>
              <w:top w:val="single" w:color="C9C9C9" w:sz="1"/>
              <w:left w:val="single" w:color="C9C9C9" w:sz="1"/>
              <w:bottom w:val="single" w:color="C9C9C9" w:sz="1"/>
              <w:right w:val="single" w:color="C9C9C9" w:sz="1"/>
            </w:tcBorders>
            <w:shd w:fill="1F3864" w:val="clear"/>
            <w:tcMar>
              <w:top w:type="dxa" w:w="60"/>
              <w:left w:type="dxa" w:w="110"/>
              <w:bottom w:type="dxa" w:w="60"/>
              <w:right w:type="dxa" w:w="110"/>
            </w:tcMar>
            <w:vAlign w:val="top"/>
          </w:tcPr>
          <w:p>
            <w:r>
              <w:rPr>
                <w:b/>
                <w:bCs/>
                <w:color w:val="FFFFFF"/>
                <w:sz w:val="18"/>
                <w:szCs w:val="18"/>
              </w:rPr>
              <w:t xml:space="preserve">Page</w:t>
            </w:r>
          </w:p>
        </w:tc>
        <w:tc>
          <w:tcPr>
            <w:tcW w:type="dxa" w:w="1700"/>
            <w:tcBorders>
              <w:top w:val="single" w:color="C9C9C9" w:sz="1"/>
              <w:left w:val="single" w:color="C9C9C9" w:sz="1"/>
              <w:bottom w:val="single" w:color="C9C9C9" w:sz="1"/>
              <w:right w:val="single" w:color="C9C9C9" w:sz="1"/>
            </w:tcBorders>
            <w:shd w:fill="1F3864" w:val="clear"/>
            <w:tcMar>
              <w:top w:type="dxa" w:w="60"/>
              <w:left w:type="dxa" w:w="110"/>
              <w:bottom w:type="dxa" w:w="60"/>
              <w:right w:type="dxa" w:w="110"/>
            </w:tcMar>
            <w:vAlign w:val="top"/>
          </w:tcPr>
          <w:p>
            <w:r>
              <w:rPr>
                <w:b/>
                <w:bCs/>
                <w:color w:val="FFFFFF"/>
                <w:sz w:val="18"/>
                <w:szCs w:val="18"/>
              </w:rPr>
              <w:t xml:space="preserve">Section / Figure</w:t>
            </w:r>
          </w:p>
        </w:tc>
        <w:tc>
          <w:tcPr>
            <w:tcW w:type="dxa" w:w="1200"/>
            <w:tcBorders>
              <w:top w:val="single" w:color="C9C9C9" w:sz="1"/>
              <w:left w:val="single" w:color="C9C9C9" w:sz="1"/>
              <w:bottom w:val="single" w:color="C9C9C9" w:sz="1"/>
              <w:right w:val="single" w:color="C9C9C9" w:sz="1"/>
            </w:tcBorders>
            <w:shd w:fill="1F3864" w:val="clear"/>
            <w:tcMar>
              <w:top w:type="dxa" w:w="60"/>
              <w:left w:type="dxa" w:w="110"/>
              <w:bottom w:type="dxa" w:w="60"/>
              <w:right w:type="dxa" w:w="110"/>
            </w:tcMar>
            <w:vAlign w:val="top"/>
          </w:tcPr>
          <w:p>
            <w:r>
              <w:rPr>
                <w:b/>
                <w:bCs/>
                <w:color w:val="FFFFFF"/>
                <w:sz w:val="18"/>
                <w:szCs w:val="18"/>
              </w:rPr>
              <w:t xml:space="preserve">Type</w:t>
            </w:r>
          </w:p>
        </w:tc>
        <w:tc>
          <w:tcPr>
            <w:tcW w:type="dxa" w:w="760"/>
            <w:tcBorders>
              <w:top w:val="single" w:color="C9C9C9" w:sz="1"/>
              <w:left w:val="single" w:color="C9C9C9" w:sz="1"/>
              <w:bottom w:val="single" w:color="C9C9C9" w:sz="1"/>
              <w:right w:val="single" w:color="C9C9C9" w:sz="1"/>
            </w:tcBorders>
            <w:shd w:fill="1F3864" w:val="clear"/>
            <w:tcMar>
              <w:top w:type="dxa" w:w="60"/>
              <w:left w:type="dxa" w:w="110"/>
              <w:bottom w:type="dxa" w:w="60"/>
              <w:right w:type="dxa" w:w="110"/>
            </w:tcMar>
            <w:vAlign w:val="top"/>
          </w:tcPr>
          <w:p>
            <w:r>
              <w:rPr>
                <w:b/>
                <w:bCs/>
                <w:color w:val="FFFFFF"/>
                <w:sz w:val="18"/>
                <w:szCs w:val="18"/>
              </w:rPr>
              <w:t xml:space="preserve">Prio.</w:t>
            </w:r>
          </w:p>
        </w:tc>
        <w:tc>
          <w:tcPr>
            <w:tcW w:type="dxa" w:w="4739"/>
            <w:tcBorders>
              <w:top w:val="single" w:color="C9C9C9" w:sz="1"/>
              <w:left w:val="single" w:color="C9C9C9" w:sz="1"/>
              <w:bottom w:val="single" w:color="C9C9C9" w:sz="1"/>
              <w:right w:val="single" w:color="C9C9C9" w:sz="1"/>
            </w:tcBorders>
            <w:shd w:fill="1F3864" w:val="clear"/>
            <w:tcMar>
              <w:top w:type="dxa" w:w="60"/>
              <w:left w:type="dxa" w:w="110"/>
              <w:bottom w:type="dxa" w:w="60"/>
              <w:right w:type="dxa" w:w="110"/>
            </w:tcMar>
            <w:vAlign w:val="top"/>
          </w:tcPr>
          <w:p>
            <w:r>
              <w:rPr>
                <w:b/>
                <w:bCs/>
                <w:color w:val="FFFFFF"/>
                <w:sz w:val="18"/>
                <w:szCs w:val="18"/>
              </w:rPr>
              <w:t xml:space="preserve">Constat</w:t>
            </w:r>
          </w:p>
        </w:tc>
        <w:tc>
          <w:tcPr>
            <w:tcW w:type="dxa" w:w="4739"/>
            <w:tcBorders>
              <w:top w:val="single" w:color="C9C9C9" w:sz="1"/>
              <w:left w:val="single" w:color="C9C9C9" w:sz="1"/>
              <w:bottom w:val="single" w:color="C9C9C9" w:sz="1"/>
              <w:right w:val="single" w:color="C9C9C9" w:sz="1"/>
            </w:tcBorders>
            <w:shd w:fill="1F3864" w:val="clear"/>
            <w:tcMar>
              <w:top w:type="dxa" w:w="60"/>
              <w:left w:type="dxa" w:w="110"/>
              <w:bottom w:type="dxa" w:w="60"/>
              <w:right w:type="dxa" w:w="110"/>
            </w:tcMar>
            <w:vAlign w:val="top"/>
          </w:tcPr>
          <w:p>
            <w:r>
              <w:rPr>
                <w:b/>
                <w:bCs/>
                <w:color w:val="FFFFFF"/>
                <w:sz w:val="18"/>
                <w:szCs w:val="18"/>
              </w:rPr>
              <w:t xml:space="preserve">Correction proposée</w:t>
            </w:r>
          </w:p>
        </w:tc>
      </w:tr>
      <w:tr>
        <w:tc>
          <w:tcPr>
            <w:tcW w:type="dxa" w:w="82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r>
              <w:rPr>
                <w:b/>
                <w:bCs/>
                <w:sz w:val="18"/>
                <w:szCs w:val="18"/>
              </w:rPr>
              <w:t xml:space="preserve">41</w:t>
            </w:r>
          </w:p>
        </w:tc>
        <w:tc>
          <w:tcPr>
            <w:tcW w:type="dxa" w:w="17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r>
              <w:rPr>
                <w:sz w:val="18"/>
                <w:szCs w:val="18"/>
              </w:rPr>
              <w:t xml:space="preserve">§3 (Introduction)</w:t>
            </w:r>
          </w:p>
        </w:tc>
        <w:tc>
          <w:tcPr>
            <w:tcW w:type="dxa" w:w="12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r>
              <w:rPr>
                <w:b/>
                <w:bCs/>
                <w:color w:val="1F3864"/>
                <w:sz w:val="18"/>
                <w:szCs w:val="18"/>
              </w:rPr>
              <w:t xml:space="preserve">COHÉRENCE</w:t>
            </w:r>
          </w:p>
        </w:tc>
        <w:tc>
          <w:tcPr>
            <w:tcW w:type="dxa" w:w="76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pPr>
              <w:jc w:val="center"/>
            </w:pPr>
            <w:r>
              <w:rPr>
                <w:b/>
                <w:bCs/>
                <w:color w:val="BF8F00"/>
                <w:sz w:val="18"/>
                <w:szCs w:val="18"/>
              </w:rPr>
              <w:t xml:space="preserve">P2</w:t>
            </w:r>
          </w:p>
        </w:tc>
        <w:tc>
          <w:tcPr>
            <w:tcW w:type="dxa" w:w="4739"/>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pPr>
              <w:spacing w:after="0"/>
            </w:pPr>
            <w:r>
              <w:rPr>
                <w:sz w:val="18"/>
                <w:szCs w:val="18"/>
              </w:rPr>
              <w:t xml:space="preserve">« Ce chapitre présente le contexte métier et les objectifs du projet d'assistant intelligent de surveillance SAP » — meilleur que la v2 précédente (qui parlait de « projet de détection d'anomalies »), mais le mot « surveillance » se prête encore à confusion. L'assistant ne fait pas de surveillance autonome ; il assiste un consultant qui surveille.</w:t>
            </w:r>
          </w:p>
        </w:tc>
        <w:tc>
          <w:tcPr>
            <w:tcW w:type="dxa" w:w="4739"/>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r>
              <w:rPr>
                <w:sz w:val="18"/>
                <w:szCs w:val="18"/>
              </w:rPr>
              <w:t xml:space="preserve">« Ce chapitre présente le contexte métier et les objectifs du projet d'assistant documentaire intelligent pour les consultants SAP BASIS. »</w:t>
            </w:r>
          </w:p>
        </w:tc>
      </w:tr>
      <w:tr>
        <w:tc>
          <w:tcPr>
            <w:tcW w:type="dxa" w:w="820"/>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r>
              <w:rPr>
                <w:b/>
                <w:bCs/>
                <w:sz w:val="18"/>
                <w:szCs w:val="18"/>
              </w:rPr>
              <w:t xml:space="preserve">43</w:t>
            </w:r>
          </w:p>
        </w:tc>
        <w:tc>
          <w:tcPr>
            <w:tcW w:type="dxa" w:w="1700"/>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r>
              <w:rPr>
                <w:sz w:val="18"/>
                <w:szCs w:val="18"/>
              </w:rPr>
              <w:t xml:space="preserve">§3.1.3 T-codes — détection précoce d'anomalies</w:t>
            </w:r>
          </w:p>
        </w:tc>
        <w:tc>
          <w:tcPr>
            <w:tcW w:type="dxa" w:w="1200"/>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r>
              <w:rPr>
                <w:b/>
                <w:bCs/>
                <w:color w:val="1F3864"/>
                <w:sz w:val="18"/>
                <w:szCs w:val="18"/>
              </w:rPr>
              <w:t xml:space="preserve">COHÉRENCE</w:t>
            </w:r>
          </w:p>
        </w:tc>
        <w:tc>
          <w:tcPr>
            <w:tcW w:type="dxa" w:w="760"/>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pPr>
              <w:jc w:val="center"/>
            </w:pPr>
            <w:r>
              <w:rPr>
                <w:b/>
                <w:bCs/>
                <w:color w:val="C00000"/>
                <w:sz w:val="18"/>
                <w:szCs w:val="18"/>
              </w:rPr>
              <w:t xml:space="preserve">P1</w:t>
            </w:r>
          </w:p>
        </w:tc>
        <w:tc>
          <w:tcPr>
            <w:tcW w:type="dxa" w:w="4739"/>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pPr>
              <w:spacing w:after="0"/>
            </w:pPr>
            <w:r>
              <w:rPr>
                <w:sz w:val="18"/>
                <w:szCs w:val="18"/>
              </w:rPr>
              <w:t xml:space="preserve">« En surveillant en continu ces transactions et en interprétant leurs sorties par le biais d'un raisonnement assisté par IA, le système permet une détection précoce des anomalies et soutient une analyse plus rapide des causes profondes. » Or le système n'interprète pas en continu les sorties des T-codes ; il répond à une question posée par l'utilisateur en s'appuyant sur la documentation.</w:t>
            </w:r>
          </w:p>
        </w:tc>
        <w:tc>
          <w:tcPr>
            <w:tcW w:type="dxa" w:w="4739"/>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pPr>
              <w:spacing w:after="0"/>
            </w:pPr>
            <w:r>
              <w:rPr>
                <w:b/>
                <w:bCs/>
                <w:color w:val="2E75B6"/>
                <w:sz w:val="18"/>
                <w:szCs w:val="18"/>
              </w:rPr>
              <w:t xml:space="preserve">Après : </w:t>
            </w:r>
            <w:r>
              <w:rPr>
                <w:i/>
                <w:iCs/>
                <w:sz w:val="18"/>
                <w:szCs w:val="18"/>
              </w:rPr>
              <w:t xml:space="preserve">« En s'appuyant sur la documentation officielle de ces transactions et sur les notes SAP associées, le système permet aux consultants BASIS de retrouver rapidement les procédures d'analyse et de résolution applicables à chaque erreur observée. »</w:t>
            </w:r>
          </w:p>
        </w:tc>
      </w:tr>
      <w:tr>
        <w:tc>
          <w:tcPr>
            <w:tcW w:type="dxa" w:w="82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r>
              <w:rPr>
                <w:b/>
                <w:bCs/>
                <w:sz w:val="18"/>
                <w:szCs w:val="18"/>
              </w:rPr>
              <w:t xml:space="preserve">42–47</w:t>
            </w:r>
          </w:p>
        </w:tc>
        <w:tc>
          <w:tcPr>
            <w:tcW w:type="dxa" w:w="17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r>
              <w:rPr>
                <w:sz w:val="18"/>
                <w:szCs w:val="18"/>
              </w:rPr>
              <w:t xml:space="preserve">§3.1 Contexte métier SAP</w:t>
            </w:r>
          </w:p>
        </w:tc>
        <w:tc>
          <w:tcPr>
            <w:tcW w:type="dxa" w:w="1200"/>
            <w:tcBorders>
              <w:top w:val="single" w:color="C9C9C9" w:sz="1"/>
              <w:left w:val="single" w:color="C9C9C9" w:sz="1"/>
              <w:bottom w:val="single" w:color="C9C9C9" w:sz="1"/>
              <w:right w:val="single" w:color="C9C9C9" w:sz="1"/>
            </w:tcBorders>
            <w:shd w:fill="E2EFDA" w:val="clear"/>
            <w:tcMar>
              <w:top w:type="dxa" w:w="60"/>
              <w:left w:type="dxa" w:w="110"/>
              <w:bottom w:type="dxa" w:w="60"/>
              <w:right w:type="dxa" w:w="110"/>
            </w:tcMar>
            <w:vAlign w:val="top"/>
          </w:tcPr>
          <w:p>
            <w:r>
              <w:rPr>
                <w:b/>
                <w:bCs/>
                <w:color w:val="548235"/>
                <w:sz w:val="18"/>
                <w:szCs w:val="18"/>
              </w:rPr>
              <w:t xml:space="preserve">POINT FORT</w:t>
            </w:r>
          </w:p>
        </w:tc>
        <w:tc>
          <w:tcPr>
            <w:tcW w:type="dxa" w:w="76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pPr>
              <w:jc w:val="center"/>
            </w:pPr>
            <w:r>
              <w:rPr>
                <w:b/>
                <w:bCs/>
                <w:color w:val="595959"/>
                <w:sz w:val="18"/>
                <w:szCs w:val="18"/>
              </w:rPr>
              <w:t xml:space="preserve">—</w:t>
            </w:r>
          </w:p>
        </w:tc>
        <w:tc>
          <w:tcPr>
            <w:tcW w:type="dxa" w:w="4739"/>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pPr>
              <w:spacing w:after="0"/>
            </w:pPr>
            <w:r>
              <w:rPr>
                <w:sz w:val="18"/>
                <w:szCs w:val="18"/>
              </w:rPr>
              <w:t xml:space="preserve">Présentation du métier SAP très solide : ERP, modules, rôle BASIS, T-codes avec liste de 11 transactions critiques et captures écran de SM37 / DB02 / ST22 commentées. Très bon ancrage métier.</w:t>
            </w:r>
          </w:p>
        </w:tc>
        <w:tc>
          <w:tcPr>
            <w:tcW w:type="dxa" w:w="4739"/>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r>
              <w:rPr>
                <w:sz w:val="18"/>
                <w:szCs w:val="18"/>
              </w:rPr>
              <w:t xml:space="preserve">À conserver intégralement dans le chapitre fusionné (devient §2.1 Contexte métier SAP du nouveau plan).</w:t>
            </w:r>
          </w:p>
        </w:tc>
      </w:tr>
      <w:tr>
        <w:tc>
          <w:tcPr>
            <w:tcW w:type="dxa" w:w="820"/>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r>
              <w:rPr>
                <w:b/>
                <w:bCs/>
                <w:sz w:val="18"/>
                <w:szCs w:val="18"/>
              </w:rPr>
              <w:t xml:space="preserve">47–51</w:t>
            </w:r>
          </w:p>
        </w:tc>
        <w:tc>
          <w:tcPr>
            <w:tcW w:type="dxa" w:w="1700"/>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r>
              <w:rPr>
                <w:sz w:val="18"/>
                <w:szCs w:val="18"/>
              </w:rPr>
              <w:t xml:space="preserve">§3.2.1 à 3.2.9 État de l'art</w:t>
            </w:r>
          </w:p>
        </w:tc>
        <w:tc>
          <w:tcPr>
            <w:tcW w:type="dxa" w:w="1200"/>
            <w:tcBorders>
              <w:top w:val="single" w:color="C9C9C9" w:sz="1"/>
              <w:left w:val="single" w:color="C9C9C9" w:sz="1"/>
              <w:bottom w:val="single" w:color="C9C9C9" w:sz="1"/>
              <w:right w:val="single" w:color="C9C9C9" w:sz="1"/>
            </w:tcBorders>
            <w:shd w:fill="E2EFDA" w:val="clear"/>
            <w:tcMar>
              <w:top w:type="dxa" w:w="60"/>
              <w:left w:type="dxa" w:w="110"/>
              <w:bottom w:type="dxa" w:w="60"/>
              <w:right w:type="dxa" w:w="110"/>
            </w:tcMar>
            <w:vAlign w:val="top"/>
          </w:tcPr>
          <w:p>
            <w:r>
              <w:rPr>
                <w:b/>
                <w:bCs/>
                <w:color w:val="548235"/>
                <w:sz w:val="18"/>
                <w:szCs w:val="18"/>
              </w:rPr>
              <w:t xml:space="preserve">POINT FORT</w:t>
            </w:r>
          </w:p>
        </w:tc>
        <w:tc>
          <w:tcPr>
            <w:tcW w:type="dxa" w:w="760"/>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pPr>
              <w:jc w:val="center"/>
            </w:pPr>
            <w:r>
              <w:rPr>
                <w:b/>
                <w:bCs/>
                <w:color w:val="595959"/>
                <w:sz w:val="18"/>
                <w:szCs w:val="18"/>
              </w:rPr>
              <w:t xml:space="preserve">—</w:t>
            </w:r>
          </w:p>
        </w:tc>
        <w:tc>
          <w:tcPr>
            <w:tcW w:type="dxa" w:w="4739"/>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pPr>
              <w:spacing w:after="0"/>
            </w:pPr>
            <w:r>
              <w:rPr>
                <w:sz w:val="18"/>
                <w:szCs w:val="18"/>
              </w:rPr>
              <w:t xml:space="preserve">Définitions techniques bien structurées, citations académiques résolues (Transformer [10], NLP [6], LLM [1], RAG [7], embeddings [8], CAG [2], Fine-Tuning [4]). État de l'art désormais sourcé.</w:t>
            </w:r>
          </w:p>
        </w:tc>
        <w:tc>
          <w:tcPr>
            <w:tcW w:type="dxa" w:w="4739"/>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r>
              <w:rPr>
                <w:sz w:val="18"/>
                <w:szCs w:val="18"/>
              </w:rPr>
              <w:t xml:space="preserve">À conserver intégralement (devient §2.4 du chapitre fusionné).</w:t>
            </w:r>
          </w:p>
        </w:tc>
      </w:tr>
      <w:tr>
        <w:tc>
          <w:tcPr>
            <w:tcW w:type="dxa" w:w="82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r>
              <w:rPr>
                <w:b/>
                <w:bCs/>
                <w:sz w:val="18"/>
                <w:szCs w:val="18"/>
              </w:rPr>
              <w:t xml:space="preserve">50</w:t>
            </w:r>
          </w:p>
        </w:tc>
        <w:tc>
          <w:tcPr>
            <w:tcW w:type="dxa" w:w="17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r>
              <w:rPr>
                <w:sz w:val="18"/>
                <w:szCs w:val="18"/>
              </w:rPr>
              <w:t xml:space="preserve">§3.2.10 Comparaison Fine-Tuning / RAG / CAG (Tab. 3.1)</w:t>
            </w:r>
          </w:p>
        </w:tc>
        <w:tc>
          <w:tcPr>
            <w:tcW w:type="dxa" w:w="1200"/>
            <w:tcBorders>
              <w:top w:val="single" w:color="C9C9C9" w:sz="1"/>
              <w:left w:val="single" w:color="C9C9C9" w:sz="1"/>
              <w:bottom w:val="single" w:color="C9C9C9" w:sz="1"/>
              <w:right w:val="single" w:color="C9C9C9" w:sz="1"/>
            </w:tcBorders>
            <w:shd w:fill="E2EFDA" w:val="clear"/>
            <w:tcMar>
              <w:top w:type="dxa" w:w="60"/>
              <w:left w:type="dxa" w:w="110"/>
              <w:bottom w:type="dxa" w:w="60"/>
              <w:right w:type="dxa" w:w="110"/>
            </w:tcMar>
            <w:vAlign w:val="top"/>
          </w:tcPr>
          <w:p>
            <w:r>
              <w:rPr>
                <w:b/>
                <w:bCs/>
                <w:color w:val="548235"/>
                <w:sz w:val="18"/>
                <w:szCs w:val="18"/>
              </w:rPr>
              <w:t xml:space="preserve">POINT FORT</w:t>
            </w:r>
          </w:p>
        </w:tc>
        <w:tc>
          <w:tcPr>
            <w:tcW w:type="dxa" w:w="76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pPr>
              <w:jc w:val="center"/>
            </w:pPr>
            <w:r>
              <w:rPr>
                <w:b/>
                <w:bCs/>
                <w:color w:val="595959"/>
                <w:sz w:val="18"/>
                <w:szCs w:val="18"/>
              </w:rPr>
              <w:t xml:space="preserve">—</w:t>
            </w:r>
          </w:p>
        </w:tc>
        <w:tc>
          <w:tcPr>
            <w:tcW w:type="dxa" w:w="4739"/>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pPr>
              <w:spacing w:after="0"/>
            </w:pPr>
            <w:r>
              <w:rPr>
                <w:sz w:val="18"/>
                <w:szCs w:val="18"/>
              </w:rPr>
              <w:t xml:space="preserve">Tableau comparatif clair sur sept critères (Principe, accès aux données récentes, temps de réponse, coût, MAJ, précision métier, dépendance à une base vectorielle). Argumentaire propre pour justifier le choix RAG + CAG.</w:t>
            </w:r>
          </w:p>
        </w:tc>
        <w:tc>
          <w:tcPr>
            <w:tcW w:type="dxa" w:w="4739"/>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r>
              <w:rPr>
                <w:sz w:val="18"/>
                <w:szCs w:val="18"/>
              </w:rPr>
              <w:t xml:space="preserve">À conserver.</w:t>
            </w:r>
          </w:p>
        </w:tc>
      </w:tr>
      <w:tr>
        <w:tc>
          <w:tcPr>
            <w:tcW w:type="dxa" w:w="820"/>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r>
              <w:rPr>
                <w:b/>
                <w:bCs/>
                <w:sz w:val="18"/>
                <w:szCs w:val="18"/>
              </w:rPr>
              <w:t xml:space="preserve">51–52</w:t>
            </w:r>
          </w:p>
        </w:tc>
        <w:tc>
          <w:tcPr>
            <w:tcW w:type="dxa" w:w="1700"/>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r>
              <w:rPr>
                <w:sz w:val="18"/>
                <w:szCs w:val="18"/>
              </w:rPr>
              <w:t xml:space="preserve">§3.3 Choix du RAG pour ce projet</w:t>
            </w:r>
          </w:p>
        </w:tc>
        <w:tc>
          <w:tcPr>
            <w:tcW w:type="dxa" w:w="1200"/>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r>
              <w:rPr>
                <w:b/>
                <w:bCs/>
                <w:color w:val="1F3864"/>
                <w:sz w:val="18"/>
                <w:szCs w:val="18"/>
              </w:rPr>
              <w:t xml:space="preserve">COHÉRENCE</w:t>
            </w:r>
          </w:p>
        </w:tc>
        <w:tc>
          <w:tcPr>
            <w:tcW w:type="dxa" w:w="760"/>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pPr>
              <w:jc w:val="center"/>
            </w:pPr>
            <w:r>
              <w:rPr>
                <w:b/>
                <w:bCs/>
                <w:color w:val="548235"/>
                <w:sz w:val="18"/>
                <w:szCs w:val="18"/>
              </w:rPr>
              <w:t xml:space="preserve">P3</w:t>
            </w:r>
          </w:p>
        </w:tc>
        <w:tc>
          <w:tcPr>
            <w:tcW w:type="dxa" w:w="4739"/>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pPr>
              <w:spacing w:after="50"/>
            </w:pPr>
            <w:r>
              <w:rPr>
                <w:sz w:val="18"/>
                <w:szCs w:val="18"/>
              </w:rPr>
              <w:t xml:space="preserve">Quatre arguments listés (Adaptation à un domaine évolutif, Fiabilité, Optimisation des coûts, absence de jeux annotés). Globalement convaincant.</w:t>
            </w:r>
          </w:p>
          <w:p>
            <w:pPr>
              <w:spacing w:after="0"/>
            </w:pPr>
            <w:r>
              <w:rPr>
                <w:sz w:val="18"/>
                <w:szCs w:val="18"/>
              </w:rPr>
              <w:t xml:space="preserve">Petite imprécision : « le RAG réduit significativement les hallucinations et améliore la précision des réponses . » — ponctuation (espace avant le point) et affirmation à étayer (renvoyer au ch.7 où la chose est mesurée).</w:t>
            </w:r>
          </w:p>
        </w:tc>
        <w:tc>
          <w:tcPr>
            <w:tcW w:type="dxa" w:w="4739"/>
            <w:tcBorders>
              <w:top w:val="single" w:color="C9C9C9" w:sz="1"/>
              <w:left w:val="single" w:color="C9C9C9" w:sz="1"/>
              <w:bottom w:val="single" w:color="C9C9C9" w:sz="1"/>
              <w:right w:val="single" w:color="C9C9C9" w:sz="1"/>
            </w:tcBorders>
            <w:shd w:fill="F4F6F9" w:val="clear"/>
            <w:tcMar>
              <w:top w:type="dxa" w:w="60"/>
              <w:left w:type="dxa" w:w="110"/>
              <w:bottom w:type="dxa" w:w="60"/>
              <w:right w:type="dxa" w:w="110"/>
            </w:tcMar>
            <w:vAlign w:val="top"/>
          </w:tcPr>
          <w:p>
            <w:r>
              <w:rPr>
                <w:sz w:val="18"/>
                <w:szCs w:val="18"/>
              </w:rPr>
              <w:t xml:space="preserve">Reformuler : « le RAG réduit significativement les hallucinations et améliore la précision des réponses (effet mesuré au chapitre 7, §7.5). »</w:t>
            </w:r>
          </w:p>
        </w:tc>
      </w:tr>
      <w:tr>
        <w:tc>
          <w:tcPr>
            <w:tcW w:type="dxa" w:w="82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r>
              <w:rPr>
                <w:b/>
                <w:bCs/>
                <w:sz w:val="18"/>
                <w:szCs w:val="18"/>
              </w:rPr>
              <w:t xml:space="preserve">52</w:t>
            </w:r>
          </w:p>
        </w:tc>
        <w:tc>
          <w:tcPr>
            <w:tcW w:type="dxa" w:w="17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r>
              <w:rPr>
                <w:sz w:val="18"/>
                <w:szCs w:val="18"/>
              </w:rPr>
              <w:t xml:space="preserve">Conclusion ch.3</w:t>
            </w:r>
          </w:p>
        </w:tc>
        <w:tc>
          <w:tcPr>
            <w:tcW w:type="dxa" w:w="120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r>
              <w:rPr>
                <w:b/>
                <w:bCs/>
                <w:color w:val="1F3864"/>
                <w:sz w:val="18"/>
                <w:szCs w:val="18"/>
              </w:rPr>
              <w:t xml:space="preserve">COHÉRENCE</w:t>
            </w:r>
          </w:p>
        </w:tc>
        <w:tc>
          <w:tcPr>
            <w:tcW w:type="dxa" w:w="760"/>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pPr>
              <w:jc w:val="center"/>
            </w:pPr>
            <w:r>
              <w:rPr>
                <w:b/>
                <w:bCs/>
                <w:color w:val="C00000"/>
                <w:sz w:val="18"/>
                <w:szCs w:val="18"/>
              </w:rPr>
              <w:t xml:space="preserve">P1</w:t>
            </w:r>
          </w:p>
        </w:tc>
        <w:tc>
          <w:tcPr>
            <w:tcW w:type="dxa" w:w="4739"/>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pPr>
              <w:spacing w:after="0"/>
            </w:pPr>
            <w:r>
              <w:rPr>
                <w:sz w:val="18"/>
                <w:szCs w:val="18"/>
              </w:rPr>
              <w:t xml:space="preserve">« Ce chapitre met en évidence l'importance stratégique de la mise en place d'un système intelligent dédié à la détection des anomalies dans les transactions SAP » — c'est précisément la formulation à retirer partout dans le rapport (cf. retour v2 §A et §B). Le ch.3 actuel ne fait pas une démonstration de détection d'anomalies, il pose un contexte métier et un état de l'art.</w:t>
            </w:r>
          </w:p>
        </w:tc>
        <w:tc>
          <w:tcPr>
            <w:tcW w:type="dxa" w:w="4739"/>
            <w:tcBorders>
              <w:top w:val="single" w:color="C9C9C9" w:sz="1"/>
              <w:left w:val="single" w:color="C9C9C9" w:sz="1"/>
              <w:bottom w:val="single" w:color="C9C9C9" w:sz="1"/>
              <w:right w:val="single" w:color="C9C9C9" w:sz="1"/>
            </w:tcBorders>
            <w:shd w:fill="FFFFFF" w:val="clear"/>
            <w:tcMar>
              <w:top w:type="dxa" w:w="60"/>
              <w:left w:type="dxa" w:w="110"/>
              <w:bottom w:type="dxa" w:w="60"/>
              <w:right w:type="dxa" w:w="110"/>
            </w:tcMar>
            <w:vAlign w:val="top"/>
          </w:tcPr>
          <w:p>
            <w:pPr>
              <w:spacing w:after="0"/>
            </w:pPr>
            <w:r>
              <w:rPr>
                <w:b/>
                <w:bCs/>
                <w:color w:val="2E75B6"/>
                <w:sz w:val="18"/>
                <w:szCs w:val="18"/>
              </w:rPr>
              <w:t xml:space="preserve">Après fusion : </w:t>
            </w:r>
            <w:r>
              <w:rPr>
                <w:i/>
                <w:iCs/>
                <w:sz w:val="18"/>
                <w:szCs w:val="18"/>
              </w:rPr>
              <w:t xml:space="preserve">« Ce chapitre a posé le contexte métier SAP, formalisé les besoins fonctionnels et non fonctionnels du système, comparé les architectures d'IA générative candidates et justifié le choix d'une approche RAG augmentée par cache (CAG) pour les besoins du projet. »</w:t>
            </w:r>
          </w:p>
        </w:tc>
      </w:tr>
    </w:tbl>
    <w:p>
      <w:r>
        <w:br w:type="page"/>
      </w:r>
    </w:p>
    <w:p>
      <w:pPr>
        <w:pStyle w:val="Heading1"/>
      </w:pPr>
      <w:r>
        <w:t xml:space="preserve">E. Le diagramme de cas d'utilisation — à rapatrier dans le ch.2 fusionné</w:t>
      </w:r>
    </w:p>
    <w:p>
      <w:pPr>
        <w:spacing w:after="100"/>
        <w:jc w:val="both"/>
      </w:pPr>
      <w:r>
        <w:rPr>
          <w:sz w:val="22"/>
          <w:szCs w:val="22"/>
        </w:rPr>
        <w:t xml:space="preserve">Le diagramme de cas d'utilisation est actuellement l'unique exemplaire du rapport et il est placé en §8.3 (Déploiement) — où il n'a pas méthodologiquement sa place. La fusion offre une opportunité naturelle de le ramener au bon endroit, en §2.3.4 du chapitre fusionné, juste après la liste des besoins fonctionnels.</w:t>
      </w:r>
    </w:p>
    <w:p>
      <w:pPr>
        <w:spacing w:after="100"/>
        <w:jc w:val="both"/>
      </w:pPr>
      <w:r>
        <w:rPr>
          <w:sz w:val="22"/>
          <w:szCs w:val="22"/>
        </w:rPr>
        <w:t xml:space="preserve">Profiter de ce rapatriement pour corriger deux défauts UML déjà signalés en v2 :</w:t>
      </w:r>
    </w:p>
    <w:p>
      <w:pPr>
        <w:spacing w:after="30" w:before="60"/>
      </w:pPr>
      <w:r>
        <w:rPr>
          <w:b/>
          <w:bCs/>
          <w:color w:val="2E75B6"/>
          <w:sz w:val="21"/>
          <w:szCs w:val="21"/>
        </w:rPr>
        <w:t xml:space="preserve">Emploi systématique de «&lt;&lt;extend&gt;&gt;»</w:t>
      </w:r>
    </w:p>
    <w:p>
      <w:pPr>
        <w:spacing w:after="60"/>
        <w:jc w:val="both"/>
      </w:pPr>
      <w:r>
        <w:rPr>
          <w:sz w:val="21"/>
          <w:szCs w:val="21"/>
        </w:rPr>
        <w:t xml:space="preserve">Les relations entre l'acteur Utilisateur SAP et les cas « consulter l'historique », « consulter les logs », « consulter les alertes T-code », « donner des feedbacks » sont actuellement étiquetées «&lt;&lt;extend&gt;&gt;». Or «&lt;&lt;extend&gt;&gt;» décrit un cas optionnel inséré dans un cas de base via un point d'extension — ce n'est pas la relation entre un acteur et un cas qu'il exécute. Remplacer ces «&lt;&lt;extend&gt;&gt;» par de simples associations (trait plein sans stéréotype).</w:t>
      </w:r>
    </w:p>
    <w:p>
      <w:pPr>
        <w:spacing w:after="30" w:before="60"/>
      </w:pPr>
      <w:r>
        <w:rPr>
          <w:b/>
          <w:bCs/>
          <w:color w:val="2E75B6"/>
          <w:sz w:val="21"/>
          <w:szCs w:val="21"/>
        </w:rPr>
        <w:t xml:space="preserve">Cas admin manquant</w:t>
      </w:r>
    </w:p>
    <w:p>
      <w:pPr>
        <w:spacing w:after="60"/>
        <w:jc w:val="both"/>
      </w:pPr>
      <w:r>
        <w:rPr>
          <w:sz w:val="21"/>
          <w:szCs w:val="21"/>
        </w:rPr>
        <w:t xml:space="preserve">Le besoin « Configurer les paramètres du système ainsi que les règles d'alertes » (§2.2.2 — Administrateur SAP) n'apparaît pas dans le diagramme. À ajouter, associé à l'acteur Administrateur.</w:t>
      </w:r>
    </w:p>
    <w:p>
      <w:pPr>
        <w:spacing w:after="30" w:before="60"/>
      </w:pPr>
      <w:r>
        <w:rPr>
          <w:b/>
          <w:bCs/>
          <w:color w:val="2E75B6"/>
          <w:sz w:val="21"/>
          <w:szCs w:val="21"/>
        </w:rPr>
        <w:t xml:space="preserve">Étiquette de frontière du système</w:t>
      </w:r>
    </w:p>
    <w:p>
      <w:pPr>
        <w:spacing w:after="60"/>
        <w:jc w:val="both"/>
      </w:pPr>
      <w:r>
        <w:rPr>
          <w:sz w:val="21"/>
          <w:szCs w:val="21"/>
        </w:rPr>
        <w:t xml:space="preserve">Renommer « Système : Assistant SAP » en « Système : AutoMoni » pour cohérence avec le reste du rapport (Tab. 2.1, Fig 8.1, conclusion générale).</w:t>
      </w:r>
    </w:p>
    <w:p>
      <w:pPr>
        <w:spacing w:after="30" w:before="60"/>
      </w:pPr>
      <w:r>
        <w:rPr>
          <w:b/>
          <w:bCs/>
          <w:color w:val="2E75B6"/>
          <w:sz w:val="21"/>
          <w:szCs w:val="21"/>
        </w:rPr>
        <w:t xml:space="preserve">« T_code » → « T-code »</w:t>
      </w:r>
    </w:p>
    <w:p>
      <w:pPr>
        <w:spacing w:after="60"/>
        <w:jc w:val="both"/>
      </w:pPr>
      <w:r>
        <w:rPr>
          <w:sz w:val="21"/>
          <w:szCs w:val="21"/>
        </w:rPr>
        <w:t xml:space="preserve">Le cas « consulter les alertes de T_code » utilise un underscore alors que partout ailleurs le rapport écrit « T-code ». Harmoniser.</w:t>
      </w:r>
    </w:p>
    <w:p>
      <w:r>
        <w:br w:type="page"/>
      </w:r>
    </w:p>
    <w:p>
      <w:pPr>
        <w:pStyle w:val="Heading1"/>
      </w:pPr>
      <w:r>
        <w:t xml:space="preserve">F. Analyse de la similitude et recommandations de correction</w:t>
      </w:r>
    </w:p>
    <w:p>
      <w:pPr>
        <w:spacing w:after="100"/>
        <w:jc w:val="both"/>
      </w:pPr>
      <w:r>
        <w:rPr>
          <w:sz w:val="22"/>
          <w:szCs w:val="22"/>
        </w:rPr>
        <w:t xml:space="preserve">Section obligatoire en Format 1. Périmètre limité aux chapitres 2 et 3 fusionnés. Aucun détecteur (PlagEvent ou autre) n'a été exécuté ; il s'agit d'une estimation à partir d'une lecture humaine.</w:t>
      </w:r>
    </w:p>
    <w:p>
      <w:pPr>
        <w:pStyle w:val="Heading3"/>
      </w:pPr>
      <w:r>
        <w:t xml:space="preserve">§3.2.1–3.2.9 — Définitions ML, DL, Transformer, NLP, LLM, RAG, CAG</w:t>
      </w:r>
    </w:p>
    <w:p>
      <w:pPr>
        <w:spacing w:after="40"/>
      </w:pPr>
      <w:r>
        <w:rPr>
          <w:b/>
          <w:bCs/>
          <w:color w:val="2E75B6"/>
          <w:sz w:val="21"/>
          <w:szCs w:val="21"/>
        </w:rPr>
        <w:t xml:space="preserve">Risque : </w:t>
      </w:r>
      <w:r>
        <w:rPr>
          <w:b/>
          <w:bCs/>
          <w:color w:val="BF8F00"/>
          <w:sz w:val="21"/>
          <w:szCs w:val="21"/>
        </w:rPr>
        <w:t xml:space="preserve">Faible à moyen</w:t>
      </w:r>
    </w:p>
    <w:p>
      <w:pPr>
        <w:spacing w:after="40"/>
        <w:jc w:val="both"/>
      </w:pPr>
      <w:r>
        <w:rPr>
          <w:b/>
          <w:bCs/>
          <w:color w:val="2E75B6"/>
          <w:sz w:val="21"/>
          <w:szCs w:val="21"/>
        </w:rPr>
        <w:t xml:space="preserve">Passage : </w:t>
      </w:r>
      <w:r>
        <w:rPr>
          <w:sz w:val="21"/>
          <w:szCs w:val="21"/>
        </w:rPr>
        <w:t xml:space="preserve">Les définitions textuelles des notions techniques sont des présentations standards susceptibles d'être proches de formulations existantes (Hugging Face Docs, Weaviate Blog, articles de vulgarisation, IBM Think).</w:t>
      </w:r>
    </w:p>
    <w:p>
      <w:pPr>
        <w:spacing w:after="90"/>
        <w:jc w:val="both"/>
      </w:pPr>
      <w:r>
        <w:rPr>
          <w:b/>
          <w:bCs/>
          <w:color w:val="2E75B6"/>
          <w:sz w:val="21"/>
          <w:szCs w:val="21"/>
        </w:rPr>
        <w:t xml:space="preserve">Recommandation : </w:t>
      </w:r>
      <w:r>
        <w:rPr>
          <w:sz w:val="21"/>
          <w:szCs w:val="21"/>
        </w:rPr>
        <w:t xml:space="preserve">Bonne pratique déjà en place : la plupart des notions sont sourcées [1]-[9] dans le bibliographie. Vérifier qu'aucune phrase n'est verbatim d'une source. En cas de doute, s'appuyer sur Jurafsky &amp; Martin [6] (déjà bibliographié) pour ML/NLP, et sur Lewis et al. [7] pour RAG.</w:t>
      </w:r>
    </w:p>
    <w:p>
      <w:pPr>
        <w:pStyle w:val="Heading3"/>
      </w:pPr>
      <w:r>
        <w:t xml:space="preserve">§3.1.1 — Définition d'un ERP</w:t>
      </w:r>
    </w:p>
    <w:p>
      <w:pPr>
        <w:spacing w:after="40"/>
      </w:pPr>
      <w:r>
        <w:rPr>
          <w:b/>
          <w:bCs/>
          <w:color w:val="2E75B6"/>
          <w:sz w:val="21"/>
          <w:szCs w:val="21"/>
        </w:rPr>
        <w:t xml:space="preserve">Risque : </w:t>
      </w:r>
      <w:r>
        <w:rPr>
          <w:b/>
          <w:bCs/>
          <w:color w:val="548235"/>
          <w:sz w:val="21"/>
          <w:szCs w:val="21"/>
        </w:rPr>
        <w:t xml:space="preserve">Faible</w:t>
      </w:r>
    </w:p>
    <w:p>
      <w:pPr>
        <w:spacing w:after="40"/>
        <w:jc w:val="both"/>
      </w:pPr>
      <w:r>
        <w:rPr>
          <w:b/>
          <w:bCs/>
          <w:color w:val="2E75B6"/>
          <w:sz w:val="21"/>
          <w:szCs w:val="21"/>
        </w:rPr>
        <w:t xml:space="preserve">Passage : </w:t>
      </w:r>
      <w:r>
        <w:rPr>
          <w:sz w:val="21"/>
          <w:szCs w:val="21"/>
        </w:rPr>
        <w:t xml:space="preserve">« Un système ERP (Enterprise Resource Planning) est un logiciel qui intègre et gère les principaux processus métier d'une organisation… Il fournit une source unique de vérité… » est un phrasé classique qu'on retrouve dans de nombreuses pages produit SAP, Oracle, IBM.</w:t>
      </w:r>
    </w:p>
    <w:p>
      <w:pPr>
        <w:spacing w:after="90"/>
        <w:jc w:val="both"/>
      </w:pPr>
      <w:r>
        <w:rPr>
          <w:b/>
          <w:bCs/>
          <w:color w:val="2E75B6"/>
          <w:sz w:val="21"/>
          <w:szCs w:val="21"/>
        </w:rPr>
        <w:t xml:space="preserve">Recommandation : </w:t>
      </w:r>
      <w:r>
        <w:rPr>
          <w:sz w:val="21"/>
          <w:szCs w:val="21"/>
        </w:rPr>
        <w:t xml:space="preserve">Reformuler en 1-2 phrases en s'appuyant sur la documentation SAP officielle, et ajouter une référence.</w:t>
      </w:r>
    </w:p>
    <w:p>
      <w:pPr>
        <w:pStyle w:val="Heading3"/>
      </w:pPr>
      <w:r>
        <w:t xml:space="preserve">§3.1.2 — Rôle du consultant SAP BASIS</w:t>
      </w:r>
    </w:p>
    <w:p>
      <w:pPr>
        <w:spacing w:after="40"/>
      </w:pPr>
      <w:r>
        <w:rPr>
          <w:b/>
          <w:bCs/>
          <w:color w:val="2E75B6"/>
          <w:sz w:val="21"/>
          <w:szCs w:val="21"/>
        </w:rPr>
        <w:t xml:space="preserve">Risque : </w:t>
      </w:r>
      <w:r>
        <w:rPr>
          <w:b/>
          <w:bCs/>
          <w:color w:val="548235"/>
          <w:sz w:val="21"/>
          <w:szCs w:val="21"/>
        </w:rPr>
        <w:t xml:space="preserve">Faible</w:t>
      </w:r>
    </w:p>
    <w:p>
      <w:pPr>
        <w:spacing w:after="40"/>
        <w:jc w:val="both"/>
      </w:pPr>
      <w:r>
        <w:rPr>
          <w:b/>
          <w:bCs/>
          <w:color w:val="2E75B6"/>
          <w:sz w:val="21"/>
          <w:szCs w:val="21"/>
        </w:rPr>
        <w:t xml:space="preserve">Passage : </w:t>
      </w:r>
      <w:r>
        <w:rPr>
          <w:sz w:val="21"/>
          <w:szCs w:val="21"/>
        </w:rPr>
        <w:t xml:space="preserve">Le paragraphe énumère les responsabilités d'un consultant BASIS dans un style assez proche des descriptions de poste publiques (SAP Help Portal, articles RH).</w:t>
      </w:r>
    </w:p>
    <w:p>
      <w:pPr>
        <w:spacing w:after="90"/>
        <w:jc w:val="both"/>
      </w:pPr>
      <w:r>
        <w:rPr>
          <w:b/>
          <w:bCs/>
          <w:color w:val="2E75B6"/>
          <w:sz w:val="21"/>
          <w:szCs w:val="21"/>
        </w:rPr>
        <w:t xml:space="preserve">Recommandation : </w:t>
      </w:r>
      <w:r>
        <w:rPr>
          <w:sz w:val="21"/>
          <w:szCs w:val="21"/>
        </w:rPr>
        <w:t xml:space="preserve">Acceptable s'il est rédigé par le binôme à partir de l'expérience chez Avaxia. Citer la documentation SAP BASIS officielle en note de bas de page si la liste vient de là.</w:t>
      </w:r>
    </w:p>
    <w:p>
      <w:pPr>
        <w:spacing w:before="140"/>
        <w:jc w:val="both"/>
      </w:pPr>
      <w:r>
        <w:rPr>
          <w:b/>
          <w:bCs/>
          <w:color w:val="1F3864"/>
          <w:sz w:val="20"/>
          <w:szCs w:val="20"/>
        </w:rPr>
        <w:t xml:space="preserve">Rappel de méthode : </w:t>
      </w:r>
      <w:r>
        <w:rPr>
          <w:sz w:val="20"/>
          <w:szCs w:val="20"/>
        </w:rPr>
        <w:t xml:space="preserve">toute reformulation « avant → après » dans cette fusion est légitime au Format 1, mais ne doit jamais servir à dissimuler un emprunt non sourcé. Quand l'idée vient d'une source identifiable, on cite ; on ne paraphrase pas pour cacher.</w:t>
      </w:r>
    </w:p>
    <w:p>
      <w:r>
        <w:br w:type="page"/>
      </w:r>
    </w:p>
    <w:p>
      <w:pPr>
        <w:pStyle w:val="Heading1"/>
      </w:pPr>
      <w:r>
        <w:t xml:space="preserve">Ordre de mise en œuvre recommandé</w:t>
      </w:r>
    </w:p>
    <w:p>
      <w:pPr>
        <w:spacing w:after="40" w:before="60"/>
        <w:jc w:val="both"/>
      </w:pPr>
      <w:r>
        <w:rPr>
          <w:b/>
          <w:bCs/>
          <w:color w:val="1F3864"/>
          <w:sz w:val="23"/>
          <w:szCs w:val="23"/>
        </w:rPr>
        <w:t xml:space="preserve">1. </w:t>
      </w:r>
      <w:r>
        <w:rPr>
          <w:sz w:val="22"/>
          <w:szCs w:val="22"/>
        </w:rPr>
        <w:t xml:space="preserve">Restaurer la version chiffrée des besoins non fonctionnels (§2.3.3 du nouveau plan) et le Tableau 2.2 de synthèse. C'est la P1 la plus visible.</w:t>
      </w:r>
    </w:p>
    <w:p>
      <w:pPr>
        <w:spacing w:after="40" w:before="60"/>
        <w:jc w:val="both"/>
      </w:pPr>
      <w:r>
        <w:rPr>
          <w:b/>
          <w:bCs/>
          <w:color w:val="1F3864"/>
          <w:sz w:val="23"/>
          <w:szCs w:val="23"/>
        </w:rPr>
        <w:t xml:space="preserve">2. </w:t>
      </w:r>
      <w:r>
        <w:rPr>
          <w:sz w:val="22"/>
          <w:szCs w:val="22"/>
        </w:rPr>
        <w:t xml:space="preserve">Rapatrier le diagramme de cas d'utilisation depuis l'actuel §8.3 vers §2.3.4 du chapitre fusionné, en corrigeant au passage les «&lt;&lt;extend&gt;&gt;», l'étiquette de frontière (« AutoMoni ») et le cas admin manquant.</w:t>
      </w:r>
    </w:p>
    <w:p>
      <w:pPr>
        <w:spacing w:after="40" w:before="60"/>
        <w:jc w:val="both"/>
      </w:pPr>
      <w:r>
        <w:rPr>
          <w:b/>
          <w:bCs/>
          <w:color w:val="1F3864"/>
          <w:sz w:val="23"/>
          <w:szCs w:val="23"/>
        </w:rPr>
        <w:t xml:space="preserve">3. </w:t>
      </w:r>
      <w:r>
        <w:rPr>
          <w:sz w:val="22"/>
          <w:szCs w:val="22"/>
        </w:rPr>
        <w:t xml:space="preserve">Fusionner physiquement les deux chapitres LaTeX : déplacer les sections de l'actuel ch.3 sous le ch.2 selon le plan §B. Renommer le ch.2 en « Compréhension métier et spécification des besoins ».</w:t>
      </w:r>
    </w:p>
    <w:p>
      <w:pPr>
        <w:spacing w:after="40" w:before="60"/>
        <w:jc w:val="both"/>
      </w:pPr>
      <w:r>
        <w:rPr>
          <w:b/>
          <w:bCs/>
          <w:color w:val="1F3864"/>
          <w:sz w:val="23"/>
          <w:szCs w:val="23"/>
        </w:rPr>
        <w:t xml:space="preserve">4. </w:t>
      </w:r>
      <w:r>
        <w:rPr>
          <w:sz w:val="22"/>
          <w:szCs w:val="22"/>
        </w:rPr>
        <w:t xml:space="preserve">Réécrire l'introduction et la conclusion du nouveau ch.2 pour couvrir l'ensemble de la phase Business Understanding. Supprimer les promesses résiduelles de « détection d'anomalies » dans §2.2 (Vision), §2.1.3 (T-codes) et la conclusion.</w:t>
      </w:r>
    </w:p>
    <w:p>
      <w:pPr>
        <w:spacing w:after="40" w:before="60"/>
        <w:jc w:val="both"/>
      </w:pPr>
      <w:r>
        <w:rPr>
          <w:b/>
          <w:bCs/>
          <w:color w:val="1F3864"/>
          <w:sz w:val="23"/>
          <w:szCs w:val="23"/>
        </w:rPr>
        <w:t xml:space="preserve">5. </w:t>
      </w:r>
      <w:r>
        <w:rPr>
          <w:sz w:val="22"/>
          <w:szCs w:val="22"/>
        </w:rPr>
        <w:t xml:space="preserve">Renuméroter ch.4 → ch.3, ch.5 → ch.4, etc. Recompiler deux fois pour propagation TOC + LOF + LOT.</w:t>
      </w:r>
    </w:p>
    <w:p>
      <w:pPr>
        <w:spacing w:after="40" w:before="60"/>
        <w:jc w:val="both"/>
      </w:pPr>
      <w:r>
        <w:rPr>
          <w:b/>
          <w:bCs/>
          <w:color w:val="1F3864"/>
          <w:sz w:val="23"/>
          <w:szCs w:val="23"/>
        </w:rPr>
        <w:t xml:space="preserve">6. </w:t>
      </w:r>
      <w:r>
        <w:rPr>
          <w:sz w:val="22"/>
          <w:szCs w:val="22"/>
        </w:rPr>
        <w:t xml:space="preserve">Supprimer le §8.3 actuel et remonter la sous-section « Technologies utilisées » comme section autonome du chapitre Déploiement.</w:t>
      </w:r>
    </w:p>
    <w:p>
      <w:pPr>
        <w:spacing w:after="40" w:before="60"/>
        <w:jc w:val="both"/>
      </w:pPr>
      <w:r>
        <w:rPr>
          <w:b/>
          <w:bCs/>
          <w:color w:val="1F3864"/>
          <w:sz w:val="23"/>
          <w:szCs w:val="23"/>
        </w:rPr>
        <w:t xml:space="preserve">7. </w:t>
      </w:r>
      <w:r>
        <w:rPr>
          <w:sz w:val="22"/>
          <w:szCs w:val="22"/>
        </w:rPr>
        <w:t xml:space="preserve">Lecture finale du chapitre fusionné contre la grille CRISP-DM Phase 1 (cf. §A) : pour chaque tâche officielle, vérifier que le livrable est bien présent dans le chapitre.</w:t>
      </w:r>
    </w:p>
    <w:p>
      <w:pPr>
        <w:pBdr>
          <w:top w:val="single" w:color="C9C9C9" w:sz="6" w:space="6"/>
        </w:pBdr>
        <w:spacing w:before="200"/>
      </w:pPr>
      <w:r>
        <w:rPr>
          <w:b/>
          <w:bCs/>
          <w:color w:val="1F3864"/>
          <w:sz w:val="20"/>
          <w:szCs w:val="20"/>
        </w:rPr>
        <w:t xml:space="preserve">Note de méthode. </w:t>
      </w:r>
      <w:r>
        <w:rPr>
          <w:sz w:val="20"/>
          <w:szCs w:val="20"/>
        </w:rPr>
        <w:t xml:space="preserve">Référentiel principal : Chapman, P., Clinton, J., Kerber, R., Khabaza, T., Reinartz, T., Shearer, C., &amp; Wirth, R. (2000). </w:t>
      </w:r>
      <w:r>
        <w:rPr>
          <w:i/>
          <w:iCs/>
          <w:sz w:val="20"/>
          <w:szCs w:val="20"/>
        </w:rPr>
        <w:t xml:space="preserve">CRISP-DM 1.0 : Step-by-step Data Mining Guide</w:t>
      </w:r>
      <w:r>
        <w:rPr>
          <w:sz w:val="20"/>
          <w:szCs w:val="20"/>
        </w:rPr>
        <w:t xml:space="preserve">. SPSS Inc. — référence canonique non remplacée à ce jour. La prestation orale sera évaluée le jour J → </w:t>
      </w:r>
      <w:r>
        <w:rPr>
          <w:b/>
          <w:bCs/>
          <w:sz w:val="20"/>
          <w:szCs w:val="20"/>
        </w:rPr>
        <w:t xml:space="preserve">[À COMPLÉTER LE JOUR DE LA SOUTENANCE]</w:t>
      </w:r>
      <w:r>
        <w:rPr>
          <w:sz w:val="20"/>
          <w:szCs w:val="20"/>
        </w:rPr>
        <w:t xml:space="preserve">.</w:t>
      </w:r>
    </w:p>
    <w:sectPr>
      <w:headerReference w:type="default" r:id="rId7"/>
      <w:footerReference w:type="default" r:id="rId8"/>
      <w:pgSz w:w="16838" w:h="11906"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Format 1 — Encadrement (sans notation)   ·   note ciblée — 4 juin 2026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9C9" w:sz="4" w:space="3"/>
      </w:pBdr>
    </w:pPr>
    <w:r>
      <w:rPr>
        <w:color w:val="595959"/>
        <w:sz w:val="16"/>
        <w:szCs w:val="16"/>
      </w:rPr>
      <w:t xml:space="preserve">Retour d'encadrement — Fusion ch.2 + ch.3 — PFE Assistant SAP (RAG) — ISET Radès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3"/>
      </w:pBdr>
      <w:spacing w:after="140" w:before="200"/>
      <w:outlineLvl w:val="0"/>
    </w:pPr>
    <w:rPr>
      <w:rFonts w:ascii="Arial" w:cs="Arial" w:eastAsia="Arial" w:hAnsi="Arial"/>
      <w:b/>
      <w:bCs/>
      <w:color w:val="1F3864"/>
      <w:sz w:val="30"/>
      <w:szCs w:val="30"/>
    </w:rPr>
  </w:style>
  <w:style w:type="paragraph" w:styleId="Heading2">
    <w:name w:val="Heading 2"/>
    <w:basedOn w:val="Normal"/>
    <w:next w:val="Normal"/>
    <w:qFormat/>
    <w:pPr>
      <w:shd w:fill="2E75B6" w:val="clear"/>
      <w:spacing w:after="80" w:before="160"/>
      <w:ind w:left="60"/>
      <w:outlineLvl w:val="1"/>
    </w:pPr>
    <w:rPr>
      <w:rFonts w:ascii="Arial" w:cs="Arial" w:eastAsia="Arial" w:hAnsi="Arial"/>
      <w:b/>
      <w:bCs/>
      <w:color w:val="FFFFFF"/>
      <w:sz w:val="24"/>
      <w:szCs w:val="24"/>
    </w:rPr>
  </w:style>
  <w:style w:type="paragraph" w:styleId="Heading3">
    <w:name w:val="Heading 3"/>
    <w:basedOn w:val="Normal"/>
    <w:next w:val="Normal"/>
    <w:qFormat/>
    <w:pPr>
      <w:spacing w:after="60" w:before="14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2026-06-09T08:57:21.769Z</dcterms:created>
  <dcterms:modified xsi:type="dcterms:W3CDTF">2026-06-09T08:57:21.781Z</dcterms:modified>
</cp:coreProperties>
</file>

<file path=docProps/custom.xml><?xml version="1.0" encoding="utf-8"?>
<Properties xmlns="http://schemas.openxmlformats.org/officeDocument/2006/custom-properties" xmlns:vt="http://schemas.openxmlformats.org/officeDocument/2006/docPropsVTypes"/>
</file>