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DE" w:rsidRDefault="005425DE" w:rsidP="005425DE">
      <w:pPr>
        <w:tabs>
          <w:tab w:val="right" w:pos="2287"/>
        </w:tabs>
        <w:jc w:val="center"/>
        <w:rPr>
          <w:sz w:val="21"/>
          <w:lang w:bidi="ar-EG"/>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2287"/>
        </w:tabs>
        <w:jc w:val="center"/>
        <w:rPr>
          <w:sz w:val="21"/>
        </w:rPr>
      </w:pPr>
    </w:p>
    <w:p w:rsidR="005425DE" w:rsidRDefault="005425DE" w:rsidP="005425DE">
      <w:pPr>
        <w:tabs>
          <w:tab w:val="right" w:pos="1509"/>
        </w:tabs>
        <w:jc w:val="center"/>
        <w:rPr>
          <w:b/>
          <w:sz w:val="28"/>
          <w:szCs w:val="28"/>
        </w:rPr>
      </w:pPr>
      <w:r>
        <w:rPr>
          <w:b/>
          <w:sz w:val="28"/>
          <w:szCs w:val="28"/>
        </w:rPr>
        <w:t>Safe Work Requirement</w:t>
      </w:r>
    </w:p>
    <w:p w:rsidR="005425DE" w:rsidRDefault="005425DE" w:rsidP="005425DE">
      <w:pPr>
        <w:tabs>
          <w:tab w:val="right" w:pos="2287"/>
        </w:tabs>
        <w:jc w:val="center"/>
        <w:rPr>
          <w:b/>
          <w:sz w:val="21"/>
        </w:rPr>
      </w:pPr>
    </w:p>
    <w:p w:rsidR="005425DE" w:rsidRDefault="005425DE" w:rsidP="005425DE">
      <w:pPr>
        <w:pStyle w:val="headingunnumbered"/>
        <w:tabs>
          <w:tab w:val="right" w:pos="9356"/>
        </w:tabs>
        <w:spacing w:after="0"/>
        <w:jc w:val="center"/>
        <w:rPr>
          <w:rFonts w:ascii="Arial Narrow" w:hAnsi="Arial Narrow"/>
          <w:sz w:val="44"/>
          <w:szCs w:val="44"/>
          <w:lang w:eastAsia="zh-CN"/>
        </w:rPr>
      </w:pPr>
      <w:r w:rsidRPr="00907EED">
        <w:rPr>
          <w:rFonts w:ascii="Arial Narrow" w:hAnsi="Arial Narrow"/>
          <w:sz w:val="44"/>
          <w:szCs w:val="44"/>
          <w:lang w:eastAsia="zh-CN"/>
        </w:rPr>
        <w:t>Abrasive Wheels and Grinders</w:t>
      </w:r>
    </w:p>
    <w:p w:rsidR="005425DE" w:rsidRDefault="005425DE" w:rsidP="005425DE">
      <w:pPr>
        <w:pStyle w:val="headingunnumbered"/>
        <w:tabs>
          <w:tab w:val="right" w:pos="2287"/>
        </w:tabs>
        <w:spacing w:after="0"/>
        <w:jc w:val="center"/>
        <w:rPr>
          <w:rFonts w:asciiTheme="minorEastAsia" w:eastAsiaTheme="minorEastAsia" w:hAnsiTheme="minorEastAsia"/>
          <w:b w:val="0"/>
          <w:sz w:val="28"/>
          <w:szCs w:val="28"/>
          <w:lang w:eastAsia="zh-CN"/>
        </w:rPr>
      </w:pPr>
    </w:p>
    <w:p w:rsidR="00BC3FDE" w:rsidRDefault="00BC3FDE" w:rsidP="00D523F5">
      <w:pPr>
        <w:rPr>
          <w:b/>
          <w:sz w:val="18"/>
          <w:szCs w:val="18"/>
        </w:rPr>
      </w:pPr>
    </w:p>
    <w:p w:rsidR="00AD3330" w:rsidRDefault="00AD3330" w:rsidP="00D523F5">
      <w:pPr>
        <w:sectPr w:rsidR="00AD3330" w:rsidSect="00FC39FE">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w:eastAsiaTheme="minorEastAsia" w:hAnsi="Arial"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225BDE" w:rsidRDefault="00F90D45" w:rsidP="00FC39FE">
          <w:pPr>
            <w:pStyle w:val="TOCHeading"/>
            <w:jc w:val="center"/>
            <w:rPr>
              <w:color w:val="auto"/>
            </w:rPr>
          </w:pPr>
          <w:r w:rsidRPr="00225BDE">
            <w:rPr>
              <w:rFonts w:ascii="Arial" w:hAnsi="Arial" w:cs="Arial"/>
              <w:color w:val="auto"/>
              <w:sz w:val="21"/>
              <w:szCs w:val="21"/>
              <w:lang w:val="zh-CN"/>
            </w:rPr>
            <w:t>Table of Content</w:t>
          </w:r>
        </w:p>
        <w:p w:rsidR="00030AE7" w:rsidRDefault="0044190A" w:rsidP="00FC39FE">
          <w:pPr>
            <w:pStyle w:val="TOC1"/>
            <w:jc w:val="center"/>
            <w:rPr>
              <w:rFonts w:asciiTheme="minorHAnsi" w:eastAsiaTheme="minorEastAsia" w:hAnsiTheme="minorHAnsi" w:cstheme="minorBidi"/>
              <w:noProof/>
              <w:sz w:val="21"/>
              <w:szCs w:val="22"/>
            </w:rPr>
          </w:pPr>
          <w:r>
            <w:rPr>
              <w:szCs w:val="18"/>
            </w:rPr>
            <w:fldChar w:fldCharType="begin"/>
          </w:r>
          <w:r w:rsidR="007A595E">
            <w:rPr>
              <w:szCs w:val="18"/>
            </w:rPr>
            <w:instrText xml:space="preserve"> TOC \o "1-2" \h \z \u </w:instrText>
          </w:r>
          <w:r>
            <w:rPr>
              <w:szCs w:val="18"/>
            </w:rPr>
            <w:fldChar w:fldCharType="separate"/>
          </w:r>
          <w:hyperlink w:anchor="_Toc477159117" w:history="1">
            <w:r w:rsidR="00030AE7" w:rsidRPr="0022420A">
              <w:rPr>
                <w:rStyle w:val="Hyperlink"/>
                <w:bCs/>
                <w:noProof/>
              </w:rPr>
              <w:t>1.</w:t>
            </w:r>
            <w:r w:rsidR="00030AE7">
              <w:rPr>
                <w:rFonts w:asciiTheme="minorHAnsi" w:eastAsiaTheme="minorEastAsia" w:hAnsiTheme="minorHAnsi" w:cstheme="minorBidi"/>
                <w:noProof/>
                <w:sz w:val="21"/>
                <w:szCs w:val="22"/>
              </w:rPr>
              <w:tab/>
            </w:r>
            <w:r w:rsidR="00030AE7" w:rsidRPr="0022420A">
              <w:rPr>
                <w:rStyle w:val="Hyperlink"/>
                <w:bCs/>
                <w:noProof/>
              </w:rPr>
              <w:t>PURPOSE</w:t>
            </w:r>
            <w:r w:rsidR="00030AE7">
              <w:rPr>
                <w:noProof/>
                <w:webHidden/>
              </w:rPr>
              <w:tab/>
            </w:r>
            <w:r w:rsidR="00030AE7">
              <w:rPr>
                <w:noProof/>
                <w:webHidden/>
              </w:rPr>
              <w:fldChar w:fldCharType="begin"/>
            </w:r>
            <w:r w:rsidR="00030AE7">
              <w:rPr>
                <w:noProof/>
                <w:webHidden/>
              </w:rPr>
              <w:instrText xml:space="preserve"> PAGEREF _Toc477159117 \h </w:instrText>
            </w:r>
            <w:r w:rsidR="00030AE7">
              <w:rPr>
                <w:noProof/>
                <w:webHidden/>
              </w:rPr>
            </w:r>
            <w:r w:rsidR="00030AE7">
              <w:rPr>
                <w:noProof/>
                <w:webHidden/>
              </w:rPr>
              <w:fldChar w:fldCharType="separate"/>
            </w:r>
            <w:r w:rsidR="00C257CC">
              <w:rPr>
                <w:noProof/>
                <w:webHidden/>
              </w:rPr>
              <w:t>1</w:t>
            </w:r>
            <w:r w:rsidR="00030AE7">
              <w:rPr>
                <w:noProof/>
                <w:webHidden/>
              </w:rPr>
              <w:fldChar w:fldCharType="end"/>
            </w:r>
          </w:hyperlink>
        </w:p>
        <w:p w:rsidR="00030AE7" w:rsidRDefault="007F61E4" w:rsidP="00FC39FE">
          <w:pPr>
            <w:pStyle w:val="TOC1"/>
            <w:jc w:val="center"/>
            <w:rPr>
              <w:rFonts w:asciiTheme="minorHAnsi" w:eastAsiaTheme="minorEastAsia" w:hAnsiTheme="minorHAnsi" w:cstheme="minorBidi"/>
              <w:noProof/>
              <w:sz w:val="21"/>
              <w:szCs w:val="22"/>
            </w:rPr>
          </w:pPr>
          <w:hyperlink w:anchor="_Toc477159118" w:history="1">
            <w:r w:rsidR="00030AE7" w:rsidRPr="0022420A">
              <w:rPr>
                <w:rStyle w:val="Hyperlink"/>
                <w:bCs/>
                <w:noProof/>
              </w:rPr>
              <w:t>2.</w:t>
            </w:r>
            <w:r w:rsidR="00030AE7">
              <w:rPr>
                <w:rFonts w:asciiTheme="minorHAnsi" w:eastAsiaTheme="minorEastAsia" w:hAnsiTheme="minorHAnsi" w:cstheme="minorBidi"/>
                <w:noProof/>
                <w:sz w:val="21"/>
                <w:szCs w:val="22"/>
              </w:rPr>
              <w:tab/>
            </w:r>
            <w:r w:rsidR="00030AE7" w:rsidRPr="0022420A">
              <w:rPr>
                <w:rStyle w:val="Hyperlink"/>
                <w:bCs/>
                <w:noProof/>
              </w:rPr>
              <w:t>SCOPE</w:t>
            </w:r>
            <w:r w:rsidR="00030AE7">
              <w:rPr>
                <w:noProof/>
                <w:webHidden/>
              </w:rPr>
              <w:tab/>
            </w:r>
            <w:r w:rsidR="00030AE7">
              <w:rPr>
                <w:noProof/>
                <w:webHidden/>
              </w:rPr>
              <w:fldChar w:fldCharType="begin"/>
            </w:r>
            <w:r w:rsidR="00030AE7">
              <w:rPr>
                <w:noProof/>
                <w:webHidden/>
              </w:rPr>
              <w:instrText xml:space="preserve"> PAGEREF _Toc477159118 \h </w:instrText>
            </w:r>
            <w:r w:rsidR="00030AE7">
              <w:rPr>
                <w:noProof/>
                <w:webHidden/>
              </w:rPr>
            </w:r>
            <w:r w:rsidR="00030AE7">
              <w:rPr>
                <w:noProof/>
                <w:webHidden/>
              </w:rPr>
              <w:fldChar w:fldCharType="separate"/>
            </w:r>
            <w:r w:rsidR="00C257CC">
              <w:rPr>
                <w:noProof/>
                <w:webHidden/>
              </w:rPr>
              <w:t>1</w:t>
            </w:r>
            <w:r w:rsidR="00030AE7">
              <w:rPr>
                <w:noProof/>
                <w:webHidden/>
              </w:rPr>
              <w:fldChar w:fldCharType="end"/>
            </w:r>
          </w:hyperlink>
        </w:p>
        <w:p w:rsidR="00030AE7" w:rsidRDefault="007F61E4" w:rsidP="00FC39FE">
          <w:pPr>
            <w:pStyle w:val="TOC1"/>
            <w:jc w:val="center"/>
            <w:rPr>
              <w:rFonts w:asciiTheme="minorHAnsi" w:eastAsiaTheme="minorEastAsia" w:hAnsiTheme="minorHAnsi" w:cstheme="minorBidi"/>
              <w:noProof/>
              <w:sz w:val="21"/>
              <w:szCs w:val="22"/>
            </w:rPr>
          </w:pPr>
          <w:hyperlink w:anchor="_Toc477159119" w:history="1">
            <w:r w:rsidR="00030AE7" w:rsidRPr="0022420A">
              <w:rPr>
                <w:rStyle w:val="Hyperlink"/>
                <w:bCs/>
                <w:noProof/>
              </w:rPr>
              <w:t>3.</w:t>
            </w:r>
            <w:r w:rsidR="00030AE7">
              <w:rPr>
                <w:rFonts w:asciiTheme="minorHAnsi" w:eastAsiaTheme="minorEastAsia" w:hAnsiTheme="minorHAnsi" w:cstheme="minorBidi"/>
                <w:noProof/>
                <w:sz w:val="21"/>
                <w:szCs w:val="22"/>
              </w:rPr>
              <w:tab/>
            </w:r>
            <w:r w:rsidR="00030AE7" w:rsidRPr="0022420A">
              <w:rPr>
                <w:rStyle w:val="Hyperlink"/>
                <w:bCs/>
                <w:noProof/>
              </w:rPr>
              <w:t>RESPONSIBILITY</w:t>
            </w:r>
            <w:r w:rsidR="00030AE7">
              <w:rPr>
                <w:noProof/>
                <w:webHidden/>
              </w:rPr>
              <w:tab/>
            </w:r>
            <w:r w:rsidR="00030AE7">
              <w:rPr>
                <w:noProof/>
                <w:webHidden/>
              </w:rPr>
              <w:fldChar w:fldCharType="begin"/>
            </w:r>
            <w:r w:rsidR="00030AE7">
              <w:rPr>
                <w:noProof/>
                <w:webHidden/>
              </w:rPr>
              <w:instrText xml:space="preserve"> PAGEREF _Toc477159119 \h </w:instrText>
            </w:r>
            <w:r w:rsidR="00030AE7">
              <w:rPr>
                <w:noProof/>
                <w:webHidden/>
              </w:rPr>
            </w:r>
            <w:r w:rsidR="00030AE7">
              <w:rPr>
                <w:noProof/>
                <w:webHidden/>
              </w:rPr>
              <w:fldChar w:fldCharType="separate"/>
            </w:r>
            <w:r w:rsidR="00C257CC">
              <w:rPr>
                <w:noProof/>
                <w:webHidden/>
              </w:rPr>
              <w:t>1</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23" w:history="1">
            <w:r w:rsidR="00030AE7" w:rsidRPr="0022420A">
              <w:rPr>
                <w:rStyle w:val="Hyperlink"/>
                <w:noProof/>
              </w:rPr>
              <w:t>3.1</w:t>
            </w:r>
            <w:r w:rsidR="00030AE7">
              <w:rPr>
                <w:rFonts w:asciiTheme="minorHAnsi" w:eastAsiaTheme="minorEastAsia" w:hAnsiTheme="minorHAnsi" w:cstheme="minorBidi"/>
                <w:noProof/>
                <w:sz w:val="21"/>
                <w:szCs w:val="22"/>
              </w:rPr>
              <w:tab/>
            </w:r>
            <w:r w:rsidR="00030AE7" w:rsidRPr="0022420A">
              <w:rPr>
                <w:rStyle w:val="Hyperlink"/>
                <w:noProof/>
              </w:rPr>
              <w:t>Rig Manager</w:t>
            </w:r>
            <w:r w:rsidR="00030AE7">
              <w:rPr>
                <w:noProof/>
                <w:webHidden/>
              </w:rPr>
              <w:tab/>
            </w:r>
            <w:r w:rsidR="00030AE7">
              <w:rPr>
                <w:noProof/>
                <w:webHidden/>
              </w:rPr>
              <w:fldChar w:fldCharType="begin"/>
            </w:r>
            <w:r w:rsidR="00030AE7">
              <w:rPr>
                <w:noProof/>
                <w:webHidden/>
              </w:rPr>
              <w:instrText xml:space="preserve"> PAGEREF _Toc477159123 \h </w:instrText>
            </w:r>
            <w:r w:rsidR="00030AE7">
              <w:rPr>
                <w:noProof/>
                <w:webHidden/>
              </w:rPr>
            </w:r>
            <w:r w:rsidR="00030AE7">
              <w:rPr>
                <w:noProof/>
                <w:webHidden/>
              </w:rPr>
              <w:fldChar w:fldCharType="separate"/>
            </w:r>
            <w:r w:rsidR="00C257CC">
              <w:rPr>
                <w:noProof/>
                <w:webHidden/>
              </w:rPr>
              <w:t>1</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24" w:history="1">
            <w:r w:rsidR="00030AE7" w:rsidRPr="0022420A">
              <w:rPr>
                <w:rStyle w:val="Hyperlink"/>
                <w:noProof/>
              </w:rPr>
              <w:t>3.2</w:t>
            </w:r>
            <w:r w:rsidR="00030AE7">
              <w:rPr>
                <w:rFonts w:asciiTheme="minorHAnsi" w:eastAsiaTheme="minorEastAsia" w:hAnsiTheme="minorHAnsi" w:cstheme="minorBidi"/>
                <w:noProof/>
                <w:sz w:val="21"/>
                <w:szCs w:val="22"/>
              </w:rPr>
              <w:tab/>
            </w:r>
            <w:r w:rsidR="00030AE7" w:rsidRPr="0022420A">
              <w:rPr>
                <w:rStyle w:val="Hyperlink"/>
                <w:noProof/>
              </w:rPr>
              <w:t>HSE Supervisor</w:t>
            </w:r>
            <w:r w:rsidR="00030AE7">
              <w:rPr>
                <w:noProof/>
                <w:webHidden/>
              </w:rPr>
              <w:tab/>
            </w:r>
            <w:r w:rsidR="00030AE7">
              <w:rPr>
                <w:noProof/>
                <w:webHidden/>
              </w:rPr>
              <w:fldChar w:fldCharType="begin"/>
            </w:r>
            <w:r w:rsidR="00030AE7">
              <w:rPr>
                <w:noProof/>
                <w:webHidden/>
              </w:rPr>
              <w:instrText xml:space="preserve"> PAGEREF _Toc477159124 \h </w:instrText>
            </w:r>
            <w:r w:rsidR="00030AE7">
              <w:rPr>
                <w:noProof/>
                <w:webHidden/>
              </w:rPr>
            </w:r>
            <w:r w:rsidR="00030AE7">
              <w:rPr>
                <w:noProof/>
                <w:webHidden/>
              </w:rPr>
              <w:fldChar w:fldCharType="separate"/>
            </w:r>
            <w:r w:rsidR="00C257CC">
              <w:rPr>
                <w:noProof/>
                <w:webHidden/>
              </w:rPr>
              <w:t>1</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25" w:history="1">
            <w:r w:rsidR="00030AE7" w:rsidRPr="0022420A">
              <w:rPr>
                <w:rStyle w:val="Hyperlink"/>
                <w:noProof/>
              </w:rPr>
              <w:t>3.3</w:t>
            </w:r>
            <w:r w:rsidR="00030AE7">
              <w:rPr>
                <w:rFonts w:asciiTheme="minorHAnsi" w:eastAsiaTheme="minorEastAsia" w:hAnsiTheme="minorHAnsi" w:cstheme="minorBidi"/>
                <w:noProof/>
                <w:sz w:val="21"/>
                <w:szCs w:val="22"/>
              </w:rPr>
              <w:tab/>
            </w:r>
            <w:r w:rsidR="00030AE7" w:rsidRPr="0022420A">
              <w:rPr>
                <w:rStyle w:val="Hyperlink"/>
                <w:noProof/>
              </w:rPr>
              <w:t>Operator</w:t>
            </w:r>
            <w:r w:rsidR="00030AE7">
              <w:rPr>
                <w:noProof/>
                <w:webHidden/>
              </w:rPr>
              <w:tab/>
            </w:r>
            <w:r w:rsidR="00030AE7">
              <w:rPr>
                <w:noProof/>
                <w:webHidden/>
              </w:rPr>
              <w:fldChar w:fldCharType="begin"/>
            </w:r>
            <w:r w:rsidR="00030AE7">
              <w:rPr>
                <w:noProof/>
                <w:webHidden/>
              </w:rPr>
              <w:instrText xml:space="preserve"> PAGEREF _Toc477159125 \h </w:instrText>
            </w:r>
            <w:r w:rsidR="00030AE7">
              <w:rPr>
                <w:noProof/>
                <w:webHidden/>
              </w:rPr>
            </w:r>
            <w:r w:rsidR="00030AE7">
              <w:rPr>
                <w:noProof/>
                <w:webHidden/>
              </w:rPr>
              <w:fldChar w:fldCharType="separate"/>
            </w:r>
            <w:r w:rsidR="00C257CC">
              <w:rPr>
                <w:noProof/>
                <w:webHidden/>
              </w:rPr>
              <w:t>2</w:t>
            </w:r>
            <w:r w:rsidR="00030AE7">
              <w:rPr>
                <w:noProof/>
                <w:webHidden/>
              </w:rPr>
              <w:fldChar w:fldCharType="end"/>
            </w:r>
          </w:hyperlink>
        </w:p>
        <w:p w:rsidR="00030AE7" w:rsidRDefault="007F61E4" w:rsidP="00FC39FE">
          <w:pPr>
            <w:pStyle w:val="TOC1"/>
            <w:jc w:val="center"/>
            <w:rPr>
              <w:rFonts w:asciiTheme="minorHAnsi" w:eastAsiaTheme="minorEastAsia" w:hAnsiTheme="minorHAnsi" w:cstheme="minorBidi"/>
              <w:noProof/>
              <w:sz w:val="21"/>
              <w:szCs w:val="22"/>
            </w:rPr>
          </w:pPr>
          <w:hyperlink w:anchor="_Toc477159126" w:history="1">
            <w:r w:rsidR="00030AE7" w:rsidRPr="0022420A">
              <w:rPr>
                <w:rStyle w:val="Hyperlink"/>
                <w:bCs/>
                <w:noProof/>
              </w:rPr>
              <w:t>4.</w:t>
            </w:r>
            <w:r w:rsidR="00030AE7">
              <w:rPr>
                <w:rFonts w:asciiTheme="minorHAnsi" w:eastAsiaTheme="minorEastAsia" w:hAnsiTheme="minorHAnsi" w:cstheme="minorBidi"/>
                <w:noProof/>
                <w:sz w:val="21"/>
                <w:szCs w:val="22"/>
              </w:rPr>
              <w:tab/>
            </w:r>
            <w:r w:rsidR="00030AE7" w:rsidRPr="0022420A">
              <w:rPr>
                <w:rStyle w:val="Hyperlink"/>
                <w:bCs/>
                <w:noProof/>
              </w:rPr>
              <w:t>PROCEDURES AND GUIDELINES</w:t>
            </w:r>
            <w:r w:rsidR="00030AE7">
              <w:rPr>
                <w:noProof/>
                <w:webHidden/>
              </w:rPr>
              <w:tab/>
            </w:r>
            <w:r w:rsidR="00030AE7">
              <w:rPr>
                <w:noProof/>
                <w:webHidden/>
              </w:rPr>
              <w:fldChar w:fldCharType="begin"/>
            </w:r>
            <w:r w:rsidR="00030AE7">
              <w:rPr>
                <w:noProof/>
                <w:webHidden/>
              </w:rPr>
              <w:instrText xml:space="preserve"> PAGEREF _Toc477159126 \h </w:instrText>
            </w:r>
            <w:r w:rsidR="00030AE7">
              <w:rPr>
                <w:noProof/>
                <w:webHidden/>
              </w:rPr>
            </w:r>
            <w:r w:rsidR="00030AE7">
              <w:rPr>
                <w:noProof/>
                <w:webHidden/>
              </w:rPr>
              <w:fldChar w:fldCharType="separate"/>
            </w:r>
            <w:r w:rsidR="00C257CC">
              <w:rPr>
                <w:noProof/>
                <w:webHidden/>
              </w:rPr>
              <w:t>2</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28" w:history="1">
            <w:r w:rsidR="00030AE7" w:rsidRPr="0022420A">
              <w:rPr>
                <w:rStyle w:val="Hyperlink"/>
                <w:noProof/>
              </w:rPr>
              <w:t>4.1</w:t>
            </w:r>
            <w:r w:rsidR="00030AE7">
              <w:rPr>
                <w:rFonts w:asciiTheme="minorHAnsi" w:eastAsiaTheme="minorEastAsia" w:hAnsiTheme="minorHAnsi" w:cstheme="minorBidi"/>
                <w:noProof/>
                <w:sz w:val="21"/>
                <w:szCs w:val="22"/>
              </w:rPr>
              <w:tab/>
            </w:r>
            <w:r w:rsidR="00030AE7" w:rsidRPr="0022420A">
              <w:rPr>
                <w:rStyle w:val="Hyperlink"/>
                <w:noProof/>
              </w:rPr>
              <w:t>Work Site Safety</w:t>
            </w:r>
            <w:r w:rsidR="00030AE7">
              <w:rPr>
                <w:noProof/>
                <w:webHidden/>
              </w:rPr>
              <w:tab/>
            </w:r>
            <w:r w:rsidR="00030AE7">
              <w:rPr>
                <w:noProof/>
                <w:webHidden/>
              </w:rPr>
              <w:fldChar w:fldCharType="begin"/>
            </w:r>
            <w:r w:rsidR="00030AE7">
              <w:rPr>
                <w:noProof/>
                <w:webHidden/>
              </w:rPr>
              <w:instrText xml:space="preserve"> PAGEREF _Toc477159128 \h </w:instrText>
            </w:r>
            <w:r w:rsidR="00030AE7">
              <w:rPr>
                <w:noProof/>
                <w:webHidden/>
              </w:rPr>
            </w:r>
            <w:r w:rsidR="00030AE7">
              <w:rPr>
                <w:noProof/>
                <w:webHidden/>
              </w:rPr>
              <w:fldChar w:fldCharType="separate"/>
            </w:r>
            <w:r w:rsidR="00C257CC">
              <w:rPr>
                <w:noProof/>
                <w:webHidden/>
              </w:rPr>
              <w:t>2</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29" w:history="1">
            <w:r w:rsidR="00030AE7" w:rsidRPr="0022420A">
              <w:rPr>
                <w:rStyle w:val="Hyperlink"/>
                <w:noProof/>
              </w:rPr>
              <w:t>4.2</w:t>
            </w:r>
            <w:r w:rsidR="00030AE7">
              <w:rPr>
                <w:rFonts w:asciiTheme="minorHAnsi" w:eastAsiaTheme="minorEastAsia" w:hAnsiTheme="minorHAnsi" w:cstheme="minorBidi"/>
                <w:noProof/>
                <w:sz w:val="21"/>
                <w:szCs w:val="22"/>
              </w:rPr>
              <w:tab/>
            </w:r>
            <w:r w:rsidR="00030AE7" w:rsidRPr="0022420A">
              <w:rPr>
                <w:rStyle w:val="Hyperlink"/>
                <w:noProof/>
              </w:rPr>
              <w:t>Personal Protective Equipment</w:t>
            </w:r>
            <w:r w:rsidR="00030AE7">
              <w:rPr>
                <w:noProof/>
                <w:webHidden/>
              </w:rPr>
              <w:tab/>
            </w:r>
            <w:r w:rsidR="00030AE7">
              <w:rPr>
                <w:noProof/>
                <w:webHidden/>
              </w:rPr>
              <w:fldChar w:fldCharType="begin"/>
            </w:r>
            <w:r w:rsidR="00030AE7">
              <w:rPr>
                <w:noProof/>
                <w:webHidden/>
              </w:rPr>
              <w:instrText xml:space="preserve"> PAGEREF _Toc477159129 \h </w:instrText>
            </w:r>
            <w:r w:rsidR="00030AE7">
              <w:rPr>
                <w:noProof/>
                <w:webHidden/>
              </w:rPr>
            </w:r>
            <w:r w:rsidR="00030AE7">
              <w:rPr>
                <w:noProof/>
                <w:webHidden/>
              </w:rPr>
              <w:fldChar w:fldCharType="separate"/>
            </w:r>
            <w:r w:rsidR="00C257CC">
              <w:rPr>
                <w:noProof/>
                <w:webHidden/>
              </w:rPr>
              <w:t>2</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30" w:history="1">
            <w:r w:rsidR="00030AE7" w:rsidRPr="0022420A">
              <w:rPr>
                <w:rStyle w:val="Hyperlink"/>
                <w:noProof/>
              </w:rPr>
              <w:t>4.3</w:t>
            </w:r>
            <w:r w:rsidR="00030AE7">
              <w:rPr>
                <w:rFonts w:asciiTheme="minorHAnsi" w:eastAsiaTheme="minorEastAsia" w:hAnsiTheme="minorHAnsi" w:cstheme="minorBidi"/>
                <w:noProof/>
                <w:sz w:val="21"/>
                <w:szCs w:val="22"/>
              </w:rPr>
              <w:tab/>
            </w:r>
            <w:r w:rsidR="00030AE7" w:rsidRPr="0022420A">
              <w:rPr>
                <w:rStyle w:val="Hyperlink"/>
                <w:noProof/>
              </w:rPr>
              <w:t>Mounting of Abrasive Wheels</w:t>
            </w:r>
            <w:r w:rsidR="00030AE7">
              <w:rPr>
                <w:noProof/>
                <w:webHidden/>
              </w:rPr>
              <w:tab/>
            </w:r>
            <w:r w:rsidR="00030AE7">
              <w:rPr>
                <w:noProof/>
                <w:webHidden/>
              </w:rPr>
              <w:fldChar w:fldCharType="begin"/>
            </w:r>
            <w:r w:rsidR="00030AE7">
              <w:rPr>
                <w:noProof/>
                <w:webHidden/>
              </w:rPr>
              <w:instrText xml:space="preserve"> PAGEREF _Toc477159130 \h </w:instrText>
            </w:r>
            <w:r w:rsidR="00030AE7">
              <w:rPr>
                <w:noProof/>
                <w:webHidden/>
              </w:rPr>
            </w:r>
            <w:r w:rsidR="00030AE7">
              <w:rPr>
                <w:noProof/>
                <w:webHidden/>
              </w:rPr>
              <w:fldChar w:fldCharType="separate"/>
            </w:r>
            <w:r w:rsidR="00C257CC">
              <w:rPr>
                <w:noProof/>
                <w:webHidden/>
              </w:rPr>
              <w:t>2</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31" w:history="1">
            <w:r w:rsidR="00030AE7" w:rsidRPr="0022420A">
              <w:rPr>
                <w:rStyle w:val="Hyperlink"/>
                <w:noProof/>
              </w:rPr>
              <w:t>4.4</w:t>
            </w:r>
            <w:r w:rsidR="00030AE7">
              <w:rPr>
                <w:rFonts w:asciiTheme="minorHAnsi" w:eastAsiaTheme="minorEastAsia" w:hAnsiTheme="minorHAnsi" w:cstheme="minorBidi"/>
                <w:noProof/>
                <w:sz w:val="21"/>
                <w:szCs w:val="22"/>
              </w:rPr>
              <w:tab/>
            </w:r>
            <w:r w:rsidR="00030AE7" w:rsidRPr="0022420A">
              <w:rPr>
                <w:rStyle w:val="Hyperlink"/>
                <w:noProof/>
              </w:rPr>
              <w:t>Guarding of Grinding Wheels</w:t>
            </w:r>
            <w:r w:rsidR="00030AE7">
              <w:rPr>
                <w:noProof/>
                <w:webHidden/>
              </w:rPr>
              <w:tab/>
            </w:r>
            <w:r w:rsidR="00030AE7">
              <w:rPr>
                <w:noProof/>
                <w:webHidden/>
              </w:rPr>
              <w:fldChar w:fldCharType="begin"/>
            </w:r>
            <w:r w:rsidR="00030AE7">
              <w:rPr>
                <w:noProof/>
                <w:webHidden/>
              </w:rPr>
              <w:instrText xml:space="preserve"> PAGEREF _Toc477159131 \h </w:instrText>
            </w:r>
            <w:r w:rsidR="00030AE7">
              <w:rPr>
                <w:noProof/>
                <w:webHidden/>
              </w:rPr>
            </w:r>
            <w:r w:rsidR="00030AE7">
              <w:rPr>
                <w:noProof/>
                <w:webHidden/>
              </w:rPr>
              <w:fldChar w:fldCharType="separate"/>
            </w:r>
            <w:r w:rsidR="00C257CC">
              <w:rPr>
                <w:noProof/>
                <w:webHidden/>
              </w:rPr>
              <w:t>3</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32" w:history="1">
            <w:r w:rsidR="00030AE7" w:rsidRPr="0022420A">
              <w:rPr>
                <w:rStyle w:val="Hyperlink"/>
                <w:noProof/>
              </w:rPr>
              <w:t>4.5</w:t>
            </w:r>
            <w:r w:rsidR="00030AE7">
              <w:rPr>
                <w:rFonts w:asciiTheme="minorHAnsi" w:eastAsiaTheme="minorEastAsia" w:hAnsiTheme="minorHAnsi" w:cstheme="minorBidi"/>
                <w:noProof/>
                <w:sz w:val="21"/>
                <w:szCs w:val="22"/>
              </w:rPr>
              <w:tab/>
            </w:r>
            <w:r w:rsidR="00030AE7" w:rsidRPr="0022420A">
              <w:rPr>
                <w:rStyle w:val="Hyperlink"/>
                <w:noProof/>
              </w:rPr>
              <w:t>Work Rests and Side Grinding</w:t>
            </w:r>
            <w:r w:rsidR="00030AE7">
              <w:rPr>
                <w:noProof/>
                <w:webHidden/>
              </w:rPr>
              <w:tab/>
            </w:r>
            <w:r w:rsidR="00030AE7">
              <w:rPr>
                <w:noProof/>
                <w:webHidden/>
              </w:rPr>
              <w:fldChar w:fldCharType="begin"/>
            </w:r>
            <w:r w:rsidR="00030AE7">
              <w:rPr>
                <w:noProof/>
                <w:webHidden/>
              </w:rPr>
              <w:instrText xml:space="preserve"> PAGEREF _Toc477159132 \h </w:instrText>
            </w:r>
            <w:r w:rsidR="00030AE7">
              <w:rPr>
                <w:noProof/>
                <w:webHidden/>
              </w:rPr>
            </w:r>
            <w:r w:rsidR="00030AE7">
              <w:rPr>
                <w:noProof/>
                <w:webHidden/>
              </w:rPr>
              <w:fldChar w:fldCharType="separate"/>
            </w:r>
            <w:r w:rsidR="00C257CC">
              <w:rPr>
                <w:noProof/>
                <w:webHidden/>
              </w:rPr>
              <w:t>3</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33" w:history="1">
            <w:r w:rsidR="00030AE7" w:rsidRPr="0022420A">
              <w:rPr>
                <w:rStyle w:val="Hyperlink"/>
                <w:noProof/>
              </w:rPr>
              <w:t>4.6</w:t>
            </w:r>
            <w:r w:rsidR="00030AE7">
              <w:rPr>
                <w:rFonts w:asciiTheme="minorHAnsi" w:eastAsiaTheme="minorEastAsia" w:hAnsiTheme="minorHAnsi" w:cstheme="minorBidi"/>
                <w:noProof/>
                <w:sz w:val="21"/>
                <w:szCs w:val="22"/>
              </w:rPr>
              <w:tab/>
            </w:r>
            <w:r w:rsidR="00030AE7" w:rsidRPr="0022420A">
              <w:rPr>
                <w:rStyle w:val="Hyperlink"/>
                <w:noProof/>
              </w:rPr>
              <w:t>Dressing and Storage of Grinding Wheels</w:t>
            </w:r>
            <w:r w:rsidR="00030AE7">
              <w:rPr>
                <w:noProof/>
                <w:webHidden/>
              </w:rPr>
              <w:tab/>
            </w:r>
            <w:r w:rsidR="00030AE7">
              <w:rPr>
                <w:noProof/>
                <w:webHidden/>
              </w:rPr>
              <w:fldChar w:fldCharType="begin"/>
            </w:r>
            <w:r w:rsidR="00030AE7">
              <w:rPr>
                <w:noProof/>
                <w:webHidden/>
              </w:rPr>
              <w:instrText xml:space="preserve"> PAGEREF _Toc477159133 \h </w:instrText>
            </w:r>
            <w:r w:rsidR="00030AE7">
              <w:rPr>
                <w:noProof/>
                <w:webHidden/>
              </w:rPr>
            </w:r>
            <w:r w:rsidR="00030AE7">
              <w:rPr>
                <w:noProof/>
                <w:webHidden/>
              </w:rPr>
              <w:fldChar w:fldCharType="separate"/>
            </w:r>
            <w:r w:rsidR="00C257CC">
              <w:rPr>
                <w:noProof/>
                <w:webHidden/>
              </w:rPr>
              <w:t>3</w:t>
            </w:r>
            <w:r w:rsidR="00030AE7">
              <w:rPr>
                <w:noProof/>
                <w:webHidden/>
              </w:rPr>
              <w:fldChar w:fldCharType="end"/>
            </w:r>
          </w:hyperlink>
        </w:p>
        <w:p w:rsidR="00030AE7" w:rsidRDefault="007F61E4" w:rsidP="00FC39FE">
          <w:pPr>
            <w:pStyle w:val="TOC2"/>
            <w:jc w:val="center"/>
            <w:rPr>
              <w:rFonts w:asciiTheme="minorHAnsi" w:eastAsiaTheme="minorEastAsia" w:hAnsiTheme="minorHAnsi" w:cstheme="minorBidi"/>
              <w:noProof/>
              <w:sz w:val="21"/>
              <w:szCs w:val="22"/>
            </w:rPr>
          </w:pPr>
          <w:hyperlink w:anchor="_Toc477159134" w:history="1">
            <w:r w:rsidR="00030AE7" w:rsidRPr="0022420A">
              <w:rPr>
                <w:rStyle w:val="Hyperlink"/>
                <w:noProof/>
              </w:rPr>
              <w:t>4.7</w:t>
            </w:r>
            <w:r w:rsidR="00030AE7">
              <w:rPr>
                <w:rFonts w:asciiTheme="minorHAnsi" w:eastAsiaTheme="minorEastAsia" w:hAnsiTheme="minorHAnsi" w:cstheme="minorBidi"/>
                <w:noProof/>
                <w:sz w:val="21"/>
                <w:szCs w:val="22"/>
              </w:rPr>
              <w:tab/>
            </w:r>
            <w:r w:rsidR="00030AE7" w:rsidRPr="0022420A">
              <w:rPr>
                <w:rStyle w:val="Hyperlink"/>
                <w:noProof/>
              </w:rPr>
              <w:t>Precautions</w:t>
            </w:r>
            <w:r w:rsidR="00030AE7">
              <w:rPr>
                <w:noProof/>
                <w:webHidden/>
              </w:rPr>
              <w:tab/>
            </w:r>
            <w:r w:rsidR="00030AE7">
              <w:rPr>
                <w:noProof/>
                <w:webHidden/>
              </w:rPr>
              <w:fldChar w:fldCharType="begin"/>
            </w:r>
            <w:r w:rsidR="00030AE7">
              <w:rPr>
                <w:noProof/>
                <w:webHidden/>
              </w:rPr>
              <w:instrText xml:space="preserve"> PAGEREF _Toc477159134 \h </w:instrText>
            </w:r>
            <w:r w:rsidR="00030AE7">
              <w:rPr>
                <w:noProof/>
                <w:webHidden/>
              </w:rPr>
            </w:r>
            <w:r w:rsidR="00030AE7">
              <w:rPr>
                <w:noProof/>
                <w:webHidden/>
              </w:rPr>
              <w:fldChar w:fldCharType="separate"/>
            </w:r>
            <w:r w:rsidR="00C257CC">
              <w:rPr>
                <w:noProof/>
                <w:webHidden/>
              </w:rPr>
              <w:t>4</w:t>
            </w:r>
            <w:r w:rsidR="00030AE7">
              <w:rPr>
                <w:noProof/>
                <w:webHidden/>
              </w:rPr>
              <w:fldChar w:fldCharType="end"/>
            </w:r>
          </w:hyperlink>
        </w:p>
        <w:p w:rsidR="004A156E" w:rsidRPr="0007702D" w:rsidRDefault="0044190A" w:rsidP="00FC39FE">
          <w:pPr>
            <w:jc w:val="center"/>
            <w:rPr>
              <w:sz w:val="18"/>
              <w:szCs w:val="18"/>
            </w:rPr>
          </w:pPr>
          <w:r>
            <w:rPr>
              <w:rFonts w:eastAsia="Arial"/>
              <w:sz w:val="18"/>
              <w:szCs w:val="18"/>
            </w:rPr>
            <w:fldChar w:fldCharType="end"/>
          </w:r>
        </w:p>
      </w:sdtContent>
    </w:sdt>
    <w:p w:rsidR="00D318D3" w:rsidRPr="004A156E" w:rsidRDefault="00D318D3" w:rsidP="00D523F5">
      <w:pPr>
        <w:sectPr w:rsidR="00D318D3" w:rsidRPr="004A156E" w:rsidSect="00FC39FE">
          <w:headerReference w:type="default" r:id="rId14"/>
          <w:pgSz w:w="11907" w:h="16834" w:code="9"/>
          <w:pgMar w:top="1526" w:right="1138" w:bottom="1440" w:left="1152" w:header="850" w:footer="288" w:gutter="0"/>
          <w:cols w:space="425"/>
          <w:docGrid w:linePitch="326"/>
        </w:sectPr>
      </w:pPr>
    </w:p>
    <w:p w:rsidR="004A156E" w:rsidRDefault="004A156E" w:rsidP="00D523F5">
      <w:pPr>
        <w:sectPr w:rsidR="004A156E" w:rsidSect="00750824">
          <w:pgSz w:w="11907" w:h="16834" w:code="9"/>
          <w:pgMar w:top="1418" w:right="1134" w:bottom="1134" w:left="1418" w:header="850" w:footer="283" w:gutter="0"/>
          <w:cols w:space="425"/>
          <w:docGrid w:linePitch="326"/>
        </w:sectPr>
      </w:pPr>
    </w:p>
    <w:tbl>
      <w:tblPr>
        <w:tblStyle w:val="TableGrid"/>
        <w:tblW w:w="93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1"/>
      </w:tblGrid>
      <w:tr w:rsidR="00F54542" w:rsidTr="00F54542">
        <w:trPr>
          <w:jc w:val="center"/>
        </w:trPr>
        <w:tc>
          <w:tcPr>
            <w:tcW w:w="9321" w:type="dxa"/>
          </w:tcPr>
          <w:p w:rsidR="00F54542" w:rsidRPr="00030AE7" w:rsidRDefault="00F54542" w:rsidP="00D753B2">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0" w:name="_Toc477159117"/>
            <w:bookmarkStart w:id="1" w:name="_Toc433409354"/>
            <w:r w:rsidRPr="00030AE7">
              <w:rPr>
                <w:rFonts w:cs="Arial"/>
                <w:bCs/>
                <w:caps w:val="0"/>
                <w:szCs w:val="18"/>
              </w:rPr>
              <w:lastRenderedPageBreak/>
              <w:t>PURPOSE</w:t>
            </w:r>
            <w:bookmarkEnd w:id="0"/>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The principal hazards associated with the use of pedestal, bench mounted and portable grinding wheels are the bursting of the wheel due to a weakened wheel or improper use, skin abrasions through contact with the moving wheel, and eye injuries from dirt and sparks.</w:t>
            </w:r>
          </w:p>
          <w:p w:rsidR="00F54542" w:rsidRPr="00030AE7" w:rsidRDefault="00F54542" w:rsidP="00D753B2">
            <w:pPr>
              <w:spacing w:afterLines="50" w:after="120" w:line="300" w:lineRule="exact"/>
              <w:ind w:leftChars="200" w:left="440" w:rightChars="50" w:right="110"/>
              <w:rPr>
                <w:sz w:val="18"/>
                <w:szCs w:val="18"/>
              </w:rPr>
            </w:pPr>
            <w:r w:rsidRPr="00030AE7">
              <w:rPr>
                <w:sz w:val="18"/>
                <w:szCs w:val="18"/>
              </w:rPr>
              <w:t>The purpose of this instruction is to provide a regulation to control the risk and hazard during use abrasive wheels and grinders.</w:t>
            </w:r>
          </w:p>
          <w:p w:rsidR="00F54542" w:rsidRPr="00030AE7" w:rsidRDefault="00F54542" w:rsidP="00D753B2">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2" w:name="_Toc477159118"/>
            <w:r w:rsidRPr="00030AE7">
              <w:rPr>
                <w:rFonts w:cs="Arial"/>
                <w:bCs/>
                <w:caps w:val="0"/>
                <w:szCs w:val="18"/>
              </w:rPr>
              <w:t>SCOPE</w:t>
            </w:r>
            <w:bookmarkEnd w:id="2"/>
          </w:p>
          <w:p w:rsidR="00F54542" w:rsidRPr="00030AE7" w:rsidRDefault="00F54542" w:rsidP="00821EB2">
            <w:pPr>
              <w:spacing w:afterLines="50" w:after="120" w:line="300" w:lineRule="exact"/>
              <w:ind w:leftChars="200" w:left="440" w:rightChars="50" w:right="110"/>
              <w:rPr>
                <w:sz w:val="18"/>
                <w:szCs w:val="18"/>
              </w:rPr>
            </w:pPr>
            <w:r w:rsidRPr="00030AE7">
              <w:rPr>
                <w:sz w:val="18"/>
                <w:szCs w:val="18"/>
              </w:rPr>
              <w:t xml:space="preserve">This instruction is applicable to all </w:t>
            </w:r>
            <w:r>
              <w:rPr>
                <w:sz w:val="18"/>
                <w:szCs w:val="18"/>
              </w:rPr>
              <w:t xml:space="preserve">ECDC </w:t>
            </w:r>
            <w:r w:rsidRPr="00030AE7">
              <w:rPr>
                <w:sz w:val="18"/>
                <w:szCs w:val="18"/>
              </w:rPr>
              <w:t>abrasive wheels and grinders, to the extent that it does not conflict with the applicable OEM instructions.</w:t>
            </w:r>
          </w:p>
          <w:p w:rsidR="00F54542" w:rsidRPr="00030AE7" w:rsidRDefault="00F54542" w:rsidP="00D753B2">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3" w:name="_Toc477159119"/>
            <w:r w:rsidRPr="00030AE7">
              <w:rPr>
                <w:rFonts w:cs="Arial"/>
                <w:bCs/>
                <w:caps w:val="0"/>
                <w:szCs w:val="18"/>
              </w:rPr>
              <w:t>RESPONSIBILITY</w:t>
            </w:r>
            <w:bookmarkEnd w:id="3"/>
          </w:p>
          <w:p w:rsidR="00F54542" w:rsidRPr="00030AE7" w:rsidRDefault="00F54542" w:rsidP="00030AE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0"/>
                <w:sz w:val="18"/>
                <w:szCs w:val="20"/>
                <w:lang w:val="en-GB" w:eastAsia="en-US"/>
              </w:rPr>
            </w:pPr>
            <w:bookmarkStart w:id="4" w:name="_Toc477159092"/>
            <w:bookmarkStart w:id="5" w:name="_Toc477159120"/>
            <w:bookmarkStart w:id="6" w:name="_Toc425281620"/>
            <w:bookmarkEnd w:id="4"/>
            <w:bookmarkEnd w:id="5"/>
          </w:p>
          <w:p w:rsidR="00F54542" w:rsidRPr="00030AE7" w:rsidRDefault="00F54542" w:rsidP="00030AE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0"/>
                <w:sz w:val="18"/>
                <w:szCs w:val="20"/>
                <w:lang w:val="en-GB" w:eastAsia="en-US"/>
              </w:rPr>
            </w:pPr>
            <w:bookmarkStart w:id="7" w:name="_Toc477159093"/>
            <w:bookmarkStart w:id="8" w:name="_Toc477159121"/>
            <w:bookmarkEnd w:id="7"/>
            <w:bookmarkEnd w:id="8"/>
          </w:p>
          <w:p w:rsidR="00F54542" w:rsidRPr="00030AE7" w:rsidRDefault="00F54542" w:rsidP="00030AE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0"/>
                <w:sz w:val="18"/>
                <w:szCs w:val="20"/>
                <w:lang w:val="en-GB" w:eastAsia="en-US"/>
              </w:rPr>
            </w:pPr>
            <w:bookmarkStart w:id="9" w:name="_Toc477159094"/>
            <w:bookmarkStart w:id="10" w:name="_Toc477159122"/>
            <w:bookmarkEnd w:id="9"/>
            <w:bookmarkEnd w:id="10"/>
          </w:p>
          <w:p w:rsidR="00F54542" w:rsidRPr="00030AE7" w:rsidRDefault="00F54542" w:rsidP="00030AE7">
            <w:pPr>
              <w:pStyle w:val="Heading2"/>
              <w:tabs>
                <w:tab w:val="clear" w:pos="400"/>
                <w:tab w:val="left" w:pos="440"/>
              </w:tabs>
              <w:ind w:left="457" w:hangingChars="253" w:hanging="457"/>
              <w:rPr>
                <w:sz w:val="18"/>
                <w:szCs w:val="18"/>
              </w:rPr>
            </w:pPr>
            <w:bookmarkStart w:id="11" w:name="_Toc477159123"/>
            <w:r w:rsidRPr="00030AE7">
              <w:rPr>
                <w:sz w:val="18"/>
                <w:szCs w:val="18"/>
              </w:rPr>
              <w:t>Rig Manager</w:t>
            </w:r>
            <w:bookmarkEnd w:id="6"/>
            <w:bookmarkEnd w:id="11"/>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The Rig Manager has overall responsibility for abrasive wheels and grinders</w:t>
            </w:r>
            <w:r w:rsidRPr="00030AE7">
              <w:rPr>
                <w:sz w:val="18"/>
                <w:szCs w:val="18"/>
              </w:rPr>
              <w:t xml:space="preserve"> </w:t>
            </w:r>
            <w:r w:rsidRPr="006A2109">
              <w:rPr>
                <w:sz w:val="18"/>
                <w:szCs w:val="18"/>
              </w:rPr>
              <w:t>operation and safety issues. This includes overall responsibility for ensuring the system is in place to provide the means of</w:t>
            </w:r>
            <w:r w:rsidRPr="00030AE7">
              <w:rPr>
                <w:sz w:val="18"/>
                <w:szCs w:val="18"/>
              </w:rPr>
              <w:t xml:space="preserve"> </w:t>
            </w:r>
            <w:r w:rsidRPr="006A2109">
              <w:rPr>
                <w:sz w:val="18"/>
                <w:szCs w:val="18"/>
              </w:rPr>
              <w:t xml:space="preserve">abrasive wheels and grinders operate and maintenance on the location. </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 xml:space="preserve">The Rig Manager is responsible for implementing the approved abrasive wheels and grinders safety work instruction at rig site where work is carried out under their control. Additionally, they shall ensure that any subcontractor who working under their direction are fully follow this instruction. </w:t>
            </w:r>
          </w:p>
          <w:p w:rsidR="00F54542" w:rsidRPr="00030AE7" w:rsidRDefault="00F54542" w:rsidP="00030AE7">
            <w:pPr>
              <w:pStyle w:val="Heading2"/>
              <w:tabs>
                <w:tab w:val="clear" w:pos="400"/>
                <w:tab w:val="left" w:pos="440"/>
              </w:tabs>
              <w:ind w:left="457" w:hangingChars="253" w:hanging="457"/>
              <w:rPr>
                <w:sz w:val="18"/>
                <w:szCs w:val="18"/>
              </w:rPr>
            </w:pPr>
            <w:bookmarkStart w:id="12" w:name="_Toc477159124"/>
            <w:r w:rsidRPr="00030AE7">
              <w:rPr>
                <w:sz w:val="18"/>
                <w:szCs w:val="18"/>
              </w:rPr>
              <w:t>HSE Supervisor</w:t>
            </w:r>
            <w:bookmarkEnd w:id="12"/>
            <w:r w:rsidRPr="00030AE7">
              <w:rPr>
                <w:sz w:val="18"/>
                <w:szCs w:val="18"/>
              </w:rPr>
              <w:t xml:space="preserve"> </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 xml:space="preserve">The HSE Supervisor shall assist the Rig Manager in ensuring all related personnel are trained in operating abrasive wheels and grinders. </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The HSE Supervisor shall periodically verify the employee who operate abrasive wheels and grinders are trained.</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Provide advice on the use of all types of protective equipment.</w:t>
            </w:r>
          </w:p>
          <w:p w:rsidR="00F54542" w:rsidRPr="00030AE7" w:rsidRDefault="00F54542" w:rsidP="00030AE7">
            <w:pPr>
              <w:pStyle w:val="Heading2"/>
              <w:tabs>
                <w:tab w:val="clear" w:pos="400"/>
                <w:tab w:val="left" w:pos="440"/>
              </w:tabs>
              <w:ind w:left="457" w:hangingChars="253" w:hanging="457"/>
              <w:rPr>
                <w:sz w:val="18"/>
                <w:szCs w:val="18"/>
              </w:rPr>
            </w:pPr>
            <w:bookmarkStart w:id="13" w:name="_Toc477159125"/>
            <w:r w:rsidRPr="00030AE7">
              <w:rPr>
                <w:sz w:val="18"/>
                <w:szCs w:val="18"/>
              </w:rPr>
              <w:t>Operator</w:t>
            </w:r>
            <w:bookmarkEnd w:id="13"/>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The operator should have suitable experience in accordance with OEM instructions.</w:t>
            </w:r>
          </w:p>
          <w:p w:rsidR="00F54542" w:rsidRDefault="00F54542" w:rsidP="00D753B2">
            <w:pPr>
              <w:spacing w:afterLines="50" w:after="120" w:line="300" w:lineRule="exact"/>
              <w:ind w:leftChars="200" w:left="440" w:rightChars="50" w:right="110"/>
              <w:rPr>
                <w:sz w:val="18"/>
                <w:szCs w:val="18"/>
              </w:rPr>
            </w:pPr>
            <w:r w:rsidRPr="006A2109">
              <w:rPr>
                <w:sz w:val="18"/>
                <w:szCs w:val="18"/>
              </w:rPr>
              <w:t xml:space="preserve">Ensuring that safe working practices are being enforced at all times </w:t>
            </w:r>
          </w:p>
          <w:p w:rsidR="00F54542" w:rsidRPr="00030AE7" w:rsidRDefault="00F54542" w:rsidP="00D753B2">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14" w:name="_Toc477159126"/>
            <w:r>
              <w:rPr>
                <w:rFonts w:cs="Arial"/>
                <w:bCs/>
                <w:caps w:val="0"/>
                <w:szCs w:val="18"/>
              </w:rPr>
              <w:t>Procedures a</w:t>
            </w:r>
            <w:r w:rsidRPr="00030AE7">
              <w:rPr>
                <w:rFonts w:cs="Arial"/>
                <w:bCs/>
                <w:caps w:val="0"/>
                <w:szCs w:val="18"/>
              </w:rPr>
              <w:t>nd Guidelines</w:t>
            </w:r>
            <w:bookmarkEnd w:id="14"/>
          </w:p>
          <w:p w:rsidR="00F54542" w:rsidRPr="00030AE7" w:rsidRDefault="00F54542" w:rsidP="00030AE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15" w:name="_Toc477159099"/>
            <w:bookmarkStart w:id="16" w:name="_Toc477159127"/>
            <w:bookmarkStart w:id="17" w:name="_Toc433409355"/>
            <w:bookmarkEnd w:id="1"/>
            <w:bookmarkEnd w:id="15"/>
            <w:bookmarkEnd w:id="16"/>
          </w:p>
          <w:p w:rsidR="00F54542" w:rsidRPr="00030AE7" w:rsidRDefault="00F54542" w:rsidP="00030AE7">
            <w:pPr>
              <w:pStyle w:val="Heading2"/>
              <w:tabs>
                <w:tab w:val="clear" w:pos="400"/>
                <w:tab w:val="left" w:pos="440"/>
              </w:tabs>
              <w:ind w:left="457" w:hangingChars="253" w:hanging="457"/>
              <w:rPr>
                <w:sz w:val="18"/>
                <w:szCs w:val="18"/>
              </w:rPr>
            </w:pPr>
            <w:bookmarkStart w:id="18" w:name="_Toc477159128"/>
            <w:r w:rsidRPr="00030AE7">
              <w:rPr>
                <w:sz w:val="18"/>
                <w:szCs w:val="18"/>
              </w:rPr>
              <w:t>Work Site Safety</w:t>
            </w:r>
            <w:bookmarkEnd w:id="17"/>
            <w:bookmarkEnd w:id="18"/>
          </w:p>
          <w:p w:rsidR="00F54542" w:rsidRDefault="00F54542" w:rsidP="00D753B2">
            <w:pPr>
              <w:spacing w:afterLines="50" w:after="120" w:line="300" w:lineRule="exact"/>
              <w:ind w:leftChars="200" w:left="440" w:rightChars="50" w:right="110"/>
              <w:rPr>
                <w:sz w:val="18"/>
                <w:szCs w:val="18"/>
              </w:rPr>
            </w:pPr>
            <w:r w:rsidRPr="006A2109">
              <w:rPr>
                <w:sz w:val="18"/>
                <w:szCs w:val="18"/>
              </w:rPr>
              <w:t>Grinders are only partially guarded, making them dangerous in the event of someone slipping or tripping and falling against them.  The area around a pedestal or bench mounted grinder must therefore be flat, clean and free from obstructions.  Grinders should not be positioned in areas of pedestrian traffic unless the areas are separated by screens.  Eye injured by the spark contact with the operator is the greatest hazards.</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Portable grinders must be fitted with a dead mans or side handle.  The wheel must be guarded in case it bursts or if the grinder is accidentally dropped.  Before commencing portable grinding operations operators must ensure that the areas in the close proximity of the work is clear of other persons, that they have a secure foothold and that they are unlikely to trip over cables or other obstructions.</w:t>
            </w:r>
          </w:p>
          <w:p w:rsidR="00F54542" w:rsidRPr="00030AE7" w:rsidRDefault="00F54542" w:rsidP="00030AE7">
            <w:pPr>
              <w:pStyle w:val="Heading2"/>
              <w:tabs>
                <w:tab w:val="clear" w:pos="400"/>
                <w:tab w:val="left" w:pos="440"/>
              </w:tabs>
              <w:ind w:left="457" w:hangingChars="253" w:hanging="457"/>
              <w:rPr>
                <w:sz w:val="18"/>
                <w:szCs w:val="18"/>
              </w:rPr>
            </w:pPr>
            <w:bookmarkStart w:id="19" w:name="_Toc433409356"/>
            <w:bookmarkStart w:id="20" w:name="_Toc477159129"/>
            <w:r w:rsidRPr="00030AE7">
              <w:rPr>
                <w:sz w:val="18"/>
                <w:szCs w:val="18"/>
              </w:rPr>
              <w:t>Personal Protective Equipment</w:t>
            </w:r>
            <w:bookmarkEnd w:id="19"/>
            <w:bookmarkEnd w:id="20"/>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lastRenderedPageBreak/>
              <w:t>Grinding operations can cause the emission of high velocity fragments, grit and sparks.  These can lead to eye injury.  All personnel engaged in grinding operations are to wear face shields.</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Overalls are to be intact and free from loose materials which could catch on the grinding wheel.  All forms of loose clothing, e.g. ties, scarves and chains, are not to be worn.</w:t>
            </w:r>
          </w:p>
          <w:p w:rsidR="00F54542" w:rsidRPr="00030AE7" w:rsidRDefault="00F54542" w:rsidP="00030AE7">
            <w:pPr>
              <w:pStyle w:val="Heading2"/>
              <w:tabs>
                <w:tab w:val="clear" w:pos="400"/>
                <w:tab w:val="left" w:pos="440"/>
              </w:tabs>
              <w:ind w:left="457" w:hangingChars="253" w:hanging="457"/>
              <w:rPr>
                <w:sz w:val="18"/>
                <w:szCs w:val="18"/>
              </w:rPr>
            </w:pPr>
            <w:bookmarkStart w:id="21" w:name="_Toc433409357"/>
            <w:bookmarkStart w:id="22" w:name="_Toc477159130"/>
            <w:r w:rsidRPr="00030AE7">
              <w:rPr>
                <w:sz w:val="18"/>
                <w:szCs w:val="18"/>
              </w:rPr>
              <w:t>Mounting of Abrasive Wheels</w:t>
            </w:r>
            <w:bookmarkEnd w:id="21"/>
            <w:bookmarkEnd w:id="22"/>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The mounting of an abrasive wheel is a specialized operation which must only be undertaken by a qualified person.  The Mechanics are the only personnel who are permitted to change abrasive wheels.</w:t>
            </w:r>
          </w:p>
          <w:p w:rsidR="00F54542" w:rsidRPr="00030AE7" w:rsidRDefault="00F54542" w:rsidP="00030AE7">
            <w:pPr>
              <w:pStyle w:val="Heading2"/>
              <w:tabs>
                <w:tab w:val="clear" w:pos="400"/>
                <w:tab w:val="left" w:pos="440"/>
              </w:tabs>
              <w:ind w:left="457" w:hangingChars="253" w:hanging="457"/>
              <w:rPr>
                <w:sz w:val="18"/>
                <w:szCs w:val="18"/>
              </w:rPr>
            </w:pPr>
            <w:bookmarkStart w:id="23" w:name="_Toc433409358"/>
            <w:bookmarkStart w:id="24" w:name="_Toc477159131"/>
            <w:r w:rsidRPr="00030AE7">
              <w:rPr>
                <w:sz w:val="18"/>
                <w:szCs w:val="18"/>
              </w:rPr>
              <w:t>Guarding of Grinding Wheels</w:t>
            </w:r>
            <w:bookmarkEnd w:id="23"/>
            <w:bookmarkEnd w:id="24"/>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 xml:space="preserve">DO NOT OPERATE GRINDER IF GUARD IS </w:t>
            </w:r>
            <w:smartTag w:uri="urn:schemas-microsoft-com:office:smarttags" w:element="Street">
              <w:smartTag w:uri="urn:schemas-microsoft-com:office:smarttags" w:element="address">
                <w:r w:rsidRPr="006A2109">
                  <w:rPr>
                    <w:sz w:val="18"/>
                    <w:szCs w:val="18"/>
                  </w:rPr>
                  <w:t>NOT IN PLACE</w:t>
                </w:r>
              </w:smartTag>
            </w:smartTag>
            <w:r w:rsidRPr="006A2109">
              <w:rPr>
                <w:sz w:val="18"/>
                <w:szCs w:val="18"/>
              </w:rPr>
              <w:t>.  Guards must be strong enough to contain any parts of a wheel which bursts.  The guard on a pedestal or bench mounted grinder should enclose the wheel to the maximum extent while still permitting adequate access to the wheel.  The guard must be securely anchored to the machine frame.</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Guards on portable grinders must be positioned directly between the wheel and the operator.  At least half the circumference of the wheel must be guarded.  Grinders with no guards must be discarded unless a guard can be ordered for it.</w:t>
            </w:r>
          </w:p>
          <w:p w:rsidR="00F54542" w:rsidRPr="00030AE7" w:rsidRDefault="00F54542" w:rsidP="00030AE7">
            <w:pPr>
              <w:pStyle w:val="Heading2"/>
              <w:tabs>
                <w:tab w:val="clear" w:pos="400"/>
                <w:tab w:val="left" w:pos="440"/>
              </w:tabs>
              <w:ind w:left="457" w:hangingChars="253" w:hanging="457"/>
              <w:rPr>
                <w:sz w:val="18"/>
                <w:szCs w:val="18"/>
              </w:rPr>
            </w:pPr>
            <w:bookmarkStart w:id="25" w:name="_Toc433409359"/>
            <w:bookmarkStart w:id="26" w:name="_Toc477159132"/>
            <w:r w:rsidRPr="00030AE7">
              <w:rPr>
                <w:sz w:val="18"/>
                <w:szCs w:val="18"/>
              </w:rPr>
              <w:t>Work Rests and Side Grinding</w:t>
            </w:r>
            <w:bookmarkEnd w:id="25"/>
            <w:bookmarkEnd w:id="26"/>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Work rests of substantial steel construction with hardened steel top plates must be fitted to pedestal and bench mounted grinders.  Rests are to be regularly adjusted to minimize the space between the rest and the wheel as wheel wear occurs.  Adjustments should only be made with the grinder isolated from its source of motive power.</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Side grinding can weaken the wheel causing it to burst.  Where side grinding is carried out using a portable grinder, a resin-bonded reinforced wheel must be used.</w:t>
            </w:r>
          </w:p>
          <w:p w:rsidR="00F54542" w:rsidRPr="00030AE7" w:rsidRDefault="00F54542" w:rsidP="00030AE7">
            <w:pPr>
              <w:pStyle w:val="Heading2"/>
              <w:tabs>
                <w:tab w:val="clear" w:pos="400"/>
                <w:tab w:val="left" w:pos="440"/>
              </w:tabs>
              <w:ind w:left="457" w:hangingChars="253" w:hanging="457"/>
              <w:rPr>
                <w:sz w:val="18"/>
                <w:szCs w:val="18"/>
              </w:rPr>
            </w:pPr>
            <w:bookmarkStart w:id="27" w:name="_Toc433409360"/>
            <w:bookmarkStart w:id="28" w:name="_Toc477159133"/>
            <w:r w:rsidRPr="00030AE7">
              <w:rPr>
                <w:sz w:val="18"/>
                <w:szCs w:val="18"/>
              </w:rPr>
              <w:t>Dressing and Storage of Grinding Wheels</w:t>
            </w:r>
            <w:bookmarkEnd w:id="27"/>
            <w:bookmarkEnd w:id="28"/>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Dressing of grinding wheels should only be undertaken by the mechanic.  The operations involve, "trueing" the wheel to make it run concentrically, and cutting back to restore a grooved or clogged up surface.  Dressing should be carried out frequently using a rigidly mounted dressing tool.</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Grinding wheels are fragile and require careful storage and handling.  They should be protected from chipping and cracking by the use of suitable racks and stored in dry conditions.  Wheels should be date marked and used in order of purchase.  New wheels should be cleaned with a brush and ring tested to ensure that they are not cracked.</w:t>
            </w:r>
          </w:p>
          <w:p w:rsidR="00F54542" w:rsidRPr="00030AE7" w:rsidRDefault="00F54542" w:rsidP="00030AE7">
            <w:pPr>
              <w:pStyle w:val="Heading2"/>
              <w:tabs>
                <w:tab w:val="clear" w:pos="400"/>
                <w:tab w:val="left" w:pos="440"/>
              </w:tabs>
              <w:ind w:left="457" w:hangingChars="253" w:hanging="457"/>
              <w:rPr>
                <w:sz w:val="18"/>
                <w:szCs w:val="18"/>
              </w:rPr>
            </w:pPr>
            <w:bookmarkStart w:id="29" w:name="_Toc433409361"/>
            <w:bookmarkStart w:id="30" w:name="_Toc477159134"/>
            <w:r w:rsidRPr="00030AE7">
              <w:rPr>
                <w:sz w:val="18"/>
                <w:szCs w:val="18"/>
              </w:rPr>
              <w:t>Precautions</w:t>
            </w:r>
            <w:bookmarkEnd w:id="29"/>
            <w:bookmarkEnd w:id="30"/>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When operating abrasive wheels in hazardous areas around the rig, the work will be controlled by a Permit to Work and the area cordoned off.  Use of abrasive wheels in the welding area / shop does not require the use of a permit.</w:t>
            </w:r>
          </w:p>
          <w:p w:rsidR="00F54542" w:rsidRPr="006A2109" w:rsidRDefault="00F54542" w:rsidP="00D753B2">
            <w:pPr>
              <w:spacing w:afterLines="50" w:after="120" w:line="300" w:lineRule="exact"/>
              <w:ind w:leftChars="200" w:left="440" w:rightChars="50" w:right="110"/>
              <w:rPr>
                <w:sz w:val="18"/>
                <w:szCs w:val="18"/>
              </w:rPr>
            </w:pPr>
            <w:r w:rsidRPr="006A2109">
              <w:rPr>
                <w:sz w:val="18"/>
                <w:szCs w:val="18"/>
              </w:rPr>
              <w:t>Adequate portable fire-fighting equipment should be sited adjacent to the work area.</w:t>
            </w:r>
          </w:p>
          <w:p w:rsidR="00F54542" w:rsidRPr="00CE0E05" w:rsidRDefault="00F54542" w:rsidP="00821EB2">
            <w:pPr>
              <w:spacing w:afterLines="50" w:after="120" w:line="300" w:lineRule="exact"/>
              <w:ind w:leftChars="200" w:left="440" w:rightChars="50" w:right="110"/>
              <w:rPr>
                <w:sz w:val="18"/>
                <w:szCs w:val="18"/>
              </w:rPr>
            </w:pPr>
            <w:r w:rsidRPr="006A2109">
              <w:rPr>
                <w:sz w:val="18"/>
                <w:szCs w:val="18"/>
              </w:rPr>
              <w:t>The required standard of Personal Protective Clothing and Equipment is to be worn for abrasive wheel work.</w:t>
            </w:r>
          </w:p>
        </w:tc>
      </w:tr>
    </w:tbl>
    <w:p w:rsidR="00BC3FDE" w:rsidRPr="00D523F5" w:rsidRDefault="00BC3FDE" w:rsidP="00D523F5"/>
    <w:sectPr w:rsidR="00BC3FDE" w:rsidRPr="00D523F5" w:rsidSect="00750824">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1E4" w:rsidRDefault="007F61E4" w:rsidP="00D523F5">
      <w:r>
        <w:separator/>
      </w:r>
    </w:p>
  </w:endnote>
  <w:endnote w:type="continuationSeparator" w:id="0">
    <w:p w:rsidR="007F61E4" w:rsidRDefault="007F61E4"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64" w:rsidRDefault="00804D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F3617" w:rsidRPr="00E21FDB" w:rsidTr="00E2180B">
      <w:tc>
        <w:tcPr>
          <w:tcW w:w="3744" w:type="dxa"/>
          <w:tcBorders>
            <w:top w:val="double" w:sz="4" w:space="0" w:color="auto"/>
          </w:tcBorders>
        </w:tcPr>
        <w:p w:rsidR="009F3617" w:rsidRPr="00C93898" w:rsidRDefault="009F3617" w:rsidP="009F361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0280A">
            <w:rPr>
              <w:rFonts w:ascii="Arial Narrow" w:hAnsi="Arial Narrow"/>
            </w:rPr>
            <w:t>ECDC-QHSE-PR-34</w:t>
          </w:r>
        </w:p>
      </w:tc>
      <w:tc>
        <w:tcPr>
          <w:tcW w:w="3744" w:type="dxa"/>
          <w:tcBorders>
            <w:top w:val="double" w:sz="4" w:space="0" w:color="auto"/>
          </w:tcBorders>
        </w:tcPr>
        <w:p w:rsidR="009F3617" w:rsidRPr="00C93898" w:rsidRDefault="009F3617" w:rsidP="009F361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F3617" w:rsidRPr="00C93898" w:rsidRDefault="009F3617" w:rsidP="009F361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F3617" w:rsidRPr="00E21FDB" w:rsidTr="00E2180B">
      <w:tc>
        <w:tcPr>
          <w:tcW w:w="3744" w:type="dxa"/>
        </w:tcPr>
        <w:p w:rsidR="009F3617" w:rsidRPr="00C93898" w:rsidRDefault="009F3617" w:rsidP="009F361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22FD7">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22FD7">
            <w:rPr>
              <w:rFonts w:ascii="Arial Narrow" w:hAnsi="Arial Narrow"/>
              <w:b/>
              <w:bCs/>
              <w:noProof/>
            </w:rPr>
            <w:t>4</w:t>
          </w:r>
          <w:r w:rsidRPr="00C93898">
            <w:rPr>
              <w:rFonts w:ascii="Arial Narrow" w:hAnsi="Arial Narrow"/>
              <w:b/>
              <w:bCs/>
            </w:rPr>
            <w:fldChar w:fldCharType="end"/>
          </w:r>
        </w:p>
      </w:tc>
      <w:tc>
        <w:tcPr>
          <w:tcW w:w="3744" w:type="dxa"/>
        </w:tcPr>
        <w:p w:rsidR="009F3617" w:rsidRPr="00C93898" w:rsidRDefault="009F3617" w:rsidP="009F361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F3617" w:rsidRPr="00C93898" w:rsidRDefault="009F3617" w:rsidP="009F361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804D64" w:rsidRDefault="00C90EF8" w:rsidP="00804D6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64" w:rsidRDefault="00804D6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0280A" w:rsidRPr="00E21FDB" w:rsidTr="00E2180B">
      <w:tc>
        <w:tcPr>
          <w:tcW w:w="3744" w:type="dxa"/>
          <w:tcBorders>
            <w:top w:val="double" w:sz="4" w:space="0" w:color="auto"/>
          </w:tcBorders>
        </w:tcPr>
        <w:p w:rsidR="0030280A" w:rsidRPr="00C93898" w:rsidRDefault="0030280A" w:rsidP="009F361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ECDC-QHSE-PR-34</w:t>
          </w:r>
        </w:p>
      </w:tc>
      <w:tc>
        <w:tcPr>
          <w:tcW w:w="3744" w:type="dxa"/>
          <w:tcBorders>
            <w:top w:val="double" w:sz="4" w:space="0" w:color="auto"/>
          </w:tcBorders>
        </w:tcPr>
        <w:p w:rsidR="0030280A" w:rsidRPr="00C93898" w:rsidRDefault="0030280A" w:rsidP="009F361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0280A" w:rsidRPr="00C93898" w:rsidRDefault="0030280A" w:rsidP="009F361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0280A" w:rsidRPr="00E21FDB" w:rsidTr="00E2180B">
      <w:tc>
        <w:tcPr>
          <w:tcW w:w="3744" w:type="dxa"/>
        </w:tcPr>
        <w:p w:rsidR="0030280A" w:rsidRPr="00C93898" w:rsidRDefault="0030280A" w:rsidP="009F361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22FD7">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22FD7">
            <w:rPr>
              <w:rFonts w:ascii="Arial Narrow" w:hAnsi="Arial Narrow"/>
              <w:b/>
              <w:bCs/>
              <w:noProof/>
            </w:rPr>
            <w:t>4</w:t>
          </w:r>
          <w:r w:rsidRPr="00C93898">
            <w:rPr>
              <w:rFonts w:ascii="Arial Narrow" w:hAnsi="Arial Narrow"/>
              <w:b/>
              <w:bCs/>
            </w:rPr>
            <w:fldChar w:fldCharType="end"/>
          </w:r>
        </w:p>
      </w:tc>
      <w:tc>
        <w:tcPr>
          <w:tcW w:w="3744" w:type="dxa"/>
        </w:tcPr>
        <w:p w:rsidR="0030280A" w:rsidRPr="00C93898" w:rsidRDefault="0030280A" w:rsidP="009F361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0280A" w:rsidRPr="00C93898" w:rsidRDefault="0030280A" w:rsidP="009F361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0280A" w:rsidRPr="00804D64" w:rsidRDefault="0030280A" w:rsidP="00804D64">
    <w:pPr>
      <w:pStyle w:val="Footer"/>
    </w:pPr>
    <w:bookmarkStart w:id="31" w:name="_GoBack"/>
    <w:bookmarkEnd w:id="31"/>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1E4" w:rsidRDefault="007F61E4" w:rsidP="00D523F5">
      <w:r>
        <w:separator/>
      </w:r>
    </w:p>
  </w:footnote>
  <w:footnote w:type="continuationSeparator" w:id="0">
    <w:p w:rsidR="007F61E4" w:rsidRDefault="007F61E4"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64" w:rsidRDefault="00804D6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617" w:rsidRDefault="005D54F9" w:rsidP="009F3617">
    <w:pPr>
      <w:pStyle w:val="Header"/>
      <w:pBdr>
        <w:bottom w:val="none" w:sz="0" w:space="0" w:color="auto"/>
      </w:pBdr>
      <w:tabs>
        <w:tab w:val="left" w:pos="1870"/>
        <w:tab w:val="left" w:pos="2272"/>
      </w:tabs>
      <w:jc w:val="both"/>
    </w:pPr>
    <w:r>
      <w:tab/>
    </w:r>
    <w:r>
      <w:tab/>
    </w:r>
    <w:r w:rsidR="0007702D">
      <w:tab/>
    </w:r>
    <w:r w:rsidR="009F3617">
      <w:rPr>
        <w:noProof/>
        <w:lang w:val="en-GB" w:eastAsia="en-GB"/>
      </w:rPr>
      <w:drawing>
        <wp:anchor distT="0" distB="0" distL="114300" distR="114300" simplePos="0" relativeHeight="251658240" behindDoc="0" locked="0" layoutInCell="1" allowOverlap="1" wp14:anchorId="49286F0F" wp14:editId="2F395C41">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9F3617">
      <w:tab/>
    </w:r>
    <w:r w:rsidR="009F361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F3617" w:rsidTr="00E2180B">
      <w:tc>
        <w:tcPr>
          <w:tcW w:w="3190" w:type="dxa"/>
        </w:tcPr>
        <w:p w:rsidR="009F3617" w:rsidRDefault="009F3617" w:rsidP="009F3617">
          <w:pPr>
            <w:pStyle w:val="Header"/>
            <w:pBdr>
              <w:bottom w:val="none" w:sz="0" w:space="0" w:color="auto"/>
            </w:pBdr>
            <w:tabs>
              <w:tab w:val="left" w:pos="1870"/>
              <w:tab w:val="left" w:pos="2272"/>
            </w:tabs>
            <w:jc w:val="both"/>
          </w:pPr>
        </w:p>
      </w:tc>
      <w:tc>
        <w:tcPr>
          <w:tcW w:w="3190" w:type="dxa"/>
        </w:tcPr>
        <w:p w:rsidR="009F3617" w:rsidRDefault="009F3617" w:rsidP="009F361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F3617" w:rsidRPr="00C93898" w:rsidRDefault="009F3617" w:rsidP="009F3617">
          <w:pPr>
            <w:pStyle w:val="Header"/>
            <w:pBdr>
              <w:bottom w:val="none" w:sz="0" w:space="0" w:color="auto"/>
            </w:pBdr>
            <w:tabs>
              <w:tab w:val="left" w:pos="1870"/>
              <w:tab w:val="left" w:pos="2272"/>
            </w:tabs>
            <w:jc w:val="both"/>
            <w:rPr>
              <w:rFonts w:ascii="Arial Narrow" w:hAnsi="Arial Narrow"/>
            </w:rPr>
          </w:pPr>
          <w:r w:rsidRPr="009F3617">
            <w:rPr>
              <w:rFonts w:ascii="Arial Narrow" w:hAnsi="Arial Narrow"/>
            </w:rPr>
            <w:t>Abrasive Wheels and Grinders</w:t>
          </w:r>
        </w:p>
      </w:tc>
      <w:tc>
        <w:tcPr>
          <w:tcW w:w="3191" w:type="dxa"/>
        </w:tcPr>
        <w:p w:rsidR="009F3617" w:rsidRPr="00C93898" w:rsidRDefault="009F3617" w:rsidP="009F361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804D64">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D64" w:rsidRDefault="00804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617" w:rsidRDefault="009F3617" w:rsidP="009F3617">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1312" behindDoc="0" locked="0" layoutInCell="1" allowOverlap="1" wp14:anchorId="29FE8BE0" wp14:editId="2548DE27">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F3617" w:rsidTr="00E2180B">
      <w:tc>
        <w:tcPr>
          <w:tcW w:w="3190" w:type="dxa"/>
        </w:tcPr>
        <w:p w:rsidR="009F3617" w:rsidRDefault="009F3617" w:rsidP="009F3617">
          <w:pPr>
            <w:pStyle w:val="Header"/>
            <w:pBdr>
              <w:bottom w:val="none" w:sz="0" w:space="0" w:color="auto"/>
            </w:pBdr>
            <w:tabs>
              <w:tab w:val="left" w:pos="1870"/>
              <w:tab w:val="left" w:pos="2272"/>
            </w:tabs>
            <w:jc w:val="both"/>
          </w:pPr>
        </w:p>
      </w:tc>
      <w:tc>
        <w:tcPr>
          <w:tcW w:w="3190" w:type="dxa"/>
        </w:tcPr>
        <w:p w:rsidR="009F3617" w:rsidRDefault="009F3617" w:rsidP="009F361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F3617" w:rsidRPr="00C93898" w:rsidRDefault="009F3617" w:rsidP="009F3617">
          <w:pPr>
            <w:pStyle w:val="Header"/>
            <w:pBdr>
              <w:bottom w:val="none" w:sz="0" w:space="0" w:color="auto"/>
            </w:pBdr>
            <w:tabs>
              <w:tab w:val="left" w:pos="1870"/>
              <w:tab w:val="left" w:pos="2272"/>
            </w:tabs>
            <w:jc w:val="both"/>
            <w:rPr>
              <w:rFonts w:ascii="Arial Narrow" w:hAnsi="Arial Narrow"/>
            </w:rPr>
          </w:pPr>
          <w:r w:rsidRPr="009F3617">
            <w:rPr>
              <w:rFonts w:ascii="Arial Narrow" w:hAnsi="Arial Narrow"/>
            </w:rPr>
            <w:t>Abrasive Wheels and Grinders</w:t>
          </w:r>
        </w:p>
      </w:tc>
      <w:tc>
        <w:tcPr>
          <w:tcW w:w="3191" w:type="dxa"/>
        </w:tcPr>
        <w:p w:rsidR="009F3617" w:rsidRPr="00C93898" w:rsidRDefault="009F3617" w:rsidP="009F361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804D64" w:rsidRDefault="0007702D" w:rsidP="009F3617">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7FE3AD3"/>
    <w:multiLevelType w:val="multilevel"/>
    <w:tmpl w:val="390251B0"/>
    <w:lvl w:ilvl="0">
      <w:start w:val="1"/>
      <w:numFmt w:val="decimal"/>
      <w:lvlText w:val="%1."/>
      <w:lvlJc w:val="left"/>
      <w:pPr>
        <w:ind w:left="720" w:hanging="360"/>
      </w:pPr>
      <w:rPr>
        <w:rFonts w:hint="default"/>
        <w:sz w:val="22"/>
      </w:rPr>
    </w:lvl>
    <w:lvl w:ilvl="1">
      <w:start w:val="1"/>
      <w:numFmt w:val="decimal"/>
      <w:isLgl/>
      <w:lvlText w:val="%1.%2"/>
      <w:lvlJc w:val="left"/>
      <w:pPr>
        <w:ind w:left="848" w:hanging="360"/>
      </w:pPr>
      <w:rPr>
        <w:rFonts w:hint="default"/>
      </w:rPr>
    </w:lvl>
    <w:lvl w:ilvl="2">
      <w:start w:val="1"/>
      <w:numFmt w:val="decimal"/>
      <w:isLgl/>
      <w:lvlText w:val="%1.%2.%3"/>
      <w:lvlJc w:val="left"/>
      <w:pPr>
        <w:ind w:left="1336"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592" w:hanging="72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208" w:hanging="1080"/>
      </w:pPr>
      <w:rPr>
        <w:rFonts w:hint="default"/>
      </w:rPr>
    </w:lvl>
    <w:lvl w:ilvl="7">
      <w:start w:val="1"/>
      <w:numFmt w:val="decimal"/>
      <w:isLgl/>
      <w:lvlText w:val="%1.%2.%3.%4.%5.%6.%7.%8"/>
      <w:lvlJc w:val="left"/>
      <w:pPr>
        <w:ind w:left="2696" w:hanging="1440"/>
      </w:pPr>
      <w:rPr>
        <w:rFonts w:hint="default"/>
      </w:rPr>
    </w:lvl>
    <w:lvl w:ilvl="8">
      <w:start w:val="1"/>
      <w:numFmt w:val="decimal"/>
      <w:isLgl/>
      <w:lvlText w:val="%1.%2.%3.%4.%5.%6.%7.%8.%9"/>
      <w:lvlJc w:val="left"/>
      <w:pPr>
        <w:ind w:left="2824" w:hanging="1440"/>
      </w:pPr>
      <w:rPr>
        <w:rFonts w:hint="default"/>
      </w:r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0AE7"/>
    <w:rsid w:val="00037A4F"/>
    <w:rsid w:val="0004027F"/>
    <w:rsid w:val="000438EF"/>
    <w:rsid w:val="0007702D"/>
    <w:rsid w:val="0008256A"/>
    <w:rsid w:val="000B0684"/>
    <w:rsid w:val="000C202E"/>
    <w:rsid w:val="000E03E5"/>
    <w:rsid w:val="00110887"/>
    <w:rsid w:val="00112178"/>
    <w:rsid w:val="00112FA6"/>
    <w:rsid w:val="00122FD7"/>
    <w:rsid w:val="001322A5"/>
    <w:rsid w:val="001570AA"/>
    <w:rsid w:val="001751F3"/>
    <w:rsid w:val="0019237D"/>
    <w:rsid w:val="001A3E78"/>
    <w:rsid w:val="001B40C5"/>
    <w:rsid w:val="001C5B30"/>
    <w:rsid w:val="001D002F"/>
    <w:rsid w:val="00225BDE"/>
    <w:rsid w:val="00234D34"/>
    <w:rsid w:val="0027531B"/>
    <w:rsid w:val="002D02AF"/>
    <w:rsid w:val="002D6634"/>
    <w:rsid w:val="002E5F8A"/>
    <w:rsid w:val="0030241F"/>
    <w:rsid w:val="0030280A"/>
    <w:rsid w:val="003160D9"/>
    <w:rsid w:val="0032073D"/>
    <w:rsid w:val="00325891"/>
    <w:rsid w:val="003677F6"/>
    <w:rsid w:val="0038022A"/>
    <w:rsid w:val="003809F9"/>
    <w:rsid w:val="003B2BBE"/>
    <w:rsid w:val="00401E85"/>
    <w:rsid w:val="00420AFC"/>
    <w:rsid w:val="0043397C"/>
    <w:rsid w:val="00441471"/>
    <w:rsid w:val="0044190A"/>
    <w:rsid w:val="004422B7"/>
    <w:rsid w:val="00465F1C"/>
    <w:rsid w:val="00471C92"/>
    <w:rsid w:val="0048594A"/>
    <w:rsid w:val="00496079"/>
    <w:rsid w:val="004A156E"/>
    <w:rsid w:val="004E7C1B"/>
    <w:rsid w:val="004F4D34"/>
    <w:rsid w:val="00511F92"/>
    <w:rsid w:val="005120CA"/>
    <w:rsid w:val="00522A54"/>
    <w:rsid w:val="005354A4"/>
    <w:rsid w:val="005425DE"/>
    <w:rsid w:val="00566D4C"/>
    <w:rsid w:val="005A3C05"/>
    <w:rsid w:val="005B4E5C"/>
    <w:rsid w:val="005C49A3"/>
    <w:rsid w:val="005C713D"/>
    <w:rsid w:val="005D54F9"/>
    <w:rsid w:val="00606316"/>
    <w:rsid w:val="0061451E"/>
    <w:rsid w:val="0061753B"/>
    <w:rsid w:val="00617F29"/>
    <w:rsid w:val="00665A3F"/>
    <w:rsid w:val="006A12AA"/>
    <w:rsid w:val="006A464F"/>
    <w:rsid w:val="006E127F"/>
    <w:rsid w:val="00717E14"/>
    <w:rsid w:val="0073212A"/>
    <w:rsid w:val="0073796F"/>
    <w:rsid w:val="00750824"/>
    <w:rsid w:val="007A595E"/>
    <w:rsid w:val="007C4D3F"/>
    <w:rsid w:val="007C7E77"/>
    <w:rsid w:val="007F2BD1"/>
    <w:rsid w:val="007F61E4"/>
    <w:rsid w:val="00804D64"/>
    <w:rsid w:val="00821EB2"/>
    <w:rsid w:val="008407A4"/>
    <w:rsid w:val="008418DC"/>
    <w:rsid w:val="0084403F"/>
    <w:rsid w:val="008605D5"/>
    <w:rsid w:val="00861682"/>
    <w:rsid w:val="0089470A"/>
    <w:rsid w:val="00896326"/>
    <w:rsid w:val="0089713D"/>
    <w:rsid w:val="008D01FA"/>
    <w:rsid w:val="008D3A8F"/>
    <w:rsid w:val="008E1AB9"/>
    <w:rsid w:val="008F1446"/>
    <w:rsid w:val="008F68DF"/>
    <w:rsid w:val="00905EE7"/>
    <w:rsid w:val="00907EED"/>
    <w:rsid w:val="00927973"/>
    <w:rsid w:val="0093400E"/>
    <w:rsid w:val="00947D15"/>
    <w:rsid w:val="00952083"/>
    <w:rsid w:val="0095514D"/>
    <w:rsid w:val="00955468"/>
    <w:rsid w:val="009774A0"/>
    <w:rsid w:val="00981E70"/>
    <w:rsid w:val="009C47E7"/>
    <w:rsid w:val="009D4A71"/>
    <w:rsid w:val="009F33DE"/>
    <w:rsid w:val="009F3617"/>
    <w:rsid w:val="00A03AA3"/>
    <w:rsid w:val="00A314A5"/>
    <w:rsid w:val="00A4487E"/>
    <w:rsid w:val="00A522B4"/>
    <w:rsid w:val="00A85B27"/>
    <w:rsid w:val="00A93D31"/>
    <w:rsid w:val="00AD3330"/>
    <w:rsid w:val="00AE2346"/>
    <w:rsid w:val="00AE6144"/>
    <w:rsid w:val="00B36E86"/>
    <w:rsid w:val="00B92137"/>
    <w:rsid w:val="00BC3FDE"/>
    <w:rsid w:val="00BD3ABE"/>
    <w:rsid w:val="00BE5706"/>
    <w:rsid w:val="00C257CC"/>
    <w:rsid w:val="00C350D8"/>
    <w:rsid w:val="00C43225"/>
    <w:rsid w:val="00C62C74"/>
    <w:rsid w:val="00C90EF8"/>
    <w:rsid w:val="00CA2144"/>
    <w:rsid w:val="00CC3224"/>
    <w:rsid w:val="00CD662D"/>
    <w:rsid w:val="00CE0E05"/>
    <w:rsid w:val="00CF51B7"/>
    <w:rsid w:val="00D2204F"/>
    <w:rsid w:val="00D2653D"/>
    <w:rsid w:val="00D318D3"/>
    <w:rsid w:val="00D42278"/>
    <w:rsid w:val="00D434BA"/>
    <w:rsid w:val="00D51C53"/>
    <w:rsid w:val="00D523F5"/>
    <w:rsid w:val="00D753B2"/>
    <w:rsid w:val="00D9632C"/>
    <w:rsid w:val="00DA0334"/>
    <w:rsid w:val="00DA7F39"/>
    <w:rsid w:val="00DB024C"/>
    <w:rsid w:val="00DD2C4C"/>
    <w:rsid w:val="00E40657"/>
    <w:rsid w:val="00E55B46"/>
    <w:rsid w:val="00E933C1"/>
    <w:rsid w:val="00EB50C8"/>
    <w:rsid w:val="00EF36DE"/>
    <w:rsid w:val="00EF7CB2"/>
    <w:rsid w:val="00F20361"/>
    <w:rsid w:val="00F34877"/>
    <w:rsid w:val="00F437C1"/>
    <w:rsid w:val="00F47BC2"/>
    <w:rsid w:val="00F54542"/>
    <w:rsid w:val="00F90D45"/>
    <w:rsid w:val="00FA56A3"/>
    <w:rsid w:val="00FA6F65"/>
    <w:rsid w:val="00FC39FE"/>
    <w:rsid w:val="00FD2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5ED64685-EFCA-4729-B871-7920DCB8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FC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A0860-333F-4A6A-8623-AE5D4E77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50</cp:revision>
  <cp:lastPrinted>2017-04-13T08:24:00Z</cp:lastPrinted>
  <dcterms:created xsi:type="dcterms:W3CDTF">2017-03-08T06:00:00Z</dcterms:created>
  <dcterms:modified xsi:type="dcterms:W3CDTF">2023-03-02T07:55:00Z</dcterms:modified>
</cp:coreProperties>
</file>