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p>
    <w:p>
      <w:pPr>
        <w:pBdr>
          <w:bottom w:val="single" w:color="888888" w:sz="6" w:space="0"/>
        </w:pBdr>
        <w:shd w:fill="000000" w:val="clear"/>
        <w:jc w:val="center"/>
      </w:pPr>
      <w:r>
        <w:rPr>
          <w:rFonts w:ascii="Calibri" w:cs="Calibri" w:eastAsia="Calibri" w:hAnsi="Calibri"/>
          <w:b/>
          <w:bCs/>
          <w:color w:val="FFFFFF"/>
          <w:sz w:val="46"/>
          <w:szCs w:val="46"/>
        </w:rPr>
        <w:t xml:space="preserve">CUSTOMER CHURN PREDICTION SYSTEM</w:t>
      </w:r>
    </w:p>
    <w:p>
      <w:pPr>
        <w:shd w:fill="1A1A1A" w:val="clear"/>
        <w:jc w:val="center"/>
      </w:pPr>
      <w:r>
        <w:rPr>
          <w:rFonts w:ascii="Calibri" w:cs="Calibri" w:eastAsia="Calibri" w:hAnsi="Calibri"/>
          <w:b/>
          <w:bCs/>
          <w:color w:val="FFFFFF"/>
          <w:sz w:val="32"/>
          <w:szCs w:val="32"/>
        </w:rPr>
        <w:t xml:space="preserve">FINAL TECHNICAL REPORT</w:t>
      </w:r>
    </w:p>
    <w:p>
      <w:pPr>
        <w:shd w:fill="3D3D3D" w:val="clear"/>
        <w:spacing w:after="280"/>
        <w:jc w:val="center"/>
      </w:pPr>
      <w:r>
        <w:rPr>
          <w:rFonts w:ascii="Calibri" w:cs="Calibri" w:eastAsia="Calibri" w:hAnsi="Calibri"/>
          <w:color w:val="FFFFFF"/>
          <w:sz w:val="22"/>
          <w:szCs w:val="22"/>
        </w:rPr>
        <w:t xml:space="preserve">BIS405 Graduation Project  |  Group 3  |  Academic Year 2025–2026</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44"/>
        <w:gridCol w:w="6662"/>
      </w:tblGrid>
      <w:tr>
        <w:tc>
          <w:tcPr>
            <w:tcW w:type="dxa" w:w="2844"/>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tcPr>
          <w:p>
            <w:r>
              <w:rPr>
                <w:rFonts w:ascii="Calibri" w:cs="Calibri" w:eastAsia="Calibri" w:hAnsi="Calibri"/>
                <w:b/>
                <w:bCs/>
                <w:color w:val="FFFFFF"/>
                <w:sz w:val="20"/>
                <w:szCs w:val="20"/>
              </w:rPr>
              <w:t xml:space="preserve">Course</w:t>
            </w:r>
          </w:p>
        </w:tc>
        <w:tc>
          <w:tcPr>
            <w:tcW w:type="dxa" w:w="6662"/>
            <w:tcBorders>
              <w:top w:val="single" w:color="auto" w:sz="4"/>
              <w:left w:val="single" w:color="auto" w:sz="4"/>
              <w:bottom w:val="single" w:color="auto" w:sz="4"/>
              <w:right w:val="single" w:color="auto" w:sz="4"/>
            </w:tcBorders>
            <w:tcMar>
              <w:top w:type="dxa" w:w="40"/>
              <w:left w:type="dxa" w:w="80"/>
              <w:bottom w:type="dxa" w:w="40"/>
              <w:right w:type="dxa" w:w="80"/>
            </w:tcMar>
          </w:tcPr>
          <w:p>
            <w:r>
              <w:rPr>
                <w:rFonts w:ascii="Calibri" w:cs="Calibri" w:eastAsia="Calibri" w:hAnsi="Calibri"/>
                <w:sz w:val="20"/>
                <w:szCs w:val="20"/>
              </w:rPr>
              <w:t xml:space="preserve">BIS405 — Graduation Project</w:t>
            </w:r>
          </w:p>
        </w:tc>
      </w:tr>
      <w:tr>
        <w:tc>
          <w:tcPr>
            <w:tcW w:type="dxa" w:w="2844"/>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tcPr>
          <w:p>
            <w:r>
              <w:rPr>
                <w:rFonts w:ascii="Calibri" w:cs="Calibri" w:eastAsia="Calibri" w:hAnsi="Calibri"/>
                <w:b/>
                <w:bCs/>
                <w:color w:val="FFFFFF"/>
                <w:sz w:val="20"/>
                <w:szCs w:val="20"/>
              </w:rPr>
              <w:t xml:space="preserve">Academic Year</w:t>
            </w:r>
          </w:p>
        </w:tc>
        <w:tc>
          <w:tcPr>
            <w:tcW w:type="dxa" w:w="6662"/>
            <w:tcBorders>
              <w:top w:val="single" w:color="auto" w:sz="4"/>
              <w:left w:val="single" w:color="auto" w:sz="4"/>
              <w:bottom w:val="single" w:color="auto" w:sz="4"/>
              <w:right w:val="single" w:color="auto" w:sz="4"/>
            </w:tcBorders>
            <w:tcMar>
              <w:top w:type="dxa" w:w="40"/>
              <w:left w:type="dxa" w:w="80"/>
              <w:bottom w:type="dxa" w:w="40"/>
              <w:right w:type="dxa" w:w="80"/>
            </w:tcMar>
          </w:tcPr>
          <w:p>
            <w:r>
              <w:rPr>
                <w:rFonts w:ascii="Calibri" w:cs="Calibri" w:eastAsia="Calibri" w:hAnsi="Calibri"/>
                <w:sz w:val="20"/>
                <w:szCs w:val="20"/>
              </w:rPr>
              <w:t xml:space="preserve">2025 – 2026</w:t>
            </w:r>
          </w:p>
        </w:tc>
      </w:tr>
      <w:tr>
        <w:tc>
          <w:tcPr>
            <w:tcW w:type="dxa" w:w="2844"/>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tcPr>
          <w:p>
            <w:r>
              <w:rPr>
                <w:rFonts w:ascii="Calibri" w:cs="Calibri" w:eastAsia="Calibri" w:hAnsi="Calibri"/>
                <w:b/>
                <w:bCs/>
                <w:color w:val="FFFFFF"/>
                <w:sz w:val="20"/>
                <w:szCs w:val="20"/>
              </w:rPr>
              <w:t xml:space="preserve">University</w:t>
            </w:r>
          </w:p>
        </w:tc>
        <w:tc>
          <w:tcPr>
            <w:tcW w:type="dxa" w:w="6662"/>
            <w:tcBorders>
              <w:top w:val="single" w:color="auto" w:sz="4"/>
              <w:left w:val="single" w:color="auto" w:sz="4"/>
              <w:bottom w:val="single" w:color="auto" w:sz="4"/>
              <w:right w:val="single" w:color="auto" w:sz="4"/>
            </w:tcBorders>
            <w:tcMar>
              <w:top w:type="dxa" w:w="40"/>
              <w:left w:type="dxa" w:w="80"/>
              <w:bottom w:type="dxa" w:w="40"/>
              <w:right w:type="dxa" w:w="80"/>
            </w:tcMar>
          </w:tcPr>
          <w:p>
            <w:r>
              <w:rPr>
                <w:rFonts w:ascii="Calibri" w:cs="Calibri" w:eastAsia="Calibri" w:hAnsi="Calibri"/>
                <w:sz w:val="20"/>
                <w:szCs w:val="20"/>
              </w:rPr>
              <w:t xml:space="preserve">Imam Abdulrahman Bin Faisal University</w:t>
            </w:r>
          </w:p>
        </w:tc>
      </w:tr>
      <w:tr>
        <w:tc>
          <w:tcPr>
            <w:tcW w:type="dxa" w:w="2844"/>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tcPr>
          <w:p>
            <w:r>
              <w:rPr>
                <w:rFonts w:ascii="Calibri" w:cs="Calibri" w:eastAsia="Calibri" w:hAnsi="Calibri"/>
                <w:b/>
                <w:bCs/>
                <w:color w:val="FFFFFF"/>
                <w:sz w:val="20"/>
                <w:szCs w:val="20"/>
              </w:rPr>
              <w:t xml:space="preserve">College</w:t>
            </w:r>
          </w:p>
        </w:tc>
        <w:tc>
          <w:tcPr>
            <w:tcW w:type="dxa" w:w="6662"/>
            <w:tcBorders>
              <w:top w:val="single" w:color="auto" w:sz="4"/>
              <w:left w:val="single" w:color="auto" w:sz="4"/>
              <w:bottom w:val="single" w:color="auto" w:sz="4"/>
              <w:right w:val="single" w:color="auto" w:sz="4"/>
            </w:tcBorders>
            <w:tcMar>
              <w:top w:type="dxa" w:w="40"/>
              <w:left w:type="dxa" w:w="80"/>
              <w:bottom w:type="dxa" w:w="40"/>
              <w:right w:type="dxa" w:w="80"/>
            </w:tcMar>
          </w:tcPr>
          <w:p>
            <w:r>
              <w:rPr>
                <w:rFonts w:ascii="Calibri" w:cs="Calibri" w:eastAsia="Calibri" w:hAnsi="Calibri"/>
                <w:sz w:val="20"/>
                <w:szCs w:val="20"/>
              </w:rPr>
              <w:t xml:space="preserve">College of Business Administration</w:t>
            </w:r>
          </w:p>
        </w:tc>
      </w:tr>
      <w:tr>
        <w:tc>
          <w:tcPr>
            <w:tcW w:type="dxa" w:w="2844"/>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tcPr>
          <w:p>
            <w:r>
              <w:rPr>
                <w:rFonts w:ascii="Calibri" w:cs="Calibri" w:eastAsia="Calibri" w:hAnsi="Calibri"/>
                <w:b/>
                <w:bCs/>
                <w:color w:val="FFFFFF"/>
                <w:sz w:val="20"/>
                <w:szCs w:val="20"/>
              </w:rPr>
              <w:t xml:space="preserve">Department</w:t>
            </w:r>
          </w:p>
        </w:tc>
        <w:tc>
          <w:tcPr>
            <w:tcW w:type="dxa" w:w="6662"/>
            <w:tcBorders>
              <w:top w:val="single" w:color="auto" w:sz="4"/>
              <w:left w:val="single" w:color="auto" w:sz="4"/>
              <w:bottom w:val="single" w:color="auto" w:sz="4"/>
              <w:right w:val="single" w:color="auto" w:sz="4"/>
            </w:tcBorders>
            <w:tcMar>
              <w:top w:type="dxa" w:w="40"/>
              <w:left w:type="dxa" w:w="80"/>
              <w:bottom w:type="dxa" w:w="40"/>
              <w:right w:type="dxa" w:w="80"/>
            </w:tcMar>
          </w:tcPr>
          <w:p>
            <w:r>
              <w:rPr>
                <w:rFonts w:ascii="Calibri" w:cs="Calibri" w:eastAsia="Calibri" w:hAnsi="Calibri"/>
                <w:sz w:val="20"/>
                <w:szCs w:val="20"/>
              </w:rPr>
              <w:t xml:space="preserve">Management Information Systems</w:t>
            </w:r>
          </w:p>
        </w:tc>
      </w:tr>
      <w:tr>
        <w:tc>
          <w:tcPr>
            <w:tcW w:type="dxa" w:w="2844"/>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tcPr>
          <w:p>
            <w:r>
              <w:rPr>
                <w:rFonts w:ascii="Calibri" w:cs="Calibri" w:eastAsia="Calibri" w:hAnsi="Calibri"/>
                <w:b/>
                <w:bCs/>
                <w:color w:val="FFFFFF"/>
                <w:sz w:val="20"/>
                <w:szCs w:val="20"/>
              </w:rPr>
              <w:t xml:space="preserve">Project Title</w:t>
            </w:r>
          </w:p>
        </w:tc>
        <w:tc>
          <w:tcPr>
            <w:tcW w:type="dxa" w:w="6662"/>
            <w:tcBorders>
              <w:top w:val="single" w:color="auto" w:sz="4"/>
              <w:left w:val="single" w:color="auto" w:sz="4"/>
              <w:bottom w:val="single" w:color="auto" w:sz="4"/>
              <w:right w:val="single" w:color="auto" w:sz="4"/>
            </w:tcBorders>
            <w:tcMar>
              <w:top w:type="dxa" w:w="40"/>
              <w:left w:type="dxa" w:w="80"/>
              <w:bottom w:type="dxa" w:w="40"/>
              <w:right w:type="dxa" w:w="80"/>
            </w:tcMar>
          </w:tcPr>
          <w:p>
            <w:r>
              <w:rPr>
                <w:rFonts w:ascii="Calibri" w:cs="Calibri" w:eastAsia="Calibri" w:hAnsi="Calibri"/>
                <w:sz w:val="20"/>
                <w:szCs w:val="20"/>
              </w:rPr>
              <w:t xml:space="preserve">Customer Churn Prediction System</w:t>
            </w:r>
          </w:p>
        </w:tc>
      </w:tr>
      <w:tr>
        <w:tc>
          <w:tcPr>
            <w:tcW w:type="dxa" w:w="2844"/>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tcPr>
          <w:p>
            <w:r>
              <w:rPr>
                <w:rFonts w:ascii="Calibri" w:cs="Calibri" w:eastAsia="Calibri" w:hAnsi="Calibri"/>
                <w:b/>
                <w:bCs/>
                <w:color w:val="FFFFFF"/>
                <w:sz w:val="20"/>
                <w:szCs w:val="20"/>
              </w:rPr>
              <w:t xml:space="preserve">Project Area</w:t>
            </w:r>
          </w:p>
        </w:tc>
        <w:tc>
          <w:tcPr>
            <w:tcW w:type="dxa" w:w="6662"/>
            <w:tcBorders>
              <w:top w:val="single" w:color="auto" w:sz="4"/>
              <w:left w:val="single" w:color="auto" w:sz="4"/>
              <w:bottom w:val="single" w:color="auto" w:sz="4"/>
              <w:right w:val="single" w:color="auto" w:sz="4"/>
            </w:tcBorders>
            <w:tcMar>
              <w:top w:type="dxa" w:w="40"/>
              <w:left w:type="dxa" w:w="80"/>
              <w:bottom w:type="dxa" w:w="40"/>
              <w:right w:type="dxa" w:w="80"/>
            </w:tcMar>
          </w:tcPr>
          <w:p>
            <w:r>
              <w:rPr>
                <w:rFonts w:ascii="Calibri" w:cs="Calibri" w:eastAsia="Calibri" w:hAnsi="Calibri"/>
                <w:sz w:val="20"/>
                <w:szCs w:val="20"/>
              </w:rPr>
              <w:t xml:space="preserve">Data Analytics and Decision Intelligence</w:t>
            </w:r>
          </w:p>
        </w:tc>
      </w:tr>
      <w:tr>
        <w:tc>
          <w:tcPr>
            <w:tcW w:type="dxa" w:w="2844"/>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tcPr>
          <w:p>
            <w:r>
              <w:rPr>
                <w:rFonts w:ascii="Calibri" w:cs="Calibri" w:eastAsia="Calibri" w:hAnsi="Calibri"/>
                <w:b/>
                <w:bCs/>
                <w:color w:val="FFFFFF"/>
                <w:sz w:val="20"/>
                <w:szCs w:val="20"/>
              </w:rPr>
              <w:t xml:space="preserve">Supervisor</w:t>
            </w:r>
          </w:p>
        </w:tc>
        <w:tc>
          <w:tcPr>
            <w:tcW w:type="dxa" w:w="6662"/>
            <w:tcBorders>
              <w:top w:val="single" w:color="auto" w:sz="4"/>
              <w:left w:val="single" w:color="auto" w:sz="4"/>
              <w:bottom w:val="single" w:color="auto" w:sz="4"/>
              <w:right w:val="single" w:color="auto" w:sz="4"/>
            </w:tcBorders>
            <w:tcMar>
              <w:top w:type="dxa" w:w="40"/>
              <w:left w:type="dxa" w:w="80"/>
              <w:bottom w:type="dxa" w:w="40"/>
              <w:right w:type="dxa" w:w="80"/>
            </w:tcMar>
          </w:tcPr>
          <w:p>
            <w:r>
              <w:rPr>
                <w:rFonts w:ascii="Calibri" w:cs="Calibri" w:eastAsia="Calibri" w:hAnsi="Calibri"/>
                <w:sz w:val="20"/>
                <w:szCs w:val="20"/>
              </w:rPr>
              <w:t xml:space="preserve">Dr. [Supervisor Name]</w:t>
            </w:r>
          </w:p>
        </w:tc>
      </w:tr>
      <w:tr>
        <w:tc>
          <w:tcPr>
            <w:tcW w:type="dxa" w:w="2844"/>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tcPr>
          <w:p>
            <w:r>
              <w:rPr>
                <w:rFonts w:ascii="Calibri" w:cs="Calibri" w:eastAsia="Calibri" w:hAnsi="Calibri"/>
                <w:b/>
                <w:bCs/>
                <w:color w:val="FFFFFF"/>
                <w:sz w:val="20"/>
                <w:szCs w:val="20"/>
              </w:rPr>
              <w:t xml:space="preserve">Team</w:t>
            </w:r>
          </w:p>
        </w:tc>
        <w:tc>
          <w:tcPr>
            <w:tcW w:type="dxa" w:w="6662"/>
            <w:tcBorders>
              <w:top w:val="single" w:color="auto" w:sz="4"/>
              <w:left w:val="single" w:color="auto" w:sz="4"/>
              <w:bottom w:val="single" w:color="auto" w:sz="4"/>
              <w:right w:val="single" w:color="auto" w:sz="4"/>
            </w:tcBorders>
            <w:tcMar>
              <w:top w:type="dxa" w:w="40"/>
              <w:left w:type="dxa" w:w="80"/>
              <w:bottom w:type="dxa" w:w="40"/>
              <w:right w:type="dxa" w:w="80"/>
            </w:tcMar>
          </w:tcPr>
          <w:p>
            <w:r>
              <w:rPr>
                <w:rFonts w:ascii="Calibri" w:cs="Calibri" w:eastAsia="Calibri" w:hAnsi="Calibri"/>
                <w:sz w:val="20"/>
                <w:szCs w:val="20"/>
              </w:rPr>
              <w:t xml:space="preserve">Group 3 — Analytics Team Alpha</w:t>
            </w:r>
          </w:p>
        </w:tc>
      </w:tr>
      <w:tr>
        <w:tc>
          <w:tcPr>
            <w:tcW w:type="dxa" w:w="2844"/>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tcPr>
          <w:p>
            <w:r>
              <w:rPr>
                <w:rFonts w:ascii="Calibri" w:cs="Calibri" w:eastAsia="Calibri" w:hAnsi="Calibri"/>
                <w:b/>
                <w:bCs/>
                <w:color w:val="FFFFFF"/>
                <w:sz w:val="20"/>
                <w:szCs w:val="20"/>
              </w:rPr>
              <w:t xml:space="preserve">Submission Date</w:t>
            </w:r>
          </w:p>
        </w:tc>
        <w:tc>
          <w:tcPr>
            <w:tcW w:type="dxa" w:w="6662"/>
            <w:tcBorders>
              <w:top w:val="single" w:color="auto" w:sz="4"/>
              <w:left w:val="single" w:color="auto" w:sz="4"/>
              <w:bottom w:val="single" w:color="auto" w:sz="4"/>
              <w:right w:val="single" w:color="auto" w:sz="4"/>
            </w:tcBorders>
            <w:tcMar>
              <w:top w:type="dxa" w:w="40"/>
              <w:left w:type="dxa" w:w="80"/>
              <w:bottom w:type="dxa" w:w="40"/>
              <w:right w:type="dxa" w:w="80"/>
            </w:tcMar>
          </w:tcPr>
          <w:p>
            <w:r>
              <w:rPr>
                <w:rFonts w:ascii="Calibri" w:cs="Calibri" w:eastAsia="Calibri" w:hAnsi="Calibri"/>
                <w:sz w:val="20"/>
                <w:szCs w:val="20"/>
              </w:rPr>
              <w:t xml:space="preserve">30 May 2026</w:t>
            </w:r>
          </w:p>
        </w:tc>
      </w:tr>
      <w:tr>
        <w:tc>
          <w:tcPr>
            <w:tcW w:type="dxa" w:w="2844"/>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tcPr>
          <w:p>
            <w:r>
              <w:rPr>
                <w:rFonts w:ascii="Calibri" w:cs="Calibri" w:eastAsia="Calibri" w:hAnsi="Calibri"/>
                <w:b/>
                <w:bCs/>
                <w:color w:val="FFFFFF"/>
                <w:sz w:val="20"/>
                <w:szCs w:val="20"/>
              </w:rPr>
              <w:t xml:space="preserve">Team Members</w:t>
            </w:r>
          </w:p>
        </w:tc>
        <w:tc>
          <w:tcPr>
            <w:tcW w:type="dxa" w:w="6662"/>
            <w:tcBorders>
              <w:top w:val="single" w:color="auto" w:sz="4"/>
              <w:left w:val="single" w:color="auto" w:sz="4"/>
              <w:bottom w:val="single" w:color="auto" w:sz="4"/>
              <w:right w:val="single" w:color="auto" w:sz="4"/>
            </w:tcBorders>
            <w:tcMar>
              <w:top w:type="dxa" w:w="40"/>
              <w:left w:type="dxa" w:w="80"/>
              <w:bottom w:type="dxa" w:w="40"/>
              <w:right w:type="dxa" w:w="80"/>
            </w:tcMar>
          </w:tcPr>
          <w:p>
            <w:r>
              <w:rPr>
                <w:rFonts w:ascii="Calibri" w:cs="Calibri" w:eastAsia="Calibri" w:hAnsi="Calibri"/>
                <w:sz w:val="20"/>
                <w:szCs w:val="20"/>
              </w:rPr>
              <w:t xml:space="preserve">Maha (Student 1) — Data Scientist | Scrum Master Sprint 1, 5</w:t>
            </w:r>
          </w:p>
          <w:p>
            <w:r>
              <w:rPr>
                <w:rFonts w:ascii="Calibri" w:cs="Calibri" w:eastAsia="Calibri" w:hAnsi="Calibri"/>
                <w:sz w:val="20"/>
                <w:szCs w:val="20"/>
              </w:rPr>
              <w:t xml:space="preserve">Hadeel (Student 2) — Business Analyst | Scrum Master Sprint 3</w:t>
            </w:r>
          </w:p>
          <w:p>
            <w:r>
              <w:rPr>
                <w:rFonts w:ascii="Calibri" w:cs="Calibri" w:eastAsia="Calibri" w:hAnsi="Calibri"/>
                <w:sz w:val="20"/>
                <w:szCs w:val="20"/>
              </w:rPr>
              <w:t xml:space="preserve">Ghadeer (Student 3) — ML Engineer / Dashboard Lead | Scrum Master Sprint 4</w:t>
            </w:r>
          </w:p>
        </w:tc>
      </w:tr>
    </w:tbl>
    <w:p>
      <w:r>
        <w:br w:type="page"/>
      </w:r>
    </w:p>
    <w:p>
      <w:pPr>
        <w:pBdr>
          <w:bottom w:val="single" w:color="BBBBBB" w:sz="6" w:space="1"/>
        </w:pBdr>
        <w:shd w:fill="000000" w:val="clear"/>
        <w:spacing w:after="120" w:before="360"/>
      </w:pPr>
      <w:r>
        <w:rPr>
          <w:rFonts w:ascii="Calibri" w:cs="Calibri" w:eastAsia="Calibri" w:hAnsi="Calibri"/>
          <w:b/>
          <w:bCs/>
          <w:color w:val="FFFFFF"/>
          <w:sz w:val="28"/>
          <w:szCs w:val="28"/>
        </w:rPr>
        <w:t xml:space="preserve">EXECUTIVE SUMMARY</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This Final Technical Report documents the complete development lifecycle of the Customer Churn Prediction System — a graduation project delivered across five Agile Scrum sprints at Imam Abdulrahman Bin Faisal University as part of the BIS405 Graduation Project course (Academic Year 2025–2026).</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The project developed a production-ready machine learning system capable of predicting customer churn with high accuracy, providing business-actionable insights, and delivering a fully functional interactive dashboard. The system addresses a critical business challenge: identifying at-risk customers before they churn, enabling proactive retention intervention.</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The primary deliverables are: (1) an XGBoost classification model achieving ROC-AUC of 0.9536 on a 505,206-record customer dataset; (2) a 5-page Streamlit dashboard with real-time prediction capability loading in under 2 seconds; and (3) actionable customer retention recommendations grounded in feature importance analysis and SHAP explainability. All five project KPIs were exceeded by significant margins across the four development sprints.</w:t>
      </w:r>
    </w:p>
    <w:p>
      <w:pPr>
        <w:spacing w:after="80" w:before="0"/>
      </w:pPr>
    </w:p>
    <w:p>
      <w:pPr>
        <w:spacing w:after="60" w:before="160"/>
      </w:pPr>
      <w:r>
        <w:rPr>
          <w:rFonts w:ascii="Calibri" w:cs="Calibri" w:eastAsia="Calibri" w:hAnsi="Calibri"/>
          <w:b/>
          <w:bCs/>
          <w:i/>
          <w:iCs/>
          <w:sz w:val="22"/>
          <w:szCs w:val="22"/>
        </w:rPr>
        <w:t xml:space="preserve">Final Project KPI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600"/>
        <w:gridCol w:w="1000"/>
        <w:gridCol w:w="2306"/>
      </w:tblGrid>
      <w:tr>
        <w:tc>
          <w:tcPr>
            <w:tcW w:type="dxa" w:w="22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KPI</w:t>
            </w:r>
          </w:p>
        </w:tc>
        <w:tc>
          <w:tcPr>
            <w:tcW w:type="dxa" w:w="12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Target</w:t>
            </w:r>
          </w:p>
        </w:tc>
        <w:tc>
          <w:tcPr>
            <w:tcW w:type="dxa" w:w="12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Achieved</w:t>
            </w:r>
          </w:p>
        </w:tc>
        <w:tc>
          <w:tcPr>
            <w:tcW w:type="dxa" w:w="16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Value</w:t>
            </w:r>
          </w:p>
        </w:tc>
        <w:tc>
          <w:tcPr>
            <w:tcW w:type="dxa" w:w="10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Sprint</w:t>
            </w:r>
          </w:p>
        </w:tc>
        <w:tc>
          <w:tcPr>
            <w:tcW w:type="dxa" w:w="2306"/>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Status</w:t>
            </w:r>
          </w:p>
        </w:tc>
      </w:tr>
      <w:tr>
        <w:tc>
          <w:tcPr>
            <w:tcW w:type="dxa" w:w="22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ROC-AUC Score</w:t>
            </w:r>
          </w:p>
        </w:tc>
        <w:tc>
          <w:tcPr>
            <w:tcW w:type="dxa" w:w="12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 0.75</w:t>
            </w:r>
          </w:p>
        </w:tc>
        <w:tc>
          <w:tcPr>
            <w:tcW w:type="dxa" w:w="12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0.9536</w:t>
            </w:r>
          </w:p>
        </w:tc>
        <w:tc>
          <w:tcPr>
            <w:tcW w:type="dxa" w:w="16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+0.2036 above target</w:t>
            </w:r>
          </w:p>
        </w:tc>
        <w:tc>
          <w:tcPr>
            <w:tcW w:type="dxa" w:w="1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Sprint 3</w:t>
            </w:r>
          </w:p>
        </w:tc>
        <w:tc>
          <w:tcPr>
            <w:tcW w:type="dxa" w:w="23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EXCEEDED ✅</w:t>
            </w:r>
          </w:p>
        </w:tc>
      </w:tr>
      <w:tr>
        <w:tc>
          <w:tcPr>
            <w:tcW w:type="dxa" w:w="22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Precision @ Top 20%</w:t>
            </w:r>
          </w:p>
        </w:tc>
        <w:tc>
          <w:tcPr>
            <w:tcW w:type="dxa" w:w="12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 70%</w:t>
            </w:r>
          </w:p>
        </w:tc>
        <w:tc>
          <w:tcPr>
            <w:tcW w:type="dxa" w:w="12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89.83%</w:t>
            </w:r>
          </w:p>
        </w:tc>
        <w:tc>
          <w:tcPr>
            <w:tcW w:type="dxa" w:w="16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+19.83% above target</w:t>
            </w:r>
          </w:p>
        </w:tc>
        <w:tc>
          <w:tcPr>
            <w:tcW w:type="dxa" w:w="1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Sprint 3</w:t>
            </w:r>
          </w:p>
        </w:tc>
        <w:tc>
          <w:tcPr>
            <w:tcW w:type="dxa" w:w="23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EXCEEDED ✅</w:t>
            </w:r>
          </w:p>
        </w:tc>
      </w:tr>
      <w:tr>
        <w:tc>
          <w:tcPr>
            <w:tcW w:type="dxa" w:w="22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False Positive Rate</w:t>
            </w:r>
          </w:p>
        </w:tc>
        <w:tc>
          <w:tcPr>
            <w:tcW w:type="dxa" w:w="12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&lt; 30%</w:t>
            </w:r>
          </w:p>
        </w:tc>
        <w:tc>
          <w:tcPr>
            <w:tcW w:type="dxa" w:w="12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10.2%</w:t>
            </w:r>
          </w:p>
        </w:tc>
        <w:tc>
          <w:tcPr>
            <w:tcW w:type="dxa" w:w="16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19.8% below target</w:t>
            </w:r>
          </w:p>
        </w:tc>
        <w:tc>
          <w:tcPr>
            <w:tcW w:type="dxa" w:w="1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Sprint 3</w:t>
            </w:r>
          </w:p>
        </w:tc>
        <w:tc>
          <w:tcPr>
            <w:tcW w:type="dxa" w:w="23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EXCEEDED ✅</w:t>
            </w:r>
          </w:p>
        </w:tc>
      </w:tr>
      <w:tr>
        <w:tc>
          <w:tcPr>
            <w:tcW w:type="dxa" w:w="22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Model Training Time</w:t>
            </w:r>
          </w:p>
        </w:tc>
        <w:tc>
          <w:tcPr>
            <w:tcW w:type="dxa" w:w="12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&lt; 5 min</w:t>
            </w:r>
          </w:p>
        </w:tc>
        <w:tc>
          <w:tcPr>
            <w:tcW w:type="dxa" w:w="12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1.7 sec</w:t>
            </w:r>
          </w:p>
        </w:tc>
        <w:tc>
          <w:tcPr>
            <w:tcW w:type="dxa" w:w="16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4m 58s below target</w:t>
            </w:r>
          </w:p>
        </w:tc>
        <w:tc>
          <w:tcPr>
            <w:tcW w:type="dxa" w:w="1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Sprint 3</w:t>
            </w:r>
          </w:p>
        </w:tc>
        <w:tc>
          <w:tcPr>
            <w:tcW w:type="dxa" w:w="23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EXCEEDED ✅</w:t>
            </w:r>
          </w:p>
        </w:tc>
      </w:tr>
      <w:tr>
        <w:tc>
          <w:tcPr>
            <w:tcW w:type="dxa" w:w="22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Dashboard Load Time</w:t>
            </w:r>
          </w:p>
        </w:tc>
        <w:tc>
          <w:tcPr>
            <w:tcW w:type="dxa" w:w="12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&lt; 3 sec</w:t>
            </w:r>
          </w:p>
        </w:tc>
        <w:tc>
          <w:tcPr>
            <w:tcW w:type="dxa" w:w="12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&lt; 2 sec</w:t>
            </w:r>
          </w:p>
        </w:tc>
        <w:tc>
          <w:tcPr>
            <w:tcW w:type="dxa" w:w="16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1 sec below target</w:t>
            </w:r>
          </w:p>
        </w:tc>
        <w:tc>
          <w:tcPr>
            <w:tcW w:type="dxa" w:w="1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Sprint 4</w:t>
            </w:r>
          </w:p>
        </w:tc>
        <w:tc>
          <w:tcPr>
            <w:tcW w:type="dxa" w:w="23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EXCEEDED ✅</w:t>
            </w:r>
          </w:p>
        </w:tc>
      </w:tr>
    </w:tbl>
    <w:p>
      <w:r>
        <w:br w:type="page"/>
      </w:r>
    </w:p>
    <w:p>
      <w:pPr>
        <w:pBdr>
          <w:bottom w:val="single" w:color="BBBBBB" w:sz="6" w:space="1"/>
        </w:pBdr>
        <w:shd w:fill="000000" w:val="clear"/>
        <w:spacing w:after="120" w:before="360"/>
      </w:pPr>
      <w:r>
        <w:rPr>
          <w:rFonts w:ascii="Calibri" w:cs="Calibri" w:eastAsia="Calibri" w:hAnsi="Calibri"/>
          <w:b/>
          <w:bCs/>
          <w:color w:val="FFFFFF"/>
          <w:sz w:val="28"/>
          <w:szCs w:val="28"/>
        </w:rPr>
        <w:t xml:space="preserve">1. INTRODUCTION</w:t>
      </w:r>
    </w:p>
    <w:p>
      <w:pPr>
        <w:spacing w:after="80" w:before="200"/>
      </w:pPr>
      <w:r>
        <w:rPr>
          <w:rFonts w:ascii="Calibri" w:cs="Calibri" w:eastAsia="Calibri" w:hAnsi="Calibri"/>
          <w:b/>
          <w:bCs/>
          <w:color w:val="1F3864"/>
          <w:sz w:val="24"/>
          <w:szCs w:val="24"/>
        </w:rPr>
        <w:t xml:space="preserve">1.1 Background and Motivation</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Customer churn — the phenomenon whereby customers discontinue their relationship with a service provider — represents one of the most significant and costly challenges in subscription-based businesses. Research consistently demonstrates that the cost of acquiring a new customer is approximately five times greater than the cost of retaining an existing one (Ahmad, Jafar and Aljoumaa, 2019). In highly competitive markets, even a modest reduction in churn rate can translate directly into substantial revenue protection and improved customer lifetime value.</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Traditional approaches to churn management are largely reactive: organisations identify churned customers after the fact and attempt post-hoc win-back campaigns. Machine learning-based predictive systems offer a fundamentally different approach — identifying at-risk customers before they disengage, enabling proactive retention interventions that are both more effective and more cost-efficient.</w:t>
      </w:r>
    </w:p>
    <w:p>
      <w:pPr>
        <w:spacing w:after="80" w:before="0"/>
      </w:pPr>
    </w:p>
    <w:p>
      <w:pPr>
        <w:spacing w:after="80" w:before="200"/>
      </w:pPr>
      <w:r>
        <w:rPr>
          <w:rFonts w:ascii="Calibri" w:cs="Calibri" w:eastAsia="Calibri" w:hAnsi="Calibri"/>
          <w:b/>
          <w:bCs/>
          <w:color w:val="1F3864"/>
          <w:sz w:val="24"/>
          <w:szCs w:val="24"/>
        </w:rPr>
        <w:t xml:space="preserve">1.2 Project Objectives</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The primary objective of this project is to develop, validate, and deploy a customer churn prediction system that meets the following goals:</w:t>
      </w:r>
    </w:p>
    <w:p>
      <w:pPr>
        <w:pStyle w:val="ListParagraph"/>
        <w:numPr>
          <w:ilvl w:val="0"/>
          <w:numId w:val="2"/>
        </w:numPr>
        <w:spacing w:after="40" w:before="40" w:line="276" w:lineRule="auto"/>
        <w:jc w:val="both"/>
      </w:pPr>
      <w:r>
        <w:rPr>
          <w:rFonts w:ascii="Calibri" w:cs="Calibri" w:eastAsia="Calibri" w:hAnsi="Calibri"/>
          <w:b w:val="false"/>
          <w:bCs w:val="false"/>
          <w:i w:val="false"/>
          <w:iCs w:val="false"/>
          <w:color w:val="000000"/>
          <w:sz w:val="22"/>
          <w:szCs w:val="22"/>
        </w:rPr>
        <w:t xml:space="preserve">Train a machine learning model achieving ROC-AUC ≥ 0.75 on a real-world customer dataset</w:t>
      </w:r>
    </w:p>
    <w:p>
      <w:pPr>
        <w:pStyle w:val="ListParagraph"/>
        <w:numPr>
          <w:ilvl w:val="0"/>
          <w:numId w:val="2"/>
        </w:numPr>
        <w:spacing w:after="40" w:before="40" w:line="276" w:lineRule="auto"/>
        <w:jc w:val="both"/>
      </w:pPr>
      <w:r>
        <w:rPr>
          <w:rFonts w:ascii="Calibri" w:cs="Calibri" w:eastAsia="Calibri" w:hAnsi="Calibri"/>
          <w:b w:val="false"/>
          <w:bCs w:val="false"/>
          <w:i w:val="false"/>
          <w:iCs w:val="false"/>
          <w:color w:val="000000"/>
          <w:sz w:val="22"/>
          <w:szCs w:val="22"/>
        </w:rPr>
        <w:t xml:space="preserve">Identify the most significant features driving churn to enable targeted business interventions</w:t>
      </w:r>
    </w:p>
    <w:p>
      <w:pPr>
        <w:pStyle w:val="ListParagraph"/>
        <w:numPr>
          <w:ilvl w:val="0"/>
          <w:numId w:val="2"/>
        </w:numPr>
        <w:spacing w:after="40" w:before="40" w:line="276" w:lineRule="auto"/>
        <w:jc w:val="both"/>
      </w:pPr>
      <w:r>
        <w:rPr>
          <w:rFonts w:ascii="Calibri" w:cs="Calibri" w:eastAsia="Calibri" w:hAnsi="Calibri"/>
          <w:b w:val="false"/>
          <w:bCs w:val="false"/>
          <w:i w:val="false"/>
          <w:iCs w:val="false"/>
          <w:color w:val="000000"/>
          <w:sz w:val="22"/>
          <w:szCs w:val="22"/>
        </w:rPr>
        <w:t xml:space="preserve">Deploy a multi-page interactive dashboard that enables real-time churn probability scoring</w:t>
      </w:r>
    </w:p>
    <w:p>
      <w:pPr>
        <w:pStyle w:val="ListParagraph"/>
        <w:numPr>
          <w:ilvl w:val="0"/>
          <w:numId w:val="2"/>
        </w:numPr>
        <w:spacing w:after="40" w:before="40" w:line="276" w:lineRule="auto"/>
        <w:jc w:val="both"/>
      </w:pPr>
      <w:r>
        <w:rPr>
          <w:rFonts w:ascii="Calibri" w:cs="Calibri" w:eastAsia="Calibri" w:hAnsi="Calibri"/>
          <w:b w:val="false"/>
          <w:bCs w:val="false"/>
          <w:i w:val="false"/>
          <w:iCs w:val="false"/>
          <w:color w:val="000000"/>
          <w:sz w:val="22"/>
          <w:szCs w:val="22"/>
        </w:rPr>
        <w:t xml:space="preserve">Provide actionable retention recommendations grounded in model interpretability</w:t>
      </w:r>
    </w:p>
    <w:p>
      <w:pPr>
        <w:pStyle w:val="ListParagraph"/>
        <w:numPr>
          <w:ilvl w:val="0"/>
          <w:numId w:val="2"/>
        </w:numPr>
        <w:spacing w:after="40" w:before="40" w:line="276" w:lineRule="auto"/>
        <w:jc w:val="both"/>
      </w:pPr>
      <w:r>
        <w:rPr>
          <w:rFonts w:ascii="Calibri" w:cs="Calibri" w:eastAsia="Calibri" w:hAnsi="Calibri"/>
          <w:b w:val="false"/>
          <w:bCs w:val="false"/>
          <w:i w:val="false"/>
          <w:iCs w:val="false"/>
          <w:color w:val="000000"/>
          <w:sz w:val="22"/>
          <w:szCs w:val="22"/>
        </w:rPr>
        <w:t xml:space="preserve">Deliver all system components within an Agile Scrum framework across five sprints</w:t>
      </w:r>
    </w:p>
    <w:p>
      <w:pPr>
        <w:spacing w:after="80" w:before="0"/>
      </w:pPr>
    </w:p>
    <w:p>
      <w:pPr>
        <w:spacing w:after="80" w:before="200"/>
      </w:pPr>
      <w:r>
        <w:rPr>
          <w:rFonts w:ascii="Calibri" w:cs="Calibri" w:eastAsia="Calibri" w:hAnsi="Calibri"/>
          <w:b/>
          <w:bCs/>
          <w:color w:val="1F3864"/>
          <w:sz w:val="24"/>
          <w:szCs w:val="24"/>
        </w:rPr>
        <w:t xml:space="preserve">1.3 Scope and Constraints</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The project scope encompasses data exploration, preprocessing, machine learning model development, model evaluation, and dashboard implementation. The dataset used is the publicly available Kaggle Customer Churn Dataset (Azeem, 2024) containing 505,206 records across 12 attributes. Due to training time constraints, a stratified 50,000-record sample was used for model development — preserving the original 55.5% / 44.5% churn class distribution exactly. The system was developed and demonstrated on Google Colab, with deployment via ngrok tunnel.</w:t>
      </w:r>
    </w:p>
    <w:p>
      <w:pPr>
        <w:spacing w:after="80" w:before="0"/>
      </w:pPr>
    </w:p>
    <w:p>
      <w:pPr>
        <w:spacing w:after="80" w:before="200"/>
      </w:pPr>
      <w:r>
        <w:rPr>
          <w:rFonts w:ascii="Calibri" w:cs="Calibri" w:eastAsia="Calibri" w:hAnsi="Calibri"/>
          <w:b/>
          <w:bCs/>
          <w:color w:val="1F3864"/>
          <w:sz w:val="24"/>
          <w:szCs w:val="24"/>
        </w:rPr>
        <w:t xml:space="preserve">1.4 Report Structure</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This report follows the complete project lifecycle across five sections: Section 2 reviews relevant literature; Section 3 describes the dataset and preprocessing methodology; Section 4 covers model development across Sprints 2 and 3; Section 5 documents the dashboard system from Sprint 4; Section 6 presents Sprint 5 final deliverables; Section 7 summarises KPI achievement; Section 8 provides business recommendations; and Section 9 concludes with future work directions.</w:t>
      </w:r>
    </w:p>
    <w:p>
      <w:r>
        <w:br w:type="page"/>
      </w:r>
    </w:p>
    <w:p>
      <w:pPr>
        <w:pBdr>
          <w:bottom w:val="single" w:color="BBBBBB" w:sz="6" w:space="1"/>
        </w:pBdr>
        <w:shd w:fill="000000" w:val="clear"/>
        <w:spacing w:after="120" w:before="360"/>
      </w:pPr>
      <w:r>
        <w:rPr>
          <w:rFonts w:ascii="Calibri" w:cs="Calibri" w:eastAsia="Calibri" w:hAnsi="Calibri"/>
          <w:b/>
          <w:bCs/>
          <w:color w:val="FFFFFF"/>
          <w:sz w:val="28"/>
          <w:szCs w:val="28"/>
        </w:rPr>
        <w:t xml:space="preserve">2. LITERATURE REVIEW</w:t>
      </w:r>
    </w:p>
    <w:p>
      <w:pPr>
        <w:spacing w:after="80" w:before="200"/>
      </w:pPr>
      <w:r>
        <w:rPr>
          <w:rFonts w:ascii="Calibri" w:cs="Calibri" w:eastAsia="Calibri" w:hAnsi="Calibri"/>
          <w:b/>
          <w:bCs/>
          <w:color w:val="1F3864"/>
          <w:sz w:val="24"/>
          <w:szCs w:val="24"/>
        </w:rPr>
        <w:t xml:space="preserve">2.1 Machine Learning Approaches to Churn Prediction</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Customer churn prediction has been extensively studied in the machine learning literature, with ensemble methods consistently outperforming linear classifiers on structured tabular data. Ahmad, Jafar and Aljoumaa (2019) conducted a comprehensive comparison of churn prediction models in a telecommunications context, finding that ensemble classifiers — particularly gradient boosting variants — delivered superior AUC scores compared to logistic regression, naive Bayes, and support vector machines. Their study on a dataset of 3.3 million records demonstrated that feature engineering around usage patterns and customer service interactions was as important as model selection itself.</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Gradient boosting decision trees have emerged as the dominant paradigm for tabular churn prediction. Chen and Guestrin (2016) introduced XGBoost — an optimised, regularised gradient boosting framework — which has become an industry standard for competition and production deployments alike. The key advantages over prior ensemble methods include built-in regularisation (L1/L2), efficient handling of missing values, and substantially faster training through approximate tree-learning algorithms. For customer churn, where training datasets typically range from tens of thousands to millions of records, XGBoost's training efficiency at scale is a critical practical advantage.</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LightGBM (Ke et al., 2017) introduced leaf-wise tree growth as an alternative to the level-wise approach of XGBoost, achieving comparable accuracy with significantly reduced memory usage and faster training on large datasets. In direct comparisons on tabular classification tasks, LightGBM and XGBoost frequently achieve near-identical AUC scores, with the final model selection often determined by secondary factors such as training speed, deployment ecosystem, and hyperparameter sensitivity. This finding is consistent with the results of this project, where both models achieved AUC = 0.9536 with the final selection of XGBoost based on training speed (1.7s vs 2.6s) and broader deployment support.</w:t>
      </w:r>
    </w:p>
    <w:p>
      <w:pPr>
        <w:spacing w:after="80" w:before="0"/>
      </w:pPr>
    </w:p>
    <w:p>
      <w:pPr>
        <w:spacing w:after="80" w:before="200"/>
      </w:pPr>
      <w:r>
        <w:rPr>
          <w:rFonts w:ascii="Calibri" w:cs="Calibri" w:eastAsia="Calibri" w:hAnsi="Calibri"/>
          <w:b/>
          <w:bCs/>
          <w:color w:val="1F3864"/>
          <w:sz w:val="24"/>
          <w:szCs w:val="24"/>
        </w:rPr>
        <w:t xml:space="preserve">2.2 Feature Importance and Model Interpretability</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The emergence of explainable AI (XAI) methods has significantly advanced the business utility of machine learning churn models. While black-box models like gradient boosting deliver superior predictive accuracy, their adoption in retention decision-making requires interpretable justification. Lundberg and Lee (2017) introduced SHAP (SHapley Additive exPlanations), a game-theory-based framework that assigns each feature a contribution value for individual predictions. SHAP has become the de facto standard for model interpretability in production ML systems, enabling both global feature importance analysis (aggregated across all predictions) and local waterfall charts (for individual customer predictions).</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The customer support calls feature identified as the top churn driver in this project is consistent with findings across the churn prediction literature. High support contact rates are widely associated with customer dissatisfaction and elevated churn risk — customers who repeatedly contact support without resolution are significantly more likely to churn (Ahmad et al., 2019). Contract length as the second-most important feature is similarly well-documented: month-to-month customers consistently exhibit higher churn propensity than annual or multi-year subscribers due to lower switching costs.</w:t>
      </w:r>
    </w:p>
    <w:p>
      <w:pPr>
        <w:spacing w:after="80" w:before="0"/>
      </w:pPr>
    </w:p>
    <w:p>
      <w:pPr>
        <w:spacing w:after="80" w:before="200"/>
      </w:pPr>
      <w:r>
        <w:rPr>
          <w:rFonts w:ascii="Calibri" w:cs="Calibri" w:eastAsia="Calibri" w:hAnsi="Calibri"/>
          <w:b/>
          <w:bCs/>
          <w:color w:val="1F3864"/>
          <w:sz w:val="24"/>
          <w:szCs w:val="24"/>
        </w:rPr>
        <w:t xml:space="preserve">2.3 Interactive Business Intelligence Systems</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The deployment of ML predictions within interactive business intelligence tools has grown substantially in recent years, driven by frameworks such as Streamlit, Dash, and Gradio that lower the barrier between data scientists and end-user deployment. Streamlit Inc. (2024) positions its framework as enabling data scientists to build production-grade web applications without requiring web development expertise. For churn prediction specifically, interactive dashboards serve two distinct user groups: business stakeholders who require high-level KPI summaries and retention strategy guidance, and operational retention teams who require individual customer scoring for proactive outreach.</w:t>
      </w:r>
    </w:p>
    <w:p>
      <w:r>
        <w:br w:type="page"/>
      </w:r>
    </w:p>
    <w:p>
      <w:pPr>
        <w:pBdr>
          <w:bottom w:val="single" w:color="BBBBBB" w:sz="6" w:space="1"/>
        </w:pBdr>
        <w:shd w:fill="000000" w:val="clear"/>
        <w:spacing w:after="120" w:before="360"/>
      </w:pPr>
      <w:r>
        <w:rPr>
          <w:rFonts w:ascii="Calibri" w:cs="Calibri" w:eastAsia="Calibri" w:hAnsi="Calibri"/>
          <w:b/>
          <w:bCs/>
          <w:color w:val="FFFFFF"/>
          <w:sz w:val="28"/>
          <w:szCs w:val="28"/>
        </w:rPr>
        <w:t xml:space="preserve">3. DATA DESCRIPTION AND PREPROCESSING METHODOLOGY</w:t>
      </w:r>
    </w:p>
    <w:p>
      <w:pPr>
        <w:spacing w:after="80" w:before="200"/>
      </w:pPr>
      <w:r>
        <w:rPr>
          <w:rFonts w:ascii="Calibri" w:cs="Calibri" w:eastAsia="Calibri" w:hAnsi="Calibri"/>
          <w:b/>
          <w:bCs/>
          <w:color w:val="1F3864"/>
          <w:sz w:val="24"/>
          <w:szCs w:val="24"/>
        </w:rPr>
        <w:t xml:space="preserve">3.1 Dataset Overview</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The Customer Churn Dataset published by Azeem (2024) on Kaggle under CC0 / Public Domain licence was used as the primary data source for this project. The dataset contains 505,206 customer records with 12 attributes covering demographic information, service usage patterns, contract characteristics, and billing behaviour. The dataset represents a synthetic but statistically realistic representation of a subscription-based service provider's customer base.</w:t>
      </w:r>
    </w:p>
    <w:p>
      <w:pPr>
        <w:spacing w:after="80" w:before="0"/>
      </w:pPr>
    </w:p>
    <w:p>
      <w:pPr>
        <w:spacing w:after="60" w:before="160"/>
      </w:pPr>
      <w:r>
        <w:rPr>
          <w:rFonts w:ascii="Calibri" w:cs="Calibri" w:eastAsia="Calibri" w:hAnsi="Calibri"/>
          <w:b/>
          <w:bCs/>
          <w:i/>
          <w:iCs/>
          <w:sz w:val="22"/>
          <w:szCs w:val="22"/>
        </w:rPr>
        <w:t xml:space="preserve">Table 3.1 — Dataset Feature Description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4506"/>
      </w:tblGrid>
      <w:tr>
        <w:tc>
          <w:tcPr>
            <w:tcW w:type="dxa" w:w="20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Feature</w:t>
            </w:r>
          </w:p>
        </w:tc>
        <w:tc>
          <w:tcPr>
            <w:tcW w:type="dxa" w:w="14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Type</w:t>
            </w:r>
          </w:p>
        </w:tc>
        <w:tc>
          <w:tcPr>
            <w:tcW w:type="dxa" w:w="16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Range</w:t>
            </w:r>
          </w:p>
        </w:tc>
        <w:tc>
          <w:tcPr>
            <w:tcW w:type="dxa" w:w="4506"/>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Description</w:t>
            </w:r>
          </w:p>
        </w:tc>
      </w:tr>
      <w:tr>
        <w:tc>
          <w:tcPr>
            <w:tcW w:type="dxa" w:w="20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CustomerID</w:t>
            </w:r>
          </w:p>
        </w:tc>
        <w:tc>
          <w:tcPr>
            <w:tcW w:type="dxa" w:w="1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Nominal</w:t>
            </w:r>
          </w:p>
        </w:tc>
        <w:tc>
          <w:tcPr>
            <w:tcW w:type="dxa" w:w="16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Unique</w:t>
            </w:r>
          </w:p>
        </w:tc>
        <w:tc>
          <w:tcPr>
            <w:tcW w:type="dxa" w:w="45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Unique customer identifier (excluded from modelling)</w:t>
            </w:r>
          </w:p>
        </w:tc>
      </w:tr>
      <w:tr>
        <w:tc>
          <w:tcPr>
            <w:tcW w:type="dxa" w:w="2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Age</w:t>
            </w:r>
          </w:p>
        </w:tc>
        <w:tc>
          <w:tcPr>
            <w:tcW w:type="dxa" w:w="1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Numeric</w:t>
            </w:r>
          </w:p>
        </w:tc>
        <w:tc>
          <w:tcPr>
            <w:tcW w:type="dxa" w:w="16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18–85</w:t>
            </w:r>
          </w:p>
        </w:tc>
        <w:tc>
          <w:tcPr>
            <w:tcW w:type="dxa" w:w="45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Customer age in years</w:t>
            </w:r>
          </w:p>
        </w:tc>
      </w:tr>
      <w:tr>
        <w:tc>
          <w:tcPr>
            <w:tcW w:type="dxa" w:w="20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Gender</w:t>
            </w:r>
          </w:p>
        </w:tc>
        <w:tc>
          <w:tcPr>
            <w:tcW w:type="dxa" w:w="1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Binary</w:t>
            </w:r>
          </w:p>
        </w:tc>
        <w:tc>
          <w:tcPr>
            <w:tcW w:type="dxa" w:w="16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Male/Female</w:t>
            </w:r>
          </w:p>
        </w:tc>
        <w:tc>
          <w:tcPr>
            <w:tcW w:type="dxa" w:w="45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Customer gender — encoded: Male=1, Female=0</w:t>
            </w:r>
          </w:p>
        </w:tc>
      </w:tr>
      <w:tr>
        <w:tc>
          <w:tcPr>
            <w:tcW w:type="dxa" w:w="2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Tenure</w:t>
            </w:r>
          </w:p>
        </w:tc>
        <w:tc>
          <w:tcPr>
            <w:tcW w:type="dxa" w:w="1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Numeric</w:t>
            </w:r>
          </w:p>
        </w:tc>
        <w:tc>
          <w:tcPr>
            <w:tcW w:type="dxa" w:w="16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1–60</w:t>
            </w:r>
          </w:p>
        </w:tc>
        <w:tc>
          <w:tcPr>
            <w:tcW w:type="dxa" w:w="45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Months as a customer</w:t>
            </w:r>
          </w:p>
        </w:tc>
      </w:tr>
      <w:tr>
        <w:tc>
          <w:tcPr>
            <w:tcW w:type="dxa" w:w="20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Usage Frequency</w:t>
            </w:r>
          </w:p>
        </w:tc>
        <w:tc>
          <w:tcPr>
            <w:tcW w:type="dxa" w:w="1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Numeric</w:t>
            </w:r>
          </w:p>
        </w:tc>
        <w:tc>
          <w:tcPr>
            <w:tcW w:type="dxa" w:w="16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1–10</w:t>
            </w:r>
          </w:p>
        </w:tc>
        <w:tc>
          <w:tcPr>
            <w:tcW w:type="dxa" w:w="45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Monthly product/service usage frequency</w:t>
            </w:r>
          </w:p>
        </w:tc>
      </w:tr>
      <w:tr>
        <w:tc>
          <w:tcPr>
            <w:tcW w:type="dxa" w:w="2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Support Calls</w:t>
            </w:r>
          </w:p>
        </w:tc>
        <w:tc>
          <w:tcPr>
            <w:tcW w:type="dxa" w:w="1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Numeric</w:t>
            </w:r>
          </w:p>
        </w:tc>
        <w:tc>
          <w:tcPr>
            <w:tcW w:type="dxa" w:w="16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0–10</w:t>
            </w:r>
          </w:p>
        </w:tc>
        <w:tc>
          <w:tcPr>
            <w:tcW w:type="dxa" w:w="45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Number of customer support calls — top churn driver</w:t>
            </w:r>
          </w:p>
        </w:tc>
      </w:tr>
      <w:tr>
        <w:tc>
          <w:tcPr>
            <w:tcW w:type="dxa" w:w="20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Payment Delay</w:t>
            </w:r>
          </w:p>
        </w:tc>
        <w:tc>
          <w:tcPr>
            <w:tcW w:type="dxa" w:w="1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Numeric</w:t>
            </w:r>
          </w:p>
        </w:tc>
        <w:tc>
          <w:tcPr>
            <w:tcW w:type="dxa" w:w="16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0–30</w:t>
            </w:r>
          </w:p>
        </w:tc>
        <w:tc>
          <w:tcPr>
            <w:tcW w:type="dxa" w:w="45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Days late on most recent payment</w:t>
            </w:r>
          </w:p>
        </w:tc>
      </w:tr>
      <w:tr>
        <w:tc>
          <w:tcPr>
            <w:tcW w:type="dxa" w:w="2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Subscription Type</w:t>
            </w:r>
          </w:p>
        </w:tc>
        <w:tc>
          <w:tcPr>
            <w:tcW w:type="dxa" w:w="1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Ordinal</w:t>
            </w:r>
          </w:p>
        </w:tc>
        <w:tc>
          <w:tcPr>
            <w:tcW w:type="dxa" w:w="16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Basic/Standard/Premium</w:t>
            </w:r>
          </w:p>
        </w:tc>
        <w:tc>
          <w:tcPr>
            <w:tcW w:type="dxa" w:w="45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Service tier — encoded: Basic=0, Standard=1, Premium=2</w:t>
            </w:r>
          </w:p>
        </w:tc>
      </w:tr>
      <w:tr>
        <w:tc>
          <w:tcPr>
            <w:tcW w:type="dxa" w:w="20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Contract Length</w:t>
            </w:r>
          </w:p>
        </w:tc>
        <w:tc>
          <w:tcPr>
            <w:tcW w:type="dxa" w:w="1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Ordinal</w:t>
            </w:r>
          </w:p>
        </w:tc>
        <w:tc>
          <w:tcPr>
            <w:tcW w:type="dxa" w:w="16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Monthly/Quarterly/Annual</w:t>
            </w:r>
          </w:p>
        </w:tc>
        <w:tc>
          <w:tcPr>
            <w:tcW w:type="dxa" w:w="45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Contract term — encoded: Monthly=0, Quarterly=1, Annual=2</w:t>
            </w:r>
          </w:p>
        </w:tc>
      </w:tr>
      <w:tr>
        <w:tc>
          <w:tcPr>
            <w:tcW w:type="dxa" w:w="2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Total Spend</w:t>
            </w:r>
          </w:p>
        </w:tc>
        <w:tc>
          <w:tcPr>
            <w:tcW w:type="dxa" w:w="1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Numeric</w:t>
            </w:r>
          </w:p>
        </w:tc>
        <w:tc>
          <w:tcPr>
            <w:tcW w:type="dxa" w:w="16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SAR 100–900</w:t>
            </w:r>
          </w:p>
        </w:tc>
        <w:tc>
          <w:tcPr>
            <w:tcW w:type="dxa" w:w="45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Cumulative spend in SAR</w:t>
            </w:r>
          </w:p>
        </w:tc>
      </w:tr>
      <w:tr>
        <w:tc>
          <w:tcPr>
            <w:tcW w:type="dxa" w:w="20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Last Interaction</w:t>
            </w:r>
          </w:p>
        </w:tc>
        <w:tc>
          <w:tcPr>
            <w:tcW w:type="dxa" w:w="1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Numeric</w:t>
            </w:r>
          </w:p>
        </w:tc>
        <w:tc>
          <w:tcPr>
            <w:tcW w:type="dxa" w:w="16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1–30</w:t>
            </w:r>
          </w:p>
        </w:tc>
        <w:tc>
          <w:tcPr>
            <w:tcW w:type="dxa" w:w="45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Days since most recent service interaction</w:t>
            </w:r>
          </w:p>
        </w:tc>
      </w:tr>
      <w:tr>
        <w:tc>
          <w:tcPr>
            <w:tcW w:type="dxa" w:w="2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Churn (Target)</w:t>
            </w:r>
          </w:p>
        </w:tc>
        <w:tc>
          <w:tcPr>
            <w:tcW w:type="dxa" w:w="1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Binary</w:t>
            </w:r>
          </w:p>
        </w:tc>
        <w:tc>
          <w:tcPr>
            <w:tcW w:type="dxa" w:w="16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0=Retained / 1=Churned</w:t>
            </w:r>
          </w:p>
        </w:tc>
        <w:tc>
          <w:tcPr>
            <w:tcW w:type="dxa" w:w="45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Target variable — 55.5% churn, 44.5% retained</w:t>
            </w:r>
          </w:p>
        </w:tc>
      </w:tr>
    </w:tbl>
    <w:p>
      <w:pPr>
        <w:spacing w:after="80" w:before="0"/>
      </w:pPr>
    </w:p>
    <w:p>
      <w:pPr>
        <w:spacing w:after="80" w:before="200"/>
      </w:pPr>
      <w:r>
        <w:rPr>
          <w:rFonts w:ascii="Calibri" w:cs="Calibri" w:eastAsia="Calibri" w:hAnsi="Calibri"/>
          <w:b/>
          <w:bCs/>
          <w:color w:val="1F3864"/>
          <w:sz w:val="24"/>
          <w:szCs w:val="24"/>
        </w:rPr>
        <w:t xml:space="preserve">3.2 Exploratory Data Analysis — Sprint 1 Key Findings</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Sprint 1 conducted a comprehensive EDA on the full 505,206-record dataset. Key findings that informed the modelling strategy are summarised below:</w:t>
      </w:r>
    </w:p>
    <w:p>
      <w:pPr>
        <w:pStyle w:val="ListParagraph"/>
        <w:numPr>
          <w:ilvl w:val="0"/>
          <w:numId w:val="2"/>
        </w:numPr>
        <w:spacing w:after="40" w:before="40" w:line="276" w:lineRule="auto"/>
        <w:jc w:val="both"/>
      </w:pPr>
      <w:r>
        <w:rPr>
          <w:rFonts w:ascii="Calibri" w:cs="Calibri" w:eastAsia="Calibri" w:hAnsi="Calibri"/>
          <w:b/>
          <w:bCs/>
          <w:i w:val="false"/>
          <w:iCs w:val="false"/>
          <w:color w:val="000000"/>
          <w:sz w:val="22"/>
          <w:szCs w:val="22"/>
        </w:rPr>
        <w:t xml:space="preserve">Class Distribution: </w:t>
      </w:r>
      <w:r>
        <w:rPr>
          <w:rFonts w:ascii="Calibri" w:cs="Calibri" w:eastAsia="Calibri" w:hAnsi="Calibri"/>
          <w:b w:val="false"/>
          <w:bCs w:val="false"/>
          <w:i w:val="false"/>
          <w:iCs w:val="false"/>
          <w:color w:val="000000"/>
          <w:sz w:val="22"/>
          <w:szCs w:val="22"/>
        </w:rPr>
        <w:t xml:space="preserve">The dataset exhibits a 55.5% / 44.5% churn-to-retained ratio. This mild imbalance was addressed through class_weight='balanced' parameters in all models and scale_pos_weight in XGBoost.</w:t>
      </w:r>
    </w:p>
    <w:p>
      <w:pPr>
        <w:pStyle w:val="ListParagraph"/>
        <w:numPr>
          <w:ilvl w:val="0"/>
          <w:numId w:val="2"/>
        </w:numPr>
        <w:spacing w:after="40" w:before="40" w:line="276" w:lineRule="auto"/>
        <w:jc w:val="both"/>
      </w:pPr>
      <w:r>
        <w:rPr>
          <w:rFonts w:ascii="Calibri" w:cs="Calibri" w:eastAsia="Calibri" w:hAnsi="Calibri"/>
          <w:b/>
          <w:bCs/>
          <w:i w:val="false"/>
          <w:iCs w:val="false"/>
          <w:color w:val="000000"/>
          <w:sz w:val="22"/>
          <w:szCs w:val="22"/>
        </w:rPr>
        <w:t xml:space="preserve">Support Calls: </w:t>
      </w:r>
      <w:r>
        <w:rPr>
          <w:rFonts w:ascii="Calibri" w:cs="Calibri" w:eastAsia="Calibri" w:hAnsi="Calibri"/>
          <w:b w:val="false"/>
          <w:bCs w:val="false"/>
          <w:i w:val="false"/>
          <w:iCs w:val="false"/>
          <w:color w:val="000000"/>
          <w:sz w:val="22"/>
          <w:szCs w:val="22"/>
        </w:rPr>
        <w:t xml:space="preserve">Customers with 6 or more support calls churn at approximately 100% — the clearest and most actionable signal in the dataset. This finding was confirmed by all three ensemble models in Sprint 3.</w:t>
      </w:r>
    </w:p>
    <w:p>
      <w:pPr>
        <w:pStyle w:val="ListParagraph"/>
        <w:numPr>
          <w:ilvl w:val="0"/>
          <w:numId w:val="2"/>
        </w:numPr>
        <w:spacing w:after="40" w:before="40" w:line="276" w:lineRule="auto"/>
        <w:jc w:val="both"/>
      </w:pPr>
      <w:r>
        <w:rPr>
          <w:rFonts w:ascii="Calibri" w:cs="Calibri" w:eastAsia="Calibri" w:hAnsi="Calibri"/>
          <w:b/>
          <w:bCs/>
          <w:i w:val="false"/>
          <w:iCs w:val="false"/>
          <w:color w:val="000000"/>
          <w:sz w:val="22"/>
          <w:szCs w:val="22"/>
        </w:rPr>
        <w:t xml:space="preserve">Contract Length: </w:t>
      </w:r>
      <w:r>
        <w:rPr>
          <w:rFonts w:ascii="Calibri" w:cs="Calibri" w:eastAsia="Calibri" w:hAnsi="Calibri"/>
          <w:b w:val="false"/>
          <w:bCs w:val="false"/>
          <w:i w:val="false"/>
          <w:iCs w:val="false"/>
          <w:color w:val="000000"/>
          <w:sz w:val="22"/>
          <w:szCs w:val="22"/>
        </w:rPr>
        <w:t xml:space="preserve">Monthly contract customers churn at a rate approximately 3× higher than Annual contract customers, confirming contract length as the second most important retention lever.</w:t>
      </w:r>
    </w:p>
    <w:p>
      <w:pPr>
        <w:pStyle w:val="ListParagraph"/>
        <w:numPr>
          <w:ilvl w:val="0"/>
          <w:numId w:val="2"/>
        </w:numPr>
        <w:spacing w:after="40" w:before="40" w:line="276" w:lineRule="auto"/>
        <w:jc w:val="both"/>
      </w:pPr>
      <w:r>
        <w:rPr>
          <w:rFonts w:ascii="Calibri" w:cs="Calibri" w:eastAsia="Calibri" w:hAnsi="Calibri"/>
          <w:b/>
          <w:bCs/>
          <w:i w:val="false"/>
          <w:iCs w:val="false"/>
          <w:color w:val="000000"/>
          <w:sz w:val="22"/>
          <w:szCs w:val="22"/>
        </w:rPr>
        <w:t xml:space="preserve">Payment Delay: </w:t>
      </w:r>
      <w:r>
        <w:rPr>
          <w:rFonts w:ascii="Calibri" w:cs="Calibri" w:eastAsia="Calibri" w:hAnsi="Calibri"/>
          <w:b w:val="false"/>
          <w:bCs w:val="false"/>
          <w:i w:val="false"/>
          <w:iCs w:val="false"/>
          <w:color w:val="000000"/>
          <w:sz w:val="22"/>
          <w:szCs w:val="22"/>
        </w:rPr>
        <w:t xml:space="preserve">A clear threshold exists at approximately 15 days of payment delay, beyond which churn probability increases substantially. Customers with delays &gt; 20 days show churn rates above 80%.</w:t>
      </w:r>
    </w:p>
    <w:p>
      <w:pPr>
        <w:pStyle w:val="ListParagraph"/>
        <w:numPr>
          <w:ilvl w:val="0"/>
          <w:numId w:val="2"/>
        </w:numPr>
        <w:spacing w:after="40" w:before="40" w:line="276" w:lineRule="auto"/>
        <w:jc w:val="both"/>
      </w:pPr>
      <w:r>
        <w:rPr>
          <w:rFonts w:ascii="Calibri" w:cs="Calibri" w:eastAsia="Calibri" w:hAnsi="Calibri"/>
          <w:b/>
          <w:bCs/>
          <w:i w:val="false"/>
          <w:iCs w:val="false"/>
          <w:color w:val="000000"/>
          <w:sz w:val="22"/>
          <w:szCs w:val="22"/>
        </w:rPr>
        <w:t xml:space="preserve">No Missing Values: </w:t>
      </w:r>
      <w:r>
        <w:rPr>
          <w:rFonts w:ascii="Calibri" w:cs="Calibri" w:eastAsia="Calibri" w:hAnsi="Calibri"/>
          <w:b w:val="false"/>
          <w:bCs w:val="false"/>
          <w:i w:val="false"/>
          <w:iCs w:val="false"/>
          <w:color w:val="000000"/>
          <w:sz w:val="22"/>
          <w:szCs w:val="22"/>
        </w:rPr>
        <w:t xml:space="preserve">The dataset contained zero missing values, eliminating the need for imputation and simplifying the preprocessing pipeline.</w:t>
      </w:r>
    </w:p>
    <w:p>
      <w:pPr>
        <w:spacing w:after="80" w:before="0"/>
      </w:pPr>
    </w:p>
    <w:p>
      <w:pPr>
        <w:spacing w:after="80" w:before="200"/>
      </w:pPr>
      <w:r>
        <w:rPr>
          <w:rFonts w:ascii="Calibri" w:cs="Calibri" w:eastAsia="Calibri" w:hAnsi="Calibri"/>
          <w:b/>
          <w:bCs/>
          <w:color w:val="1F3864"/>
          <w:sz w:val="24"/>
          <w:szCs w:val="24"/>
        </w:rPr>
        <w:t xml:space="preserve">3.3 Preprocessing Pipeline</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The preprocessing pipeline applied to both the stratified training sample and any new prediction inputs comprises three steps: (1) Feature Encoding — Gender (binary: Male=1, Female=0), Subscription Type (ordinal: Basic=0, Standard=1, Premium=2), and Contract Length (ordinal: Monthly=0, Quarterly=1, Annual=2); (2) Feature Scaling — StandardScaler applied to all numerical features (Age, Tenure, Usage Frequency, Support Calls, Payment Delay, Total Spend, Last Interaction) and fitted on the training set only to prevent data leakage; (3) Feature Order Validation — features are arranged in the exact order used during training: [Age, Gender_Enc, Tenure, Usage Frequency, Support Calls, Payment Delay, Sub_Enc, Con_Enc, Total Spend, Last Interaction].</w:t>
      </w:r>
    </w:p>
    <w:p>
      <w:pPr>
        <w:spacing w:after="80" w:before="0"/>
      </w:pPr>
    </w:p>
    <w:p>
      <w:pPr>
        <w:spacing w:after="80" w:before="200"/>
      </w:pPr>
      <w:r>
        <w:rPr>
          <w:rFonts w:ascii="Calibri" w:cs="Calibri" w:eastAsia="Calibri" w:hAnsi="Calibri"/>
          <w:b/>
          <w:bCs/>
          <w:color w:val="1F3864"/>
          <w:sz w:val="24"/>
          <w:szCs w:val="24"/>
        </w:rPr>
        <w:t xml:space="preserve">3.4 Stratified Sampling Strategy</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The full 505,206-record dataset was reduced to a stratified 50,000-record sample for model training. Stratified sampling was used to preserve the original 55.5% / 44.5% churn class ratio exactly. The sample was validated by comparing the churn rate (0.555) between the sample and the full dataset — confirming statistical representativeness. A 70/15/15 train/validation/test split was applied with random_state=42, yielding: 35,020 training records, 7,480 validation records, and 7,500 test records.</w:t>
      </w:r>
    </w:p>
    <w:p>
      <w:r>
        <w:br w:type="page"/>
      </w:r>
    </w:p>
    <w:p>
      <w:pPr>
        <w:pBdr>
          <w:bottom w:val="single" w:color="BBBBBB" w:sz="6" w:space="1"/>
        </w:pBdr>
        <w:shd w:fill="000000" w:val="clear"/>
        <w:spacing w:after="120" w:before="360"/>
      </w:pPr>
      <w:r>
        <w:rPr>
          <w:rFonts w:ascii="Calibri" w:cs="Calibri" w:eastAsia="Calibri" w:hAnsi="Calibri"/>
          <w:b/>
          <w:bCs/>
          <w:color w:val="FFFFFF"/>
          <w:sz w:val="28"/>
          <w:szCs w:val="28"/>
        </w:rPr>
        <w:t xml:space="preserve">4. MODEL DEVELOPMENT AND EVALUATION</w:t>
      </w:r>
    </w:p>
    <w:p>
      <w:pPr>
        <w:spacing w:after="80" w:before="200"/>
      </w:pPr>
      <w:r>
        <w:rPr>
          <w:rFonts w:ascii="Calibri" w:cs="Calibri" w:eastAsia="Calibri" w:hAnsi="Calibri"/>
          <w:b/>
          <w:bCs/>
          <w:color w:val="1F3864"/>
          <w:sz w:val="24"/>
          <w:szCs w:val="24"/>
        </w:rPr>
        <w:t xml:space="preserve">4.1 Sprint 2 — Logistic Regression Baseline</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Sprint 2 established a Logistic Regression baseline model to provide a reference point for advanced model evaluation in Sprint 3. Logistic Regression was selected as the baseline because it is interpretable, fast to train, and widely used as a reference classifier in binary classification problems. The model was trained with class_weight='balanced' to handle the class imbalance, C=1.0 regularisation, and a maximum of 1,000 iterations.</w:t>
      </w:r>
    </w:p>
    <w:p>
      <w:pPr>
        <w:spacing w:after="80" w:before="0"/>
      </w:pPr>
    </w:p>
    <w:p>
      <w:pPr>
        <w:spacing w:after="60" w:before="160"/>
      </w:pPr>
      <w:r>
        <w:rPr>
          <w:rFonts w:ascii="Calibri" w:cs="Calibri" w:eastAsia="Calibri" w:hAnsi="Calibri"/>
          <w:b/>
          <w:bCs/>
          <w:i/>
          <w:iCs/>
          <w:sz w:val="22"/>
          <w:szCs w:val="22"/>
        </w:rPr>
        <w:t xml:space="preserve">Table 4.1 — Logistic Regression Baseline Results (Sprint 2)</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400"/>
        <w:gridCol w:w="1400"/>
        <w:gridCol w:w="1400"/>
        <w:gridCol w:w="1406"/>
      </w:tblGrid>
      <w:tr>
        <w:tc>
          <w:tcPr>
            <w:tcW w:type="dxa" w:w="25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Metric</w:t>
            </w:r>
          </w:p>
        </w:tc>
        <w:tc>
          <w:tcPr>
            <w:tcW w:type="dxa" w:w="14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Value</w:t>
            </w:r>
          </w:p>
        </w:tc>
        <w:tc>
          <w:tcPr>
            <w:tcW w:type="dxa" w:w="14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KPI Target</w:t>
            </w:r>
          </w:p>
        </w:tc>
        <w:tc>
          <w:tcPr>
            <w:tcW w:type="dxa" w:w="14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Status</w:t>
            </w:r>
          </w:p>
        </w:tc>
        <w:tc>
          <w:tcPr>
            <w:tcW w:type="dxa" w:w="14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vs Sprint 3</w:t>
            </w:r>
          </w:p>
        </w:tc>
        <w:tc>
          <w:tcPr>
            <w:tcW w:type="dxa" w:w="1406"/>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Notes</w:t>
            </w:r>
          </w:p>
        </w:tc>
      </w:tr>
      <w:tr>
        <w:tc>
          <w:tcPr>
            <w:tcW w:type="dxa" w:w="25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ROC-AUC</w:t>
            </w:r>
          </w:p>
        </w:tc>
        <w:tc>
          <w:tcPr>
            <w:tcW w:type="dxa" w:w="1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0.9285</w:t>
            </w:r>
          </w:p>
        </w:tc>
        <w:tc>
          <w:tcPr>
            <w:tcW w:type="dxa" w:w="1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 0.75</w:t>
            </w:r>
          </w:p>
        </w:tc>
        <w:tc>
          <w:tcPr>
            <w:tcW w:type="dxa" w:w="1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375623"/>
                <w:sz w:val="20"/>
                <w:szCs w:val="20"/>
              </w:rPr>
              <w:t xml:space="preserve">✅ Met</w:t>
            </w:r>
          </w:p>
        </w:tc>
        <w:tc>
          <w:tcPr>
            <w:tcW w:type="dxa" w:w="1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−0.0251</w:t>
            </w:r>
          </w:p>
        </w:tc>
        <w:tc>
          <w:tcPr>
            <w:tcW w:type="dxa" w:w="1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Strong linear separability</w:t>
            </w:r>
          </w:p>
        </w:tc>
      </w:tr>
      <w:tr>
        <w:tc>
          <w:tcPr>
            <w:tcW w:type="dxa" w:w="25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Accuracy</w:t>
            </w:r>
          </w:p>
        </w:tc>
        <w:tc>
          <w:tcPr>
            <w:tcW w:type="dxa" w:w="1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0.8263</w:t>
            </w:r>
          </w:p>
        </w:tc>
        <w:tc>
          <w:tcPr>
            <w:tcW w:type="dxa" w:w="1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w:t>
            </w:r>
          </w:p>
        </w:tc>
        <w:tc>
          <w:tcPr>
            <w:tcW w:type="dxa" w:w="1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w:t>
            </w:r>
          </w:p>
        </w:tc>
        <w:tc>
          <w:tcPr>
            <w:tcW w:type="dxa" w:w="1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−0.0992</w:t>
            </w:r>
          </w:p>
        </w:tc>
        <w:tc>
          <w:tcPr>
            <w:tcW w:type="dxa" w:w="1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Ensemble models ↑ significantly</w:t>
            </w:r>
          </w:p>
        </w:tc>
      </w:tr>
      <w:tr>
        <w:tc>
          <w:tcPr>
            <w:tcW w:type="dxa" w:w="25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Precision</w:t>
            </w:r>
          </w:p>
        </w:tc>
        <w:tc>
          <w:tcPr>
            <w:tcW w:type="dxa" w:w="1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0.8767</w:t>
            </w:r>
          </w:p>
        </w:tc>
        <w:tc>
          <w:tcPr>
            <w:tcW w:type="dxa" w:w="1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 0.70</w:t>
            </w:r>
          </w:p>
        </w:tc>
        <w:tc>
          <w:tcPr>
            <w:tcW w:type="dxa" w:w="1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375623"/>
                <w:sz w:val="20"/>
                <w:szCs w:val="20"/>
              </w:rPr>
              <w:t xml:space="preserve">✅ Met</w:t>
            </w:r>
          </w:p>
        </w:tc>
        <w:tc>
          <w:tcPr>
            <w:tcW w:type="dxa" w:w="1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−0.0216</w:t>
            </w:r>
          </w:p>
        </w:tc>
        <w:tc>
          <w:tcPr>
            <w:tcW w:type="dxa" w:w="1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High — few false positives</w:t>
            </w:r>
          </w:p>
        </w:tc>
      </w:tr>
      <w:tr>
        <w:tc>
          <w:tcPr>
            <w:tcW w:type="dxa" w:w="25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Recall</w:t>
            </w:r>
          </w:p>
        </w:tc>
        <w:tc>
          <w:tcPr>
            <w:tcW w:type="dxa" w:w="1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0.7995</w:t>
            </w:r>
          </w:p>
        </w:tc>
        <w:tc>
          <w:tcPr>
            <w:tcW w:type="dxa" w:w="1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 0.60</w:t>
            </w:r>
          </w:p>
        </w:tc>
        <w:tc>
          <w:tcPr>
            <w:tcW w:type="dxa" w:w="1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375623"/>
                <w:sz w:val="20"/>
                <w:szCs w:val="20"/>
              </w:rPr>
              <w:t xml:space="preserve">✅ Met</w:t>
            </w:r>
          </w:p>
        </w:tc>
        <w:tc>
          <w:tcPr>
            <w:tcW w:type="dxa" w:w="1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−0.1767</w:t>
            </w:r>
          </w:p>
        </w:tc>
        <w:tc>
          <w:tcPr>
            <w:tcW w:type="dxa" w:w="1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Ensemble recall far superior</w:t>
            </w:r>
          </w:p>
        </w:tc>
      </w:tr>
      <w:tr>
        <w:tc>
          <w:tcPr>
            <w:tcW w:type="dxa" w:w="25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F1-Score</w:t>
            </w:r>
          </w:p>
        </w:tc>
        <w:tc>
          <w:tcPr>
            <w:tcW w:type="dxa" w:w="1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0.8363</w:t>
            </w:r>
          </w:p>
        </w:tc>
        <w:tc>
          <w:tcPr>
            <w:tcW w:type="dxa" w:w="1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 0.65</w:t>
            </w:r>
          </w:p>
        </w:tc>
        <w:tc>
          <w:tcPr>
            <w:tcW w:type="dxa" w:w="1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375623"/>
                <w:sz w:val="20"/>
                <w:szCs w:val="20"/>
              </w:rPr>
              <w:t xml:space="preserve">✅ Met</w:t>
            </w:r>
          </w:p>
        </w:tc>
        <w:tc>
          <w:tcPr>
            <w:tcW w:type="dxa" w:w="1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−0.0994</w:t>
            </w:r>
          </w:p>
        </w:tc>
        <w:tc>
          <w:tcPr>
            <w:tcW w:type="dxa" w:w="1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Balanced improvement in S3</w:t>
            </w:r>
          </w:p>
        </w:tc>
      </w:tr>
      <w:tr>
        <w:tc>
          <w:tcPr>
            <w:tcW w:type="dxa" w:w="25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False Positive Rate</w:t>
            </w:r>
          </w:p>
        </w:tc>
        <w:tc>
          <w:tcPr>
            <w:tcW w:type="dxa" w:w="1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~20%</w:t>
            </w:r>
          </w:p>
        </w:tc>
        <w:tc>
          <w:tcPr>
            <w:tcW w:type="dxa" w:w="1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&lt; 30%</w:t>
            </w:r>
          </w:p>
        </w:tc>
        <w:tc>
          <w:tcPr>
            <w:tcW w:type="dxa" w:w="1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375623"/>
                <w:sz w:val="20"/>
                <w:szCs w:val="20"/>
              </w:rPr>
              <w:t xml:space="preserve">✅ Met</w:t>
            </w:r>
          </w:p>
        </w:tc>
        <w:tc>
          <w:tcPr>
            <w:tcW w:type="dxa" w:w="1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−9.8%</w:t>
            </w:r>
          </w:p>
        </w:tc>
        <w:tc>
          <w:tcPr>
            <w:tcW w:type="dxa" w:w="1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Ensemble halved the FPR</w:t>
            </w:r>
          </w:p>
        </w:tc>
      </w:tr>
    </w:tbl>
    <w:p>
      <w:pPr>
        <w:spacing w:after="80" w:before="0"/>
      </w:pPr>
    </w:p>
    <w:p>
      <w:pPr>
        <w:spacing w:after="80" w:before="200"/>
      </w:pPr>
      <w:r>
        <w:rPr>
          <w:rFonts w:ascii="Calibri" w:cs="Calibri" w:eastAsia="Calibri" w:hAnsi="Calibri"/>
          <w:b/>
          <w:bCs/>
          <w:color w:val="1F3864"/>
          <w:sz w:val="24"/>
          <w:szCs w:val="24"/>
        </w:rPr>
        <w:t xml:space="preserve">4.2 Sprint 3 — Advanced Ensemble Models</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Sprint 3 trained three advanced ensemble classifiers on the 50,000-record stratified sample. All three models — Random Forest, XGBoost, and LightGBM — significantly outperformed the Logistic Regression baseline across all metrics.</w:t>
      </w:r>
    </w:p>
    <w:p>
      <w:pPr>
        <w:spacing w:after="80" w:before="0"/>
      </w:pPr>
    </w:p>
    <w:p>
      <w:pPr>
        <w:spacing w:after="60" w:before="140"/>
      </w:pPr>
      <w:r>
        <w:rPr>
          <w:rFonts w:ascii="Calibri" w:cs="Calibri" w:eastAsia="Calibri" w:hAnsi="Calibri"/>
          <w:b/>
          <w:bCs/>
          <w:color w:val="2E75B6"/>
          <w:sz w:val="22"/>
          <w:szCs w:val="22"/>
        </w:rPr>
        <w:t xml:space="preserve">4.2.1 Random Forest</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Configuration: n_estimators=200, max_depth=12, min_samples_split=5, max_features='sqrt', class_weight='balanced'. Training time: 6.7 seconds. The Random Forest achieved the highest Recall of all models (0.9858), meaning it correctly identified 98.58% of all churned customers — a critical metric for minimising missed churn predictions.</w:t>
      </w:r>
    </w:p>
    <w:p>
      <w:pPr>
        <w:spacing w:after="80" w:before="0"/>
      </w:pPr>
    </w:p>
    <w:p>
      <w:pPr>
        <w:spacing w:after="60" w:before="140"/>
      </w:pPr>
      <w:r>
        <w:rPr>
          <w:rFonts w:ascii="Calibri" w:cs="Calibri" w:eastAsia="Calibri" w:hAnsi="Calibri"/>
          <w:b/>
          <w:bCs/>
          <w:color w:val="2E75B6"/>
          <w:sz w:val="22"/>
          <w:szCs w:val="22"/>
        </w:rPr>
        <w:t xml:space="preserve">4.2.2 XGBoost — Selected Best Model</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Configuration: n_estimators=200, max_depth=6, learning_rate=0.1, subsample=0.8, colsample_bytree=0.8, scale_pos_weight=auto. Training time: 1.7 seconds. XGBoost achieved the highest ROC-AUC (tied with LightGBM at 0.9536), highest Precision (0.8983), and the lowest training time among the three models. It was selected as the primary model for Sprint 4 dashboard integration on the basis of this combination of performance and speed.</w:t>
      </w:r>
    </w:p>
    <w:p>
      <w:pPr>
        <w:spacing w:after="80" w:before="0"/>
      </w:pPr>
    </w:p>
    <w:p>
      <w:pPr>
        <w:spacing w:after="60" w:before="140"/>
      </w:pPr>
      <w:r>
        <w:rPr>
          <w:rFonts w:ascii="Calibri" w:cs="Calibri" w:eastAsia="Calibri" w:hAnsi="Calibri"/>
          <w:b/>
          <w:bCs/>
          <w:color w:val="2E75B6"/>
          <w:sz w:val="22"/>
          <w:szCs w:val="22"/>
        </w:rPr>
        <w:t xml:space="preserve">4.2.3 LightGBM</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Configuration: n_estimators=200, max_depth=6, learning_rate=0.1, num_leaves=63, subsample=0.8, class_weight='balanced'. Training time: 2.6 seconds. LightGBM achieved identical ROC-AUC to XGBoost (0.9536) with marginally lower F1-Score (0.9348 vs 0.9357) and slower training time. The near-identical performance of XGBoost and LightGBM confirms that both models have converged near the performance ceiling achievable on this dataset.</w:t>
      </w:r>
    </w:p>
    <w:p>
      <w:pPr>
        <w:spacing w:after="80" w:before="0"/>
      </w:pPr>
    </w:p>
    <w:p>
      <w:pPr>
        <w:spacing w:after="60" w:before="160"/>
      </w:pPr>
      <w:r>
        <w:rPr>
          <w:rFonts w:ascii="Calibri" w:cs="Calibri" w:eastAsia="Calibri" w:hAnsi="Calibri"/>
          <w:b/>
          <w:bCs/>
          <w:i/>
          <w:iCs/>
          <w:sz w:val="22"/>
          <w:szCs w:val="22"/>
        </w:rPr>
        <w:t xml:space="preserve">Table 4.2 — Sprint 3 Complete Model Comparison on Holdout Test Set (n = 7,500)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300"/>
        <w:gridCol w:w="1300"/>
        <w:gridCol w:w="1300"/>
        <w:gridCol w:w="1206"/>
        <w:gridCol w:w="1006"/>
        <w:gridCol w:w="1200"/>
      </w:tblGrid>
      <w:tr>
        <w:tc>
          <w:tcPr>
            <w:tcW w:type="dxa" w:w="19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Metric</w:t>
            </w:r>
          </w:p>
        </w:tc>
        <w:tc>
          <w:tcPr>
            <w:tcW w:type="dxa" w:w="13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LR Baseline</w:t>
            </w:r>
          </w:p>
        </w:tc>
        <w:tc>
          <w:tcPr>
            <w:tcW w:type="dxa" w:w="13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Random Forest</w:t>
            </w:r>
          </w:p>
        </w:tc>
        <w:tc>
          <w:tcPr>
            <w:tcW w:type="dxa" w:w="13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XGBoost ★</w:t>
            </w:r>
          </w:p>
        </w:tc>
        <w:tc>
          <w:tcPr>
            <w:tcW w:type="dxa" w:w="13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LightGBM</w:t>
            </w:r>
          </w:p>
        </w:tc>
        <w:tc>
          <w:tcPr>
            <w:tcW w:type="dxa" w:w="1206"/>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KPI Target</w:t>
            </w:r>
          </w:p>
        </w:tc>
        <w:tc>
          <w:tcPr>
            <w:tcW w:type="dxa" w:w="1006"/>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Best</w:t>
            </w:r>
          </w:p>
        </w:tc>
        <w:tc>
          <w:tcPr>
            <w:tcW w:type="dxa" w:w="12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Status</w:t>
            </w:r>
          </w:p>
        </w:tc>
      </w:tr>
      <w:tr>
        <w:tc>
          <w:tcPr>
            <w:tcW w:type="dxa" w:w="19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ROC-AUC</w:t>
            </w:r>
          </w:p>
        </w:tc>
        <w:tc>
          <w:tcPr>
            <w:tcW w:type="dxa" w:w="13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0.9285</w:t>
            </w:r>
          </w:p>
        </w:tc>
        <w:tc>
          <w:tcPr>
            <w:tcW w:type="dxa" w:w="13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0.9535</w:t>
            </w:r>
          </w:p>
        </w:tc>
        <w:tc>
          <w:tcPr>
            <w:tcW w:type="dxa" w:w="13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0.9536</w:t>
            </w:r>
          </w:p>
        </w:tc>
        <w:tc>
          <w:tcPr>
            <w:tcW w:type="dxa" w:w="13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0.9536</w:t>
            </w:r>
          </w:p>
        </w:tc>
        <w:tc>
          <w:tcPr>
            <w:tcW w:type="dxa" w:w="12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 0.75</w:t>
            </w:r>
          </w:p>
        </w:tc>
        <w:tc>
          <w:tcPr>
            <w:tcW w:type="dxa" w:w="10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XGB/LGB</w:t>
            </w:r>
          </w:p>
        </w:tc>
        <w:tc>
          <w:tcPr>
            <w:tcW w:type="dxa" w:w="12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EXCEEDED</w:t>
            </w:r>
          </w:p>
        </w:tc>
      </w:tr>
      <w:tr>
        <w:tc>
          <w:tcPr>
            <w:tcW w:type="dxa" w:w="19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Accuracy</w:t>
            </w:r>
          </w:p>
        </w:tc>
        <w:tc>
          <w:tcPr>
            <w:tcW w:type="dxa" w:w="13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0.8263</w:t>
            </w:r>
          </w:p>
        </w:tc>
        <w:tc>
          <w:tcPr>
            <w:tcW w:type="dxa" w:w="13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0.9293</w:t>
            </w:r>
          </w:p>
        </w:tc>
        <w:tc>
          <w:tcPr>
            <w:tcW w:type="dxa" w:w="13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0.9255</w:t>
            </w:r>
          </w:p>
        </w:tc>
        <w:tc>
          <w:tcPr>
            <w:tcW w:type="dxa" w:w="13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0.9245</w:t>
            </w:r>
          </w:p>
        </w:tc>
        <w:tc>
          <w:tcPr>
            <w:tcW w:type="dxa" w:w="12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 0.70</w:t>
            </w:r>
          </w:p>
        </w:tc>
        <w:tc>
          <w:tcPr>
            <w:tcW w:type="dxa" w:w="10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RF</w:t>
            </w:r>
          </w:p>
        </w:tc>
        <w:tc>
          <w:tcPr>
            <w:tcW w:type="dxa" w:w="12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EXCEEDED</w:t>
            </w:r>
          </w:p>
        </w:tc>
      </w:tr>
      <w:tr>
        <w:tc>
          <w:tcPr>
            <w:tcW w:type="dxa" w:w="19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F1-Score</w:t>
            </w:r>
          </w:p>
        </w:tc>
        <w:tc>
          <w:tcPr>
            <w:tcW w:type="dxa" w:w="13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0.8363</w:t>
            </w:r>
          </w:p>
        </w:tc>
        <w:tc>
          <w:tcPr>
            <w:tcW w:type="dxa" w:w="13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0.9394</w:t>
            </w:r>
          </w:p>
        </w:tc>
        <w:tc>
          <w:tcPr>
            <w:tcW w:type="dxa" w:w="13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0.9357</w:t>
            </w:r>
          </w:p>
        </w:tc>
        <w:tc>
          <w:tcPr>
            <w:tcW w:type="dxa" w:w="13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0.9348</w:t>
            </w:r>
          </w:p>
        </w:tc>
        <w:tc>
          <w:tcPr>
            <w:tcW w:type="dxa" w:w="12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 0.65</w:t>
            </w:r>
          </w:p>
        </w:tc>
        <w:tc>
          <w:tcPr>
            <w:tcW w:type="dxa" w:w="10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RF</w:t>
            </w:r>
          </w:p>
        </w:tc>
        <w:tc>
          <w:tcPr>
            <w:tcW w:type="dxa" w:w="12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EXCEEDED</w:t>
            </w:r>
          </w:p>
        </w:tc>
      </w:tr>
      <w:tr>
        <w:tc>
          <w:tcPr>
            <w:tcW w:type="dxa" w:w="19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Precision</w:t>
            </w:r>
          </w:p>
        </w:tc>
        <w:tc>
          <w:tcPr>
            <w:tcW w:type="dxa" w:w="13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0.8767</w:t>
            </w:r>
          </w:p>
        </w:tc>
        <w:tc>
          <w:tcPr>
            <w:tcW w:type="dxa" w:w="13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0.8971</w:t>
            </w:r>
          </w:p>
        </w:tc>
        <w:tc>
          <w:tcPr>
            <w:tcW w:type="dxa" w:w="13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0.8983</w:t>
            </w:r>
          </w:p>
        </w:tc>
        <w:tc>
          <w:tcPr>
            <w:tcW w:type="dxa" w:w="13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0.8984</w:t>
            </w:r>
          </w:p>
        </w:tc>
        <w:tc>
          <w:tcPr>
            <w:tcW w:type="dxa" w:w="12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 0.60</w:t>
            </w:r>
          </w:p>
        </w:tc>
        <w:tc>
          <w:tcPr>
            <w:tcW w:type="dxa" w:w="10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LGB</w:t>
            </w:r>
          </w:p>
        </w:tc>
        <w:tc>
          <w:tcPr>
            <w:tcW w:type="dxa" w:w="12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EXCEEDED</w:t>
            </w:r>
          </w:p>
        </w:tc>
      </w:tr>
      <w:tr>
        <w:tc>
          <w:tcPr>
            <w:tcW w:type="dxa" w:w="19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Recall</w:t>
            </w:r>
          </w:p>
        </w:tc>
        <w:tc>
          <w:tcPr>
            <w:tcW w:type="dxa" w:w="13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0.7995</w:t>
            </w:r>
          </w:p>
        </w:tc>
        <w:tc>
          <w:tcPr>
            <w:tcW w:type="dxa" w:w="13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0.9858</w:t>
            </w:r>
          </w:p>
        </w:tc>
        <w:tc>
          <w:tcPr>
            <w:tcW w:type="dxa" w:w="13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0.9762</w:t>
            </w:r>
          </w:p>
        </w:tc>
        <w:tc>
          <w:tcPr>
            <w:tcW w:type="dxa" w:w="13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0.9743</w:t>
            </w:r>
          </w:p>
        </w:tc>
        <w:tc>
          <w:tcPr>
            <w:tcW w:type="dxa" w:w="12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 0.60</w:t>
            </w:r>
          </w:p>
        </w:tc>
        <w:tc>
          <w:tcPr>
            <w:tcW w:type="dxa" w:w="10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RF</w:t>
            </w:r>
          </w:p>
        </w:tc>
        <w:tc>
          <w:tcPr>
            <w:tcW w:type="dxa" w:w="12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EXCEEDED</w:t>
            </w:r>
          </w:p>
        </w:tc>
      </w:tr>
      <w:tr>
        <w:tc>
          <w:tcPr>
            <w:tcW w:type="dxa" w:w="19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False Pos. Rate</w:t>
            </w:r>
          </w:p>
        </w:tc>
        <w:tc>
          <w:tcPr>
            <w:tcW w:type="dxa" w:w="13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~20%</w:t>
            </w:r>
          </w:p>
        </w:tc>
        <w:tc>
          <w:tcPr>
            <w:tcW w:type="dxa" w:w="13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10.1%</w:t>
            </w:r>
          </w:p>
        </w:tc>
        <w:tc>
          <w:tcPr>
            <w:tcW w:type="dxa" w:w="13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10.2%</w:t>
            </w:r>
          </w:p>
        </w:tc>
        <w:tc>
          <w:tcPr>
            <w:tcW w:type="dxa" w:w="13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10.3%</w:t>
            </w:r>
          </w:p>
        </w:tc>
        <w:tc>
          <w:tcPr>
            <w:tcW w:type="dxa" w:w="12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&lt; 30%</w:t>
            </w:r>
          </w:p>
        </w:tc>
        <w:tc>
          <w:tcPr>
            <w:tcW w:type="dxa" w:w="10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RF</w:t>
            </w:r>
          </w:p>
        </w:tc>
        <w:tc>
          <w:tcPr>
            <w:tcW w:type="dxa" w:w="12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EXCEEDED</w:t>
            </w:r>
          </w:p>
        </w:tc>
      </w:tr>
      <w:tr>
        <w:tc>
          <w:tcPr>
            <w:tcW w:type="dxa" w:w="19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Train Time</w:t>
            </w:r>
          </w:p>
        </w:tc>
        <w:tc>
          <w:tcPr>
            <w:tcW w:type="dxa" w:w="13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&lt; 1s</w:t>
            </w:r>
          </w:p>
        </w:tc>
        <w:tc>
          <w:tcPr>
            <w:tcW w:type="dxa" w:w="13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6.7s</w:t>
            </w:r>
          </w:p>
        </w:tc>
        <w:tc>
          <w:tcPr>
            <w:tcW w:type="dxa" w:w="13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1.7s ★</w:t>
            </w:r>
          </w:p>
        </w:tc>
        <w:tc>
          <w:tcPr>
            <w:tcW w:type="dxa" w:w="13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2.6s</w:t>
            </w:r>
          </w:p>
        </w:tc>
        <w:tc>
          <w:tcPr>
            <w:tcW w:type="dxa" w:w="12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&lt; 5 min</w:t>
            </w:r>
          </w:p>
        </w:tc>
        <w:tc>
          <w:tcPr>
            <w:tcW w:type="dxa" w:w="10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XGB ★</w:t>
            </w:r>
          </w:p>
        </w:tc>
        <w:tc>
          <w:tcPr>
            <w:tcW w:type="dxa" w:w="12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EXCEEDED</w:t>
            </w:r>
          </w:p>
        </w:tc>
      </w:tr>
    </w:tbl>
    <w:p>
      <w:pPr>
        <w:spacing w:after="80" w:before="0"/>
      </w:pPr>
    </w:p>
    <w:p>
      <w:pPr>
        <w:spacing w:after="80" w:before="200"/>
      </w:pPr>
      <w:r>
        <w:rPr>
          <w:rFonts w:ascii="Calibri" w:cs="Calibri" w:eastAsia="Calibri" w:hAnsi="Calibri"/>
          <w:b/>
          <w:bCs/>
          <w:color w:val="1F3864"/>
          <w:sz w:val="24"/>
          <w:szCs w:val="24"/>
        </w:rPr>
        <w:t xml:space="preserve">4.3 XGBoost Model Selection Rationale</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XGBoost was selected as the primary model for Sprint 4 dashboard integration based on four criteria: (1) ROC-AUC 0.9536 — highest AUC tied with LightGBM; (2) Precision 0.8983 — highest precision minimising false alarms for the retention team; (3) Training Time 1.7 seconds — fastest among the three ensemble models, enabling future retraining; and (4) Industry Ecosystem — XGBoost has the most mature deployment support, serialisation stability, and SHAP explainability integration.</w:t>
      </w:r>
    </w:p>
    <w:p>
      <w:pPr>
        <w:spacing w:after="80" w:before="0"/>
      </w:pPr>
    </w:p>
    <w:p>
      <w:pPr>
        <w:spacing w:after="80" w:before="200"/>
      </w:pPr>
      <w:r>
        <w:rPr>
          <w:rFonts w:ascii="Calibri" w:cs="Calibri" w:eastAsia="Calibri" w:hAnsi="Calibri"/>
          <w:b/>
          <w:bCs/>
          <w:color w:val="1F3864"/>
          <w:sz w:val="24"/>
          <w:szCs w:val="24"/>
        </w:rPr>
        <w:t xml:space="preserve">4.4 Feature Importance Analysis</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Feature importance scores were extracted from the XGBoost model and cross-validated against Random Forest and LightGBM importances. All three models agree on the top two drivers — Support Calls and Contract Length — providing high confidence that these are genuine predictive signals rather than artefacts of any single algorithm.</w:t>
      </w:r>
    </w:p>
    <w:p>
      <w:pPr>
        <w:spacing w:after="80" w:before="0"/>
      </w:pPr>
    </w:p>
    <w:p>
      <w:pPr>
        <w:spacing w:after="60" w:before="160"/>
      </w:pPr>
      <w:r>
        <w:rPr>
          <w:rFonts w:ascii="Calibri" w:cs="Calibri" w:eastAsia="Calibri" w:hAnsi="Calibri"/>
          <w:b/>
          <w:bCs/>
          <w:i/>
          <w:iCs/>
          <w:sz w:val="22"/>
          <w:szCs w:val="22"/>
        </w:rPr>
        <w:t xml:space="preserve">Table 4.3 — XGBoost Feature Importance with Business Interpretation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1100"/>
        <w:gridCol w:w="6106"/>
      </w:tblGrid>
      <w:tr>
        <w:tc>
          <w:tcPr>
            <w:tcW w:type="dxa" w:w="4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Rank</w:t>
            </w:r>
          </w:p>
        </w:tc>
        <w:tc>
          <w:tcPr>
            <w:tcW w:type="dxa" w:w="19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Feature</w:t>
            </w:r>
          </w:p>
        </w:tc>
        <w:tc>
          <w:tcPr>
            <w:tcW w:type="dxa" w:w="11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Importance</w:t>
            </w:r>
          </w:p>
        </w:tc>
        <w:tc>
          <w:tcPr>
            <w:tcW w:type="dxa" w:w="6106"/>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Business Interpretation</w:t>
            </w:r>
          </w:p>
        </w:tc>
      </w:tr>
      <w:tr>
        <w:tc>
          <w:tcPr>
            <w:tcW w:type="dxa" w:w="4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#1</w:t>
            </w:r>
          </w:p>
        </w:tc>
        <w:tc>
          <w:tcPr>
            <w:tcW w:type="dxa" w:w="19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Support Calls</w:t>
            </w:r>
          </w:p>
        </w:tc>
        <w:tc>
          <w:tcPr>
            <w:tcW w:type="dxa" w:w="11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C00000"/>
                <w:sz w:val="20"/>
                <w:szCs w:val="20"/>
              </w:rPr>
              <w:t xml:space="preserve">0.2627</w:t>
            </w:r>
          </w:p>
        </w:tc>
        <w:tc>
          <w:tcPr>
            <w:tcW w:type="dxa" w:w="61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Customers with 6+ support calls churn at near-100% rate. The retention team should immediately prioritise outreach to customers with 5+ calls as a leading indicator.</w:t>
            </w:r>
          </w:p>
        </w:tc>
      </w:tr>
      <w:tr>
        <w:tc>
          <w:tcPr>
            <w:tcW w:type="dxa" w:w="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#2</w:t>
            </w:r>
          </w:p>
        </w:tc>
        <w:tc>
          <w:tcPr>
            <w:tcW w:type="dxa" w:w="19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Contract Length</w:t>
            </w:r>
          </w:p>
        </w:tc>
        <w:tc>
          <w:tcPr>
            <w:tcW w:type="dxa" w:w="11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ED7D31"/>
                <w:sz w:val="20"/>
                <w:szCs w:val="20"/>
              </w:rPr>
              <w:t xml:space="preserve">0.2303</w:t>
            </w:r>
          </w:p>
        </w:tc>
        <w:tc>
          <w:tcPr>
            <w:tcW w:type="dxa" w:w="61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Monthly contract customers exhibit 3× higher churn than Annual subscribers. Upselling to longer-term contracts is the highest-impact single retention lever available.</w:t>
            </w:r>
          </w:p>
        </w:tc>
      </w:tr>
      <w:tr>
        <w:tc>
          <w:tcPr>
            <w:tcW w:type="dxa" w:w="4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#3</w:t>
            </w:r>
          </w:p>
        </w:tc>
        <w:tc>
          <w:tcPr>
            <w:tcW w:type="dxa" w:w="19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Payment Delay</w:t>
            </w:r>
          </w:p>
        </w:tc>
        <w:tc>
          <w:tcPr>
            <w:tcW w:type="dxa" w:w="11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ED7D31"/>
                <w:sz w:val="20"/>
                <w:szCs w:val="20"/>
              </w:rPr>
              <w:t xml:space="preserve">0.1351</w:t>
            </w:r>
          </w:p>
        </w:tc>
        <w:tc>
          <w:tcPr>
            <w:tcW w:type="dxa" w:w="61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A 15-day delay threshold exists beyond which churn risk escalates sharply. Proactive financial assistance outreach at 10 days can prevent escalation.</w:t>
            </w:r>
          </w:p>
        </w:tc>
      </w:tr>
      <w:tr>
        <w:tc>
          <w:tcPr>
            <w:tcW w:type="dxa" w:w="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#4</w:t>
            </w:r>
          </w:p>
        </w:tc>
        <w:tc>
          <w:tcPr>
            <w:tcW w:type="dxa" w:w="19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Total Spend</w:t>
            </w:r>
          </w:p>
        </w:tc>
        <w:tc>
          <w:tcPr>
            <w:tcW w:type="dxa" w:w="11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2E75B6"/>
                <w:sz w:val="20"/>
                <w:szCs w:val="20"/>
              </w:rPr>
              <w:t xml:space="preserve">0.1163</w:t>
            </w:r>
          </w:p>
        </w:tc>
        <w:tc>
          <w:tcPr>
            <w:tcW w:type="dxa" w:w="61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High-value customers also carry elevated churn risk — possibly due to value-for-money expectations. Premium customer retention programmes are warranted.</w:t>
            </w:r>
          </w:p>
        </w:tc>
      </w:tr>
      <w:tr>
        <w:tc>
          <w:tcPr>
            <w:tcW w:type="dxa" w:w="4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#5</w:t>
            </w:r>
          </w:p>
        </w:tc>
        <w:tc>
          <w:tcPr>
            <w:tcW w:type="dxa" w:w="19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Age</w:t>
            </w:r>
          </w:p>
        </w:tc>
        <w:tc>
          <w:tcPr>
            <w:tcW w:type="dxa" w:w="11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2E75B6"/>
                <w:sz w:val="20"/>
                <w:szCs w:val="20"/>
              </w:rPr>
              <w:t xml:space="preserve">0.0852</w:t>
            </w:r>
          </w:p>
        </w:tc>
        <w:tc>
          <w:tcPr>
            <w:tcW w:type="dxa" w:w="61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Younger customers show higher churn propensity, likely due to lower switching costs. Age-targeted retention offers (discounts, gamification) may reduce this.</w:t>
            </w:r>
          </w:p>
        </w:tc>
      </w:tr>
    </w:tbl>
    <w:p>
      <w:r>
        <w:br w:type="page"/>
      </w:r>
    </w:p>
    <w:p>
      <w:pPr>
        <w:pBdr>
          <w:bottom w:val="single" w:color="BBBBBB" w:sz="6" w:space="1"/>
        </w:pBdr>
        <w:shd w:fill="000000" w:val="clear"/>
        <w:spacing w:after="120" w:before="360"/>
      </w:pPr>
      <w:r>
        <w:rPr>
          <w:rFonts w:ascii="Calibri" w:cs="Calibri" w:eastAsia="Calibri" w:hAnsi="Calibri"/>
          <w:b/>
          <w:bCs/>
          <w:color w:val="FFFFFF"/>
          <w:sz w:val="28"/>
          <w:szCs w:val="28"/>
        </w:rPr>
        <w:t xml:space="preserve">5. DASHBOARD SYSTEM — SPRINT 4</w:t>
      </w:r>
    </w:p>
    <w:p>
      <w:pPr>
        <w:spacing w:after="80" w:before="200"/>
      </w:pPr>
      <w:r>
        <w:rPr>
          <w:rFonts w:ascii="Calibri" w:cs="Calibri" w:eastAsia="Calibri" w:hAnsi="Calibri"/>
          <w:b/>
          <w:bCs/>
          <w:color w:val="1F3864"/>
          <w:sz w:val="24"/>
          <w:szCs w:val="24"/>
        </w:rPr>
        <w:t xml:space="preserve">5.1 Architecture</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The Streamlit dashboard is structured as a single-entry multi-page application with a shared utility module. The application comprises: app.py (entry point, sidebar navigation, and global CSS), utils.py (shared data loader using @st.cache_data and model loader using @st.cache_resource), and five page modules in the pages/ directory. All data and model loading is centralised in utils.py with Streamlit caching to ensure the KPI 5 load time target of &lt; 3 seconds is met.</w:t>
      </w:r>
    </w:p>
    <w:p>
      <w:pPr>
        <w:spacing w:after="80" w:before="0"/>
      </w:pPr>
    </w:p>
    <w:p>
      <w:pPr>
        <w:spacing w:after="80" w:before="200"/>
      </w:pPr>
      <w:r>
        <w:rPr>
          <w:rFonts w:ascii="Calibri" w:cs="Calibri" w:eastAsia="Calibri" w:hAnsi="Calibri"/>
          <w:b/>
          <w:bCs/>
          <w:color w:val="1F3864"/>
          <w:sz w:val="24"/>
          <w:szCs w:val="24"/>
        </w:rPr>
        <w:t xml:space="preserve">5.2 Dashboard Pages</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The five dashboard pages address distinct analytical and operational needs:</w:t>
      </w:r>
    </w:p>
    <w:p>
      <w:pPr>
        <w:spacing w:after="80" w:before="0"/>
      </w:pPr>
    </w:p>
    <w:p>
      <w:pPr>
        <w:spacing w:after="60" w:before="140"/>
      </w:pPr>
      <w:r>
        <w:rPr>
          <w:rFonts w:ascii="Calibri" w:cs="Calibri" w:eastAsia="Calibri" w:hAnsi="Calibri"/>
          <w:b/>
          <w:bCs/>
          <w:color w:val="2E75B6"/>
          <w:sz w:val="22"/>
          <w:szCs w:val="22"/>
        </w:rPr>
        <w:t xml:space="preserve">Page 1 — Executive Dashboard (Maha, S4-02)</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Six KPI metric cards display total customers (50,000), churned count, retained count, overall churn rate (55.5%), average spend, and high-risk customer count (Support Calls ≥ 5). Four interactive Plotly charts: churn rate by contract type (bar), churned customers by subscription tier (donut), churn rate by support calls (bar), and customer tenure distribution by churn status (histogram).</w:t>
      </w:r>
    </w:p>
    <w:p>
      <w:pPr>
        <w:spacing w:after="80" w:before="0"/>
      </w:pPr>
    </w:p>
    <w:p>
      <w:pPr>
        <w:spacing w:after="60" w:before="140"/>
      </w:pPr>
      <w:r>
        <w:rPr>
          <w:rFonts w:ascii="Calibri" w:cs="Calibri" w:eastAsia="Calibri" w:hAnsi="Calibri"/>
          <w:b/>
          <w:bCs/>
          <w:color w:val="2E75B6"/>
          <w:sz w:val="22"/>
          <w:szCs w:val="22"/>
        </w:rPr>
        <w:t xml:space="preserve">Page 2 — Churn Predictor (Maha, S4-03; Ghadeer, S4-07)</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The centrepiece of the dashboard. An 11-feature input form covering all predictors used in training. Upon submission, the XGBoost model returns a churn probability displayed as an animated gauge chart with colour-coded risk zones (green ≤ 35%, amber 35–60%, red &gt; 60%). A risk badge (LOW / MEDIUM / HIGH RISK) with contextual explanation is displayed. A rule-based retention recommendations engine generates 1–4 personalised recommendations based on six trigger conditions derived from the EDA findings.</w:t>
      </w:r>
    </w:p>
    <w:p>
      <w:pPr>
        <w:spacing w:after="80" w:before="0"/>
      </w:pPr>
    </w:p>
    <w:p>
      <w:pPr>
        <w:spacing w:after="60" w:before="140"/>
      </w:pPr>
      <w:r>
        <w:rPr>
          <w:rFonts w:ascii="Calibri" w:cs="Calibri" w:eastAsia="Calibri" w:hAnsi="Calibri"/>
          <w:b/>
          <w:bCs/>
          <w:color w:val="2E75B6"/>
          <w:sz w:val="22"/>
          <w:szCs w:val="22"/>
        </w:rPr>
        <w:t xml:space="preserve">Page 3 — Advanced Analytics (Hadeel, S4-04; Maha, S5-04)</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XGBoost feature importance horizontal bar chart with tier-based colour coding. Full Pearson correlation heatmap across all numerical features. Age distribution and payment delay box plots split by churn status. Scatter plot of Usage Frequency vs Support Calls illustrating the high-risk cluster. SHAP waterfall chart added in Sprint 5 (S5-04) using shap.TreeExplainer for local prediction interpretability.</w:t>
      </w:r>
    </w:p>
    <w:p>
      <w:pPr>
        <w:spacing w:after="80" w:before="0"/>
      </w:pPr>
    </w:p>
    <w:p>
      <w:pPr>
        <w:spacing w:after="60" w:before="140"/>
      </w:pPr>
      <w:r>
        <w:rPr>
          <w:rFonts w:ascii="Calibri" w:cs="Calibri" w:eastAsia="Calibri" w:hAnsi="Calibri"/>
          <w:b/>
          <w:bCs/>
          <w:color w:val="2E75B6"/>
          <w:sz w:val="22"/>
          <w:szCs w:val="22"/>
        </w:rPr>
        <w:t xml:space="preserve">Page 4 — Customer Segmentation (Ghadeer, S4-05)</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Six business-meaningful customer segments constructed from Tenure and Total Spend thresholds: New Low-Value, New High-Value, Mid Low-Value, Mid High-Value, Loyal Low-Value, Loyal High-Value. A tenure/spend scatter plot with churn markers, a Contract Length × Subscription Type risk heatmap revealing that Monthly Basic customers are the highest-risk cohort, a segment summary table with colour-coded churn rates, and a support calls distribution box plot by contract type.</w:t>
      </w:r>
    </w:p>
    <w:p>
      <w:pPr>
        <w:spacing w:after="80" w:before="0"/>
      </w:pPr>
    </w:p>
    <w:p>
      <w:pPr>
        <w:spacing w:after="60" w:before="140"/>
      </w:pPr>
      <w:r>
        <w:rPr>
          <w:rFonts w:ascii="Calibri" w:cs="Calibri" w:eastAsia="Calibri" w:hAnsi="Calibri"/>
          <w:b/>
          <w:bCs/>
          <w:color w:val="2E75B6"/>
          <w:sz w:val="22"/>
          <w:szCs w:val="22"/>
        </w:rPr>
        <w:t xml:space="preserve">Page 5 — Model Performance (Hadeel, S4-06)</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A styled performance table showing all five metrics for all four models with green highlighting for KPI-exceeding values. Live ROC curve comparison computed at runtime using the test partition. XGBoost confusion matrix heatmap. Multi-group metric comparison bar chart with the KPI 0.75 threshold line. Business Impact Calculator for stakeholder-facing revenue estimation. KPI 5 load time measurement button providing live evidence of the &lt; 3 second target.</w:t>
      </w:r>
    </w:p>
    <w:p>
      <w:pPr>
        <w:spacing w:after="80" w:before="0"/>
      </w:pPr>
    </w:p>
    <w:p>
      <w:pPr>
        <w:spacing w:after="80" w:before="200"/>
      </w:pPr>
      <w:r>
        <w:rPr>
          <w:rFonts w:ascii="Calibri" w:cs="Calibri" w:eastAsia="Calibri" w:hAnsi="Calibri"/>
          <w:b/>
          <w:bCs/>
          <w:color w:val="1F3864"/>
          <w:sz w:val="24"/>
          <w:szCs w:val="24"/>
        </w:rPr>
        <w:t xml:space="preserve">5.3 Performance Validation</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KPI 5 (Dashboard Load Time &lt; 3 seconds) was validated by the load time measurement on Page 5. The dashboard loads in under 2 seconds on first render using Streamlit's @st.cache_data decorator for the DataFrame and @st.cache_resource for all model objects. On subsequent renders from cache, load time drops below 0.3 seconds. This exceeds the KPI 5 target by 1 full second.</w:t>
      </w:r>
    </w:p>
    <w:p>
      <w:r>
        <w:br w:type="page"/>
      </w:r>
    </w:p>
    <w:p>
      <w:pPr>
        <w:pBdr>
          <w:bottom w:val="single" w:color="BBBBBB" w:sz="6" w:space="1"/>
        </w:pBdr>
        <w:shd w:fill="000000" w:val="clear"/>
        <w:spacing w:after="120" w:before="360"/>
      </w:pPr>
      <w:r>
        <w:rPr>
          <w:rFonts w:ascii="Calibri" w:cs="Calibri" w:eastAsia="Calibri" w:hAnsi="Calibri"/>
          <w:b/>
          <w:bCs/>
          <w:color w:val="FFFFFF"/>
          <w:sz w:val="28"/>
          <w:szCs w:val="28"/>
        </w:rPr>
        <w:t xml:space="preserve">6. SPRINT 5 — FINAL DELIVERABLES</w:t>
      </w:r>
    </w:p>
    <w:p>
      <w:pPr>
        <w:spacing w:after="80" w:before="200"/>
      </w:pPr>
      <w:r>
        <w:rPr>
          <w:rFonts w:ascii="Calibri" w:cs="Calibri" w:eastAsia="Calibri" w:hAnsi="Calibri"/>
          <w:b/>
          <w:bCs/>
          <w:color w:val="1F3864"/>
          <w:sz w:val="24"/>
          <w:szCs w:val="24"/>
        </w:rPr>
        <w:t xml:space="preserve">6.1 SHAP Waterfall Chart (S5-04)</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The SHAP waterfall chart was added to Page 3 (Advanced Analytics) as a Sprint 5 enhancement. The implementation uses shap.TreeExplainer on the loaded xgboost.pkl model with a 500-record background sample for efficient SHAP value computation. The chart uses shap.plots.waterfall() rendered through matplotlib and converted to a Streamlit-compatible figure via st.pyplot(). Three customer profile presets are provided (Highest Risk, Lowest Risk, Average Customer) to demonstrate the interpretability capability during the final presentation.</w:t>
      </w:r>
    </w:p>
    <w:p>
      <w:pPr>
        <w:spacing w:after="80" w:before="0"/>
      </w:pPr>
    </w:p>
    <w:p>
      <w:pPr>
        <w:spacing w:after="80" w:before="200"/>
      </w:pPr>
      <w:r>
        <w:rPr>
          <w:rFonts w:ascii="Calibri" w:cs="Calibri" w:eastAsia="Calibri" w:hAnsi="Calibri"/>
          <w:b/>
          <w:bCs/>
          <w:color w:val="1F3864"/>
          <w:sz w:val="24"/>
          <w:szCs w:val="24"/>
        </w:rPr>
        <w:t xml:space="preserve">6.2 Prediction Pipeline Smoke Test (S5-04)</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The smoke test file tests/test_prediction.py contains seven test functions validating the end-to-end prediction pipeline: model and scaler load tests, HIGH RISK profile assertion (probability &gt; 0.70 for 7 support calls on Monthly contract), LOW RISK profile assertion (probability &lt; 0.30 for 1 support call on Annual contract), feature order validation (10 features in training order), output shape validation, and determinism test. All seven assertions pass.</w:t>
      </w:r>
    </w:p>
    <w:p>
      <w:pPr>
        <w:spacing w:after="80" w:before="0"/>
      </w:pPr>
    </w:p>
    <w:p>
      <w:pPr>
        <w:spacing w:after="80" w:before="200"/>
      </w:pPr>
      <w:r>
        <w:rPr>
          <w:rFonts w:ascii="Calibri" w:cs="Calibri" w:eastAsia="Calibri" w:hAnsi="Calibri"/>
          <w:b/>
          <w:bCs/>
          <w:color w:val="1F3864"/>
          <w:sz w:val="24"/>
          <w:szCs w:val="24"/>
        </w:rPr>
        <w:t xml:space="preserve">6.3 System Integration Testing (S5-05)</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Ghadeer conducted four-stage system integration testing: Stage 1 validated raw data loading (50K × 12 shape confirmed); Stage 2 validated preprocessing encoding and scaler application; Stage 3 validated XGBoost inference consistency with Sprint 3 AUC &gt; 0.95; Stage 4 validated dashboard render time &lt; 2 seconds across all 5 pages. All four stages passed without failures.</w:t>
      </w:r>
    </w:p>
    <w:p>
      <w:r>
        <w:br w:type="page"/>
      </w:r>
    </w:p>
    <w:p>
      <w:pPr>
        <w:pBdr>
          <w:bottom w:val="single" w:color="BBBBBB" w:sz="6" w:space="1"/>
        </w:pBdr>
        <w:shd w:fill="000000" w:val="clear"/>
        <w:spacing w:after="120" w:before="360"/>
      </w:pPr>
      <w:r>
        <w:rPr>
          <w:rFonts w:ascii="Calibri" w:cs="Calibri" w:eastAsia="Calibri" w:hAnsi="Calibri"/>
          <w:b/>
          <w:bCs/>
          <w:color w:val="FFFFFF"/>
          <w:sz w:val="28"/>
          <w:szCs w:val="28"/>
        </w:rPr>
        <w:t xml:space="preserve">7. KPI ACHIEVEMENT SUMMARY</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The table below provides the definitive final status of all five project KPIs across the complete project lifecycle. All five KPIs were exceeded by significant margins, constituting a complete and successful delivery of all project objectives.</w:t>
      </w:r>
    </w:p>
    <w:p>
      <w:pPr>
        <w:spacing w:after="80" w:before="0"/>
      </w:pPr>
    </w:p>
    <w:p>
      <w:pPr>
        <w:spacing w:after="60" w:before="160"/>
      </w:pPr>
      <w:r>
        <w:rPr>
          <w:rFonts w:ascii="Calibri" w:cs="Calibri" w:eastAsia="Calibri" w:hAnsi="Calibri"/>
          <w:b/>
          <w:bCs/>
          <w:i/>
          <w:iCs/>
          <w:sz w:val="22"/>
          <w:szCs w:val="22"/>
        </w:rPr>
        <w:t xml:space="preserve">Table 7.1 — Final Project KPI Achievement Table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300"/>
        <w:gridCol w:w="1300"/>
        <w:gridCol w:w="1000"/>
        <w:gridCol w:w="900"/>
        <w:gridCol w:w="2006"/>
      </w:tblGrid>
      <w:tr>
        <w:tc>
          <w:tcPr>
            <w:tcW w:type="dxa" w:w="19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KPI</w:t>
            </w:r>
          </w:p>
        </w:tc>
        <w:tc>
          <w:tcPr>
            <w:tcW w:type="dxa" w:w="11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Baseline</w:t>
            </w:r>
          </w:p>
        </w:tc>
        <w:tc>
          <w:tcPr>
            <w:tcW w:type="dxa" w:w="13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Target</w:t>
            </w:r>
          </w:p>
        </w:tc>
        <w:tc>
          <w:tcPr>
            <w:tcW w:type="dxa" w:w="13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Achieved</w:t>
            </w:r>
          </w:p>
        </w:tc>
        <w:tc>
          <w:tcPr>
            <w:tcW w:type="dxa" w:w="10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Sprint</w:t>
            </w:r>
          </w:p>
        </w:tc>
        <w:tc>
          <w:tcPr>
            <w:tcW w:type="dxa" w:w="9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Gap</w:t>
            </w:r>
          </w:p>
        </w:tc>
        <w:tc>
          <w:tcPr>
            <w:tcW w:type="dxa" w:w="2006"/>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Final Status</w:t>
            </w:r>
          </w:p>
        </w:tc>
      </w:tr>
      <w:tr>
        <w:tc>
          <w:tcPr>
            <w:tcW w:type="dxa" w:w="19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KPI 1 — ROC-AUC Score</w:t>
            </w:r>
          </w:p>
        </w:tc>
        <w:tc>
          <w:tcPr>
            <w:tcW w:type="dxa" w:w="11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0.9285</w:t>
            </w:r>
          </w:p>
        </w:tc>
        <w:tc>
          <w:tcPr>
            <w:tcW w:type="dxa" w:w="13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 0.75</w:t>
            </w:r>
          </w:p>
        </w:tc>
        <w:tc>
          <w:tcPr>
            <w:tcW w:type="dxa" w:w="13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0.9536</w:t>
            </w:r>
          </w:p>
        </w:tc>
        <w:tc>
          <w:tcPr>
            <w:tcW w:type="dxa" w:w="1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Sprint 3</w:t>
            </w:r>
          </w:p>
        </w:tc>
        <w:tc>
          <w:tcPr>
            <w:tcW w:type="dxa" w:w="9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+0.2036</w:t>
            </w:r>
          </w:p>
        </w:tc>
        <w:tc>
          <w:tcPr>
            <w:tcW w:type="dxa" w:w="20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EXCEEDED ✅</w:t>
            </w:r>
          </w:p>
        </w:tc>
      </w:tr>
      <w:tr>
        <w:tc>
          <w:tcPr>
            <w:tcW w:type="dxa" w:w="19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KPI 2 — Precision @ Top 20%</w:t>
            </w:r>
          </w:p>
        </w:tc>
        <w:tc>
          <w:tcPr>
            <w:tcW w:type="dxa" w:w="11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90.30%</w:t>
            </w:r>
          </w:p>
        </w:tc>
        <w:tc>
          <w:tcPr>
            <w:tcW w:type="dxa" w:w="13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 70%</w:t>
            </w:r>
          </w:p>
        </w:tc>
        <w:tc>
          <w:tcPr>
            <w:tcW w:type="dxa" w:w="13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89.83%</w:t>
            </w:r>
          </w:p>
        </w:tc>
        <w:tc>
          <w:tcPr>
            <w:tcW w:type="dxa" w:w="1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Sprint 3</w:t>
            </w:r>
          </w:p>
        </w:tc>
        <w:tc>
          <w:tcPr>
            <w:tcW w:type="dxa" w:w="9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+19.83%</w:t>
            </w:r>
          </w:p>
        </w:tc>
        <w:tc>
          <w:tcPr>
            <w:tcW w:type="dxa" w:w="20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EXCEEDED ✅</w:t>
            </w:r>
          </w:p>
        </w:tc>
      </w:tr>
      <w:tr>
        <w:tc>
          <w:tcPr>
            <w:tcW w:type="dxa" w:w="19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KPI 3 — False Positive Rate</w:t>
            </w:r>
          </w:p>
        </w:tc>
        <w:tc>
          <w:tcPr>
            <w:tcW w:type="dxa" w:w="11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11.68%</w:t>
            </w:r>
          </w:p>
        </w:tc>
        <w:tc>
          <w:tcPr>
            <w:tcW w:type="dxa" w:w="13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&lt; 30%</w:t>
            </w:r>
          </w:p>
        </w:tc>
        <w:tc>
          <w:tcPr>
            <w:tcW w:type="dxa" w:w="13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10.2%</w:t>
            </w:r>
          </w:p>
        </w:tc>
        <w:tc>
          <w:tcPr>
            <w:tcW w:type="dxa" w:w="1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Sprint 3</w:t>
            </w:r>
          </w:p>
        </w:tc>
        <w:tc>
          <w:tcPr>
            <w:tcW w:type="dxa" w:w="9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−19.8%</w:t>
            </w:r>
          </w:p>
        </w:tc>
        <w:tc>
          <w:tcPr>
            <w:tcW w:type="dxa" w:w="20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EXCEEDED ✅</w:t>
            </w:r>
          </w:p>
        </w:tc>
      </w:tr>
      <w:tr>
        <w:tc>
          <w:tcPr>
            <w:tcW w:type="dxa" w:w="19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KPI 4 — Model Training Time</w:t>
            </w:r>
          </w:p>
        </w:tc>
        <w:tc>
          <w:tcPr>
            <w:tcW w:type="dxa" w:w="11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N/A</w:t>
            </w:r>
          </w:p>
        </w:tc>
        <w:tc>
          <w:tcPr>
            <w:tcW w:type="dxa" w:w="13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&lt; 5 min</w:t>
            </w:r>
          </w:p>
        </w:tc>
        <w:tc>
          <w:tcPr>
            <w:tcW w:type="dxa" w:w="13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1.7 sec</w:t>
            </w:r>
          </w:p>
        </w:tc>
        <w:tc>
          <w:tcPr>
            <w:tcW w:type="dxa" w:w="1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Sprint 3</w:t>
            </w:r>
          </w:p>
        </w:tc>
        <w:tc>
          <w:tcPr>
            <w:tcW w:type="dxa" w:w="9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−4m 58s</w:t>
            </w:r>
          </w:p>
        </w:tc>
        <w:tc>
          <w:tcPr>
            <w:tcW w:type="dxa" w:w="20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EXCEEDED ✅</w:t>
            </w:r>
          </w:p>
        </w:tc>
      </w:tr>
      <w:tr>
        <w:tc>
          <w:tcPr>
            <w:tcW w:type="dxa" w:w="19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left"/>
            </w:pPr>
            <w:r>
              <w:rPr>
                <w:rFonts w:ascii="Calibri" w:cs="Calibri" w:eastAsia="Calibri" w:hAnsi="Calibri"/>
                <w:b/>
                <w:bCs/>
                <w:i w:val="false"/>
                <w:iCs w:val="false"/>
                <w:color w:val="000000"/>
                <w:sz w:val="20"/>
                <w:szCs w:val="20"/>
              </w:rPr>
              <w:t xml:space="preserve">KPI 5 — Dashboard Load Time</w:t>
            </w:r>
          </w:p>
        </w:tc>
        <w:tc>
          <w:tcPr>
            <w:tcW w:type="dxa" w:w="11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N/A</w:t>
            </w:r>
          </w:p>
        </w:tc>
        <w:tc>
          <w:tcPr>
            <w:tcW w:type="dxa" w:w="13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&lt; 3 sec</w:t>
            </w:r>
          </w:p>
        </w:tc>
        <w:tc>
          <w:tcPr>
            <w:tcW w:type="dxa" w:w="13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&lt; 2 sec</w:t>
            </w:r>
          </w:p>
        </w:tc>
        <w:tc>
          <w:tcPr>
            <w:tcW w:type="dxa" w:w="1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Sprint 4</w:t>
            </w:r>
          </w:p>
        </w:tc>
        <w:tc>
          <w:tcPr>
            <w:tcW w:type="dxa" w:w="9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−1 sec</w:t>
            </w:r>
          </w:p>
        </w:tc>
        <w:tc>
          <w:tcPr>
            <w:tcW w:type="dxa" w:w="20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EXCEEDED ✅</w:t>
            </w:r>
          </w:p>
        </w:tc>
      </w:tr>
    </w:tbl>
    <w:p>
      <w:r>
        <w:br w:type="page"/>
      </w:r>
    </w:p>
    <w:p>
      <w:pPr>
        <w:pBdr>
          <w:bottom w:val="single" w:color="BBBBBB" w:sz="6" w:space="1"/>
        </w:pBdr>
        <w:shd w:fill="000000" w:val="clear"/>
        <w:spacing w:after="120" w:before="360"/>
      </w:pPr>
      <w:r>
        <w:rPr>
          <w:rFonts w:ascii="Calibri" w:cs="Calibri" w:eastAsia="Calibri" w:hAnsi="Calibri"/>
          <w:b/>
          <w:bCs/>
          <w:color w:val="FFFFFF"/>
          <w:sz w:val="28"/>
          <w:szCs w:val="28"/>
        </w:rPr>
        <w:t xml:space="preserve">8. BUSINESS RECOMMENDATIONS</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Based on the feature importance analysis, EDA findings, and model evaluation results, four evidence-based retention strategies are recommended for the subscription service provider:</w:t>
      </w:r>
    </w:p>
    <w:p>
      <w:pPr>
        <w:spacing w:after="80" w:before="0"/>
      </w:pPr>
    </w:p>
    <w:p>
      <w:pPr>
        <w:spacing w:after="80" w:before="200"/>
      </w:pPr>
      <w:r>
        <w:rPr>
          <w:rFonts w:ascii="Calibri" w:cs="Calibri" w:eastAsia="Calibri" w:hAnsi="Calibri"/>
          <w:b/>
          <w:bCs/>
          <w:color w:val="1F3864"/>
          <w:sz w:val="24"/>
          <w:szCs w:val="24"/>
        </w:rPr>
        <w:t xml:space="preserve">8.1 Support Call Escalation Protocol</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The single most impactful retention action is the implementation of a proactive escalation protocol triggered when a customer reaches 5 support calls within their subscription period. At this threshold — one call before the 6-call near-100% churn rate boundary identified in the EDA — a dedicated retention specialist should make proactive contact. This is the highest-ROI intervention available given the magnitude of the support calls feature importance (0.2627) and the near-binary relationship between high call volume and churn.</w:t>
      </w:r>
    </w:p>
    <w:p>
      <w:pPr>
        <w:spacing w:after="80" w:before="0"/>
      </w:pPr>
    </w:p>
    <w:p>
      <w:pPr>
        <w:spacing w:after="80" w:before="200"/>
      </w:pPr>
      <w:r>
        <w:rPr>
          <w:rFonts w:ascii="Calibri" w:cs="Calibri" w:eastAsia="Calibri" w:hAnsi="Calibri"/>
          <w:b/>
          <w:bCs/>
          <w:color w:val="1F3864"/>
          <w:sz w:val="24"/>
          <w:szCs w:val="24"/>
        </w:rPr>
        <w:t xml:space="preserve">8.2 Contract Upgrade Campaign</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A targeted campaign offering Monthly contract customers a meaningful incentive (15–20% discount or service upgrade) to switch to Annual contracts is recommended. The feature importance analysis places contract length as the second-most predictive churn driver (0.2303), and the EDA confirms that Monthly customers churn at approximately 3× the rate of Annual subscribers. A campaign conversion rate of even 10–15% would produce a measurable reduction in the overall churn rate.</w:t>
      </w:r>
    </w:p>
    <w:p>
      <w:pPr>
        <w:spacing w:after="80" w:before="0"/>
      </w:pPr>
    </w:p>
    <w:p>
      <w:pPr>
        <w:spacing w:after="80" w:before="200"/>
      </w:pPr>
      <w:r>
        <w:rPr>
          <w:rFonts w:ascii="Calibri" w:cs="Calibri" w:eastAsia="Calibri" w:hAnsi="Calibri"/>
          <w:b/>
          <w:bCs/>
          <w:color w:val="1F3864"/>
          <w:sz w:val="24"/>
          <w:szCs w:val="24"/>
        </w:rPr>
        <w:t xml:space="preserve">8.3 Payment Delay Early Intervention</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Customers with payment delays approaching 15 days should be contacted proactively — before reaching the high-risk threshold identified in the EDA. The recommended trigger is 10 days of delay, allowing sufficient lead time for a gentle payment reminder or flexible payment arrangement. The payment delay feature importance (0.1351) and its clear threshold behaviour make this an operationally straightforward intervention with predictable impact.</w:t>
      </w:r>
    </w:p>
    <w:p>
      <w:pPr>
        <w:spacing w:after="80" w:before="0"/>
      </w:pPr>
    </w:p>
    <w:p>
      <w:pPr>
        <w:spacing w:after="80" w:before="200"/>
      </w:pPr>
      <w:r>
        <w:rPr>
          <w:rFonts w:ascii="Calibri" w:cs="Calibri" w:eastAsia="Calibri" w:hAnsi="Calibri"/>
          <w:b/>
          <w:bCs/>
          <w:color w:val="1F3864"/>
          <w:sz w:val="24"/>
          <w:szCs w:val="24"/>
        </w:rPr>
        <w:t xml:space="preserve">8.4 Premium Customer Retention Programme</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High-spend customers represent a paradox identified in this analysis: they carry elevated churn risk despite their higher CLV. This pattern likely reflects high expectations for service quality and value-for-money. A premium customer retention programme offering dedicated support, early access to new features, and periodic value-for-money reviews is recommended for customers in the top spend quartile who also exhibit other churn risk signals (high support calls, payment delays, monthly contracts).</w:t>
      </w:r>
    </w:p>
    <w:p>
      <w:pPr>
        <w:spacing w:after="80" w:before="0"/>
      </w:pPr>
    </w:p>
    <w:p>
      <w:pPr>
        <w:spacing w:after="80" w:before="200"/>
      </w:pPr>
      <w:r>
        <w:rPr>
          <w:rFonts w:ascii="Calibri" w:cs="Calibri" w:eastAsia="Calibri" w:hAnsi="Calibri"/>
          <w:b/>
          <w:bCs/>
          <w:color w:val="1F3864"/>
          <w:sz w:val="24"/>
          <w:szCs w:val="24"/>
        </w:rPr>
        <w:t xml:space="preserve">8.5 Business Impact Estimate</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Using the Business Impact Calculator on Page 5 of the dashboard with inputs of 50,000 customer base, SAR 2,400 average annual CLV, 97.62% model recall, and 25% retention rate, the estimated annual revenue protected is approximately SAR 32.9 million. This figure represents the revenue that would be preserved by successfully retaining customers identified by the XGBoost model who would otherwise have churned.</w:t>
      </w:r>
    </w:p>
    <w:p>
      <w:r>
        <w:br w:type="page"/>
      </w:r>
    </w:p>
    <w:p>
      <w:pPr>
        <w:pBdr>
          <w:bottom w:val="single" w:color="BBBBBB" w:sz="6" w:space="1"/>
        </w:pBdr>
        <w:shd w:fill="000000" w:val="clear"/>
        <w:spacing w:after="120" w:before="360"/>
      </w:pPr>
      <w:r>
        <w:rPr>
          <w:rFonts w:ascii="Calibri" w:cs="Calibri" w:eastAsia="Calibri" w:hAnsi="Calibri"/>
          <w:b/>
          <w:bCs/>
          <w:color w:val="FFFFFF"/>
          <w:sz w:val="28"/>
          <w:szCs w:val="28"/>
        </w:rPr>
        <w:t xml:space="preserve">9. CONCLUSION AND FUTURE WORK</w:t>
      </w:r>
    </w:p>
    <w:p>
      <w:pPr>
        <w:spacing w:after="80" w:before="200"/>
      </w:pPr>
      <w:r>
        <w:rPr>
          <w:rFonts w:ascii="Calibri" w:cs="Calibri" w:eastAsia="Calibri" w:hAnsi="Calibri"/>
          <w:b/>
          <w:bCs/>
          <w:color w:val="1F3864"/>
          <w:sz w:val="24"/>
          <w:szCs w:val="24"/>
        </w:rPr>
        <w:t xml:space="preserve">9.1 Conclusion</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This Final Technical Report documents the complete development and delivery of the Customer Churn Prediction System — a graduation project that has successfully achieved all stated objectives. The XGBoost model achieves a ROC-AUC of 0.9536, exceeding the target of 0.75 by a margin of 0.2036. The 5-page Streamlit dashboard loads in under 2 seconds (target: &lt; 3 seconds) and provides real-time churn predictions, interactive analytics, and actionable business intelligence. All five project KPIs were exceeded. The project was delivered across five Agile Scrum sprints with 100% backlog completion rates and zero blockers in any sprint.</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The project's key contribution beyond the technical deliverables is the translation of ML model outputs into concrete business action: four evidence-based retention strategies grounded in feature importance analysis, SHAP explainability, and EDA findings. The Business Impact Calculator on Page 5 provides stakeholders with a quantified revenue protection estimate of approximately SAR 32.9 million annually — directly connecting the technical work to measurable business value.</w:t>
      </w:r>
    </w:p>
    <w:p>
      <w:pPr>
        <w:spacing w:after="80" w:before="0"/>
      </w:pPr>
    </w:p>
    <w:p>
      <w:pPr>
        <w:spacing w:after="80" w:before="200"/>
      </w:pPr>
      <w:r>
        <w:rPr>
          <w:rFonts w:ascii="Calibri" w:cs="Calibri" w:eastAsia="Calibri" w:hAnsi="Calibri"/>
          <w:b/>
          <w:bCs/>
          <w:color w:val="1F3864"/>
          <w:sz w:val="24"/>
          <w:szCs w:val="24"/>
        </w:rPr>
        <w:t xml:space="preserve">9.2 Future Work</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Several directions for future development are recommended:</w:t>
      </w:r>
    </w:p>
    <w:p>
      <w:pPr>
        <w:pStyle w:val="ListParagraph"/>
        <w:numPr>
          <w:ilvl w:val="0"/>
          <w:numId w:val="2"/>
        </w:numPr>
        <w:spacing w:after="40" w:before="40" w:line="276" w:lineRule="auto"/>
        <w:jc w:val="both"/>
      </w:pPr>
      <w:r>
        <w:rPr>
          <w:rFonts w:ascii="Calibri" w:cs="Calibri" w:eastAsia="Calibri" w:hAnsi="Calibri"/>
          <w:b/>
          <w:bCs/>
          <w:i w:val="false"/>
          <w:iCs w:val="false"/>
          <w:color w:val="000000"/>
          <w:sz w:val="22"/>
          <w:szCs w:val="22"/>
        </w:rPr>
        <w:t xml:space="preserve">Hyperparameter Optimisation: </w:t>
      </w:r>
      <w:r>
        <w:rPr>
          <w:rFonts w:ascii="Calibri" w:cs="Calibri" w:eastAsia="Calibri" w:hAnsi="Calibri"/>
          <w:b w:val="false"/>
          <w:bCs w:val="false"/>
          <w:i w:val="false"/>
          <w:iCs w:val="false"/>
          <w:color w:val="000000"/>
          <w:sz w:val="22"/>
          <w:szCs w:val="22"/>
        </w:rPr>
        <w:t xml:space="preserve">Automated hyperparameter search using Optuna or GridSearchCV could push XGBoost AUC above 0.96.</w:t>
      </w:r>
    </w:p>
    <w:p>
      <w:pPr>
        <w:pStyle w:val="ListParagraph"/>
        <w:numPr>
          <w:ilvl w:val="0"/>
          <w:numId w:val="2"/>
        </w:numPr>
        <w:spacing w:after="40" w:before="40" w:line="276" w:lineRule="auto"/>
        <w:jc w:val="both"/>
      </w:pPr>
      <w:r>
        <w:rPr>
          <w:rFonts w:ascii="Calibri" w:cs="Calibri" w:eastAsia="Calibri" w:hAnsi="Calibri"/>
          <w:b/>
          <w:bCs/>
          <w:i w:val="false"/>
          <w:iCs w:val="false"/>
          <w:color w:val="000000"/>
          <w:sz w:val="22"/>
          <w:szCs w:val="22"/>
        </w:rPr>
        <w:t xml:space="preserve">Cloud Deployment: </w:t>
      </w:r>
      <w:r>
        <w:rPr>
          <w:rFonts w:ascii="Calibri" w:cs="Calibri" w:eastAsia="Calibri" w:hAnsi="Calibri"/>
          <w:b w:val="false"/>
          <w:bCs w:val="false"/>
          <w:i w:val="false"/>
          <w:iCs w:val="false"/>
          <w:color w:val="000000"/>
          <w:sz w:val="22"/>
          <w:szCs w:val="22"/>
        </w:rPr>
        <w:t xml:space="preserve">Deployment to a persistent cloud environment (Streamlit Cloud, AWS Elastic Beanstalk, or Azure App Service) would enable always-on access for business stakeholders beyond the current ephemeral Colab deployment.</w:t>
      </w:r>
    </w:p>
    <w:p>
      <w:pPr>
        <w:pStyle w:val="ListParagraph"/>
        <w:numPr>
          <w:ilvl w:val="0"/>
          <w:numId w:val="2"/>
        </w:numPr>
        <w:spacing w:after="40" w:before="40" w:line="276" w:lineRule="auto"/>
        <w:jc w:val="both"/>
      </w:pPr>
      <w:r>
        <w:rPr>
          <w:rFonts w:ascii="Calibri" w:cs="Calibri" w:eastAsia="Calibri" w:hAnsi="Calibri"/>
          <w:b/>
          <w:bCs/>
          <w:i w:val="false"/>
          <w:iCs w:val="false"/>
          <w:color w:val="000000"/>
          <w:sz w:val="22"/>
          <w:szCs w:val="22"/>
        </w:rPr>
        <w:t xml:space="preserve">Longitudinal Dataset: </w:t>
      </w:r>
      <w:r>
        <w:rPr>
          <w:rFonts w:ascii="Calibri" w:cs="Calibri" w:eastAsia="Calibri" w:hAnsi="Calibri"/>
          <w:b w:val="false"/>
          <w:bCs w:val="false"/>
          <w:i w:val="false"/>
          <w:iCs w:val="false"/>
          <w:color w:val="000000"/>
          <w:sz w:val="22"/>
          <w:szCs w:val="22"/>
        </w:rPr>
        <w:t xml:space="preserve">Extending the analysis to a multi-period dataset would enable time-series churn forecasting models capturing seasonal patterns.</w:t>
      </w:r>
    </w:p>
    <w:p>
      <w:pPr>
        <w:pStyle w:val="ListParagraph"/>
        <w:numPr>
          <w:ilvl w:val="0"/>
          <w:numId w:val="2"/>
        </w:numPr>
        <w:spacing w:after="40" w:before="40" w:line="276" w:lineRule="auto"/>
        <w:jc w:val="both"/>
      </w:pPr>
      <w:r>
        <w:rPr>
          <w:rFonts w:ascii="Calibri" w:cs="Calibri" w:eastAsia="Calibri" w:hAnsi="Calibri"/>
          <w:b/>
          <w:bCs/>
          <w:i w:val="false"/>
          <w:iCs w:val="false"/>
          <w:color w:val="000000"/>
          <w:sz w:val="22"/>
          <w:szCs w:val="22"/>
        </w:rPr>
        <w:t xml:space="preserve">SHAP Enhancements: </w:t>
      </w:r>
      <w:r>
        <w:rPr>
          <w:rFonts w:ascii="Calibri" w:cs="Calibri" w:eastAsia="Calibri" w:hAnsi="Calibri"/>
          <w:b w:val="false"/>
          <w:bCs w:val="false"/>
          <w:i w:val="false"/>
          <w:iCs w:val="false"/>
          <w:color w:val="000000"/>
          <w:sz w:val="22"/>
          <w:szCs w:val="22"/>
        </w:rPr>
        <w:t xml:space="preserve">Adding SHAP dependency plots, interaction values, and beeswarm charts to Page 3 would provide deeper feature interaction analysis for the analytics team.</w:t>
      </w:r>
    </w:p>
    <w:p>
      <w:pPr>
        <w:pStyle w:val="ListParagraph"/>
        <w:numPr>
          <w:ilvl w:val="0"/>
          <w:numId w:val="2"/>
        </w:numPr>
        <w:spacing w:after="40" w:before="40" w:line="276" w:lineRule="auto"/>
        <w:jc w:val="both"/>
      </w:pPr>
      <w:r>
        <w:rPr>
          <w:rFonts w:ascii="Calibri" w:cs="Calibri" w:eastAsia="Calibri" w:hAnsi="Calibri"/>
          <w:b/>
          <w:bCs/>
          <w:i w:val="false"/>
          <w:iCs w:val="false"/>
          <w:color w:val="000000"/>
          <w:sz w:val="22"/>
          <w:szCs w:val="22"/>
        </w:rPr>
        <w:t xml:space="preserve">CI/CD Pipeline: </w:t>
      </w:r>
      <w:r>
        <w:rPr>
          <w:rFonts w:ascii="Calibri" w:cs="Calibri" w:eastAsia="Calibri" w:hAnsi="Calibri"/>
          <w:b w:val="false"/>
          <w:bCs w:val="false"/>
          <w:i w:val="false"/>
          <w:iCs w:val="false"/>
          <w:color w:val="000000"/>
          <w:sz w:val="22"/>
          <w:szCs w:val="22"/>
        </w:rPr>
        <w:t xml:space="preserve">Implementing a GitHub Actions workflow running the smoke test suite on every push would ensure ongoing pipeline integrity.</w:t>
      </w:r>
    </w:p>
    <w:p>
      <w:r>
        <w:br w:type="page"/>
      </w:r>
    </w:p>
    <w:p>
      <w:pPr>
        <w:pBdr>
          <w:bottom w:val="single" w:color="BBBBBB" w:sz="6" w:space="1"/>
        </w:pBdr>
        <w:shd w:fill="000000" w:val="clear"/>
        <w:spacing w:after="120" w:before="360"/>
      </w:pPr>
      <w:r>
        <w:rPr>
          <w:rFonts w:ascii="Calibri" w:cs="Calibri" w:eastAsia="Calibri" w:hAnsi="Calibri"/>
          <w:b/>
          <w:bCs/>
          <w:color w:val="FFFFFF"/>
          <w:sz w:val="28"/>
          <w:szCs w:val="28"/>
        </w:rPr>
        <w:t xml:space="preserve">10. REFERENCES</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Ahmad, A. K., Jafar, A. and Aljoumaa, K. (2019) 'Customer churn prediction in telecom using machine learning in big data platform', Journal of Big Data, 6(1), pp. 1–24. doi: 10.1186/s40537-019-0191-6.</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Azeem, M. S. (2024) Customer Churn Dataset [Data set]. Kaggle. Available at: https://www.kaggle.com/datasets/muhammadshahidazeem/customer-churn-dataset (Accessed: 26 January 2026).</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Breiman, L. (2001) 'Random forests', </w:t>
      </w:r>
      <w:r>
        <w:rPr>
          <w:rFonts w:ascii="Calibri" w:cs="Calibri" w:eastAsia="Calibri" w:hAnsi="Calibri"/>
          <w:b w:val="false"/>
          <w:bCs w:val="false"/>
          <w:i/>
          <w:iCs/>
          <w:color w:val="000000"/>
          <w:sz w:val="22"/>
          <w:szCs w:val="22"/>
        </w:rPr>
        <w:t xml:space="preserve">Machine Learning</w:t>
      </w:r>
      <w:r>
        <w:rPr>
          <w:rFonts w:ascii="Calibri" w:cs="Calibri" w:eastAsia="Calibri" w:hAnsi="Calibri"/>
          <w:b w:val="false"/>
          <w:bCs w:val="false"/>
          <w:i w:val="false"/>
          <w:iCs w:val="false"/>
          <w:color w:val="000000"/>
          <w:sz w:val="22"/>
          <w:szCs w:val="22"/>
        </w:rPr>
        <w:t xml:space="preserve">, 45(1), pp. 5–32. doi: 10.1023/A:1010933404324.</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Chen, T. and Guestrin, C. (2016) 'XGBoost: A scalable tree boosting system', </w:t>
      </w:r>
      <w:r>
        <w:rPr>
          <w:rFonts w:ascii="Calibri" w:cs="Calibri" w:eastAsia="Calibri" w:hAnsi="Calibri"/>
          <w:b w:val="false"/>
          <w:bCs w:val="false"/>
          <w:i/>
          <w:iCs/>
          <w:color w:val="000000"/>
          <w:sz w:val="22"/>
          <w:szCs w:val="22"/>
        </w:rPr>
        <w:t xml:space="preserve">Proceedings of the 22nd ACM SIGKDD International Conference on Knowledge Discovery and Data Mining</w:t>
      </w:r>
      <w:r>
        <w:rPr>
          <w:rFonts w:ascii="Calibri" w:cs="Calibri" w:eastAsia="Calibri" w:hAnsi="Calibri"/>
          <w:b w:val="false"/>
          <w:bCs w:val="false"/>
          <w:i w:val="false"/>
          <w:iCs w:val="false"/>
          <w:color w:val="000000"/>
          <w:sz w:val="22"/>
          <w:szCs w:val="22"/>
        </w:rPr>
        <w:t xml:space="preserve">, pp. 785–794.</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Imam Abdulrahman Bin Faisal University — MIS Department (2026) ISBA Graduation Project Student Manual (Version 1). Dammam: College of Business Administration.</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Imam Abdulrahman Bin Faisal University (2026) BIS405: Graduation Project — Course Syllabus, Academic Year 2025–2026. Dammam: College of Business Administration.</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Ke, G., Meng, Q., Finley, T., Wang, T., Chen, W., Ma, W., Ye, Q. and Liu, T. Y. (2017) 'LightGBM: A highly efficient gradient boosting decision tree', </w:t>
      </w:r>
      <w:r>
        <w:rPr>
          <w:rFonts w:ascii="Calibri" w:cs="Calibri" w:eastAsia="Calibri" w:hAnsi="Calibri"/>
          <w:b w:val="false"/>
          <w:bCs w:val="false"/>
          <w:i/>
          <w:iCs/>
          <w:color w:val="000000"/>
          <w:sz w:val="22"/>
          <w:szCs w:val="22"/>
        </w:rPr>
        <w:t xml:space="preserve">Advances in Neural Information Processing Systems</w:t>
      </w:r>
      <w:r>
        <w:rPr>
          <w:rFonts w:ascii="Calibri" w:cs="Calibri" w:eastAsia="Calibri" w:hAnsi="Calibri"/>
          <w:b w:val="false"/>
          <w:bCs w:val="false"/>
          <w:i w:val="false"/>
          <w:iCs w:val="false"/>
          <w:color w:val="000000"/>
          <w:sz w:val="22"/>
          <w:szCs w:val="22"/>
        </w:rPr>
        <w:t xml:space="preserve">, 30.</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Lundberg, S. M. and Lee, S. I. (2017) 'A unified approach to interpreting model predictions', </w:t>
      </w:r>
      <w:r>
        <w:rPr>
          <w:rFonts w:ascii="Calibri" w:cs="Calibri" w:eastAsia="Calibri" w:hAnsi="Calibri"/>
          <w:b w:val="false"/>
          <w:bCs w:val="false"/>
          <w:i/>
          <w:iCs/>
          <w:color w:val="000000"/>
          <w:sz w:val="22"/>
          <w:szCs w:val="22"/>
        </w:rPr>
        <w:t xml:space="preserve">Advances in Neural Information Processing Systems</w:t>
      </w:r>
      <w:r>
        <w:rPr>
          <w:rFonts w:ascii="Calibri" w:cs="Calibri" w:eastAsia="Calibri" w:hAnsi="Calibri"/>
          <w:b w:val="false"/>
          <w:bCs w:val="false"/>
          <w:i w:val="false"/>
          <w:iCs w:val="false"/>
          <w:color w:val="000000"/>
          <w:sz w:val="22"/>
          <w:szCs w:val="22"/>
        </w:rPr>
        <w:t xml:space="preserve">, 30, pp. 4765–4774.</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McKinney, W. (2010) 'Data structures for statistical computing in Python', Proceedings of the 9th Python in Science Conference, 445, pp. 51–56.</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Pedregosa, F., Varoquaux, G., Gramfort, A., Michel, V., Thirion, B., Grisel, O., Blondel, M., Prettenhofer, P., Weiss, R., Dubourg, V., Vanderplas, J., Passos, A., Cournapeau, D., Brucher, M., Perrot, M. and Duchesnay, E. (2011) 'Scikit-learn: Machine learning in Python', Journal of Machine Learning Research, 12, pp. 2825–2830.</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Streamlit Inc. (2024) Streamlit: The fastest way to build and share data apps. Available at: https://streamlit.io (Accessed: 30 May 2026).</w:t>
      </w:r>
    </w:p>
    <w:p>
      <w:r>
        <w:br w:type="page"/>
      </w:r>
    </w:p>
    <w:p>
      <w:pPr>
        <w:pBdr>
          <w:bottom w:val="single" w:color="BBBBBB" w:sz="6" w:space="1"/>
        </w:pBdr>
        <w:shd w:fill="000000" w:val="clear"/>
        <w:spacing w:after="120" w:before="360"/>
      </w:pPr>
      <w:r>
        <w:rPr>
          <w:rFonts w:ascii="Calibri" w:cs="Calibri" w:eastAsia="Calibri" w:hAnsi="Calibri"/>
          <w:b/>
          <w:bCs/>
          <w:color w:val="FFFFFF"/>
          <w:sz w:val="28"/>
          <w:szCs w:val="28"/>
        </w:rPr>
        <w:t xml:space="preserve">APPENDIX A — TEAM DECLARATION AND ACADEMIC INTEGRITY STATEMENT</w:t>
      </w:r>
    </w:p>
    <w:p>
      <w:pPr>
        <w:spacing w:after="80" w:before="60" w:line="276" w:lineRule="auto"/>
        <w:jc w:val="both"/>
      </w:pPr>
      <w:r>
        <w:rPr>
          <w:rFonts w:ascii="Calibri" w:cs="Calibri" w:eastAsia="Calibri" w:hAnsi="Calibri"/>
          <w:b w:val="false"/>
          <w:bCs w:val="false"/>
          <w:i w:val="false"/>
          <w:iCs w:val="false"/>
          <w:color w:val="000000"/>
          <w:sz w:val="22"/>
          <w:szCs w:val="22"/>
        </w:rPr>
        <w:t xml:space="preserve">We, the members of Group 3, affirm that all work submitted in this Final Technical Report and all associated project deliverables is the original work of the team. All external sources, datasets, libraries, and tools have been cited in accordance with the Harvard Referencing style. No generative AI tools were used in the preparation of this report without express written permission from the course instructor. The Kaggle Customer Churn Dataset (Azeem, 2024) is licensed under CC0 / Public Domain and has been used with full attribution for purely academic purposes. This declaration is made in accordance with Section 8 (Governance, Ethics, and Academic Integrity) of the ISBA Graduation Project Student Manual (MIS Department, 2026).</w:t>
      </w:r>
    </w:p>
    <w:p>
      <w:pPr>
        <w:spacing w:after="80" w:before="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506"/>
      </w:tblGrid>
      <w:tr>
        <w:tc>
          <w:tcPr>
            <w:tcW w:type="dxa" w:w="12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Team Member</w:t>
            </w:r>
          </w:p>
        </w:tc>
        <w:tc>
          <w:tcPr>
            <w:tcW w:type="dxa" w:w="24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Full Name</w:t>
            </w:r>
          </w:p>
        </w:tc>
        <w:tc>
          <w:tcPr>
            <w:tcW w:type="dxa" w:w="24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Role</w:t>
            </w:r>
          </w:p>
        </w:tc>
        <w:tc>
          <w:tcPr>
            <w:tcW w:type="dxa" w:w="3506"/>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Signature</w:t>
            </w:r>
          </w:p>
        </w:tc>
      </w:tr>
      <w:tr>
        <w:tc>
          <w:tcPr>
            <w:tcW w:type="dxa" w:w="12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Student 1</w:t>
            </w:r>
          </w:p>
        </w:tc>
        <w:tc>
          <w:tcPr>
            <w:tcW w:type="dxa" w:w="2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Maha (Student 1)</w:t>
            </w:r>
          </w:p>
        </w:tc>
        <w:tc>
          <w:tcPr>
            <w:tcW w:type="dxa" w:w="2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Data Scientist / Scrum Master Sp.1, Sp.5</w:t>
            </w:r>
          </w:p>
        </w:tc>
        <w:tc>
          <w:tcPr>
            <w:tcW w:type="dxa" w:w="35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________________________</w:t>
            </w:r>
          </w:p>
        </w:tc>
      </w:tr>
      <w:tr>
        <w:tc>
          <w:tcPr>
            <w:tcW w:type="dxa" w:w="12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Student 2</w:t>
            </w:r>
          </w:p>
        </w:tc>
        <w:tc>
          <w:tcPr>
            <w:tcW w:type="dxa" w:w="2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Hadeel (Student 2)</w:t>
            </w:r>
          </w:p>
        </w:tc>
        <w:tc>
          <w:tcPr>
            <w:tcW w:type="dxa" w:w="2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Business Analyst / Scrum Master Sp.3</w:t>
            </w:r>
          </w:p>
        </w:tc>
        <w:tc>
          <w:tcPr>
            <w:tcW w:type="dxa" w:w="35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________________________</w:t>
            </w:r>
          </w:p>
        </w:tc>
      </w:tr>
      <w:tr>
        <w:tc>
          <w:tcPr>
            <w:tcW w:type="dxa" w:w="12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Student 3</w:t>
            </w:r>
          </w:p>
        </w:tc>
        <w:tc>
          <w:tcPr>
            <w:tcW w:type="dxa" w:w="2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Ghadeer (Student 3)</w:t>
            </w:r>
          </w:p>
        </w:tc>
        <w:tc>
          <w:tcPr>
            <w:tcW w:type="dxa" w:w="24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ML Engineer / Dashboard Lead / SM Sp.4</w:t>
            </w:r>
          </w:p>
        </w:tc>
        <w:tc>
          <w:tcPr>
            <w:tcW w:type="dxa" w:w="35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________________________</w:t>
            </w:r>
          </w:p>
        </w:tc>
      </w:tr>
    </w:tbl>
    <w:p>
      <w:pPr>
        <w:spacing w:after="80" w:before="0"/>
      </w:pPr>
    </w:p>
    <w:p>
      <w:pPr>
        <w:spacing w:after="80" w:before="60" w:line="276" w:lineRule="auto"/>
        <w:jc w:val="center"/>
      </w:pPr>
      <w:r>
        <w:rPr>
          <w:rFonts w:ascii="Calibri" w:cs="Calibri" w:eastAsia="Calibri" w:hAnsi="Calibri"/>
          <w:b w:val="false"/>
          <w:bCs w:val="false"/>
          <w:i w:val="false"/>
          <w:iCs w:val="false"/>
          <w:color w:val="000000"/>
          <w:sz w:val="22"/>
          <w:szCs w:val="22"/>
        </w:rPr>
        <w:t xml:space="preserve">Submission Date: 30 May 2026  |  Course: BIS405 — Graduation Project  |  Semester: Spring 2026</w:t>
      </w:r>
    </w:p>
    <w:p>
      <w:r>
        <w:br w:type="page"/>
      </w:r>
    </w:p>
    <w:p>
      <w:pPr>
        <w:pBdr>
          <w:bottom w:val="single" w:color="BBBBBB" w:sz="6" w:space="1"/>
        </w:pBdr>
        <w:shd w:fill="000000" w:val="clear"/>
        <w:spacing w:after="120" w:before="360"/>
      </w:pPr>
      <w:r>
        <w:rPr>
          <w:rFonts w:ascii="Calibri" w:cs="Calibri" w:eastAsia="Calibri" w:hAnsi="Calibri"/>
          <w:b/>
          <w:bCs/>
          <w:color w:val="FFFFFF"/>
          <w:sz w:val="28"/>
          <w:szCs w:val="28"/>
        </w:rPr>
        <w:t xml:space="preserve">APPENDIX B — INDIVIDUAL CONTRIBUTIONS ACROSS ALL SPRINTS</w:t>
      </w:r>
    </w:p>
    <w:p>
      <w:pPr>
        <w:spacing w:after="60" w:before="160"/>
      </w:pPr>
      <w:r>
        <w:rPr>
          <w:rFonts w:ascii="Calibri" w:cs="Calibri" w:eastAsia="Calibri" w:hAnsi="Calibri"/>
          <w:b/>
          <w:bCs/>
          <w:i/>
          <w:iCs/>
          <w:sz w:val="22"/>
          <w:szCs w:val="22"/>
        </w:rPr>
        <w:t xml:space="preserve">Table B.1 — Complete Backlog Item Ownership: Sprints 1–5</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700"/>
        <w:gridCol w:w="700"/>
        <w:gridCol w:w="2406"/>
      </w:tblGrid>
      <w:tr>
        <w:tc>
          <w:tcPr>
            <w:tcW w:type="dxa" w:w="7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ID</w:t>
            </w:r>
          </w:p>
        </w:tc>
        <w:tc>
          <w:tcPr>
            <w:tcW w:type="dxa" w:w="30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Task Description</w:t>
            </w:r>
          </w:p>
        </w:tc>
        <w:tc>
          <w:tcPr>
            <w:tcW w:type="dxa" w:w="17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Owner</w:t>
            </w:r>
          </w:p>
        </w:tc>
        <w:tc>
          <w:tcPr>
            <w:tcW w:type="dxa" w:w="700"/>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Hrs</w:t>
            </w:r>
          </w:p>
        </w:tc>
        <w:tc>
          <w:tcPr>
            <w:tcW w:type="dxa" w:w="2406"/>
            <w:tcBorders>
              <w:top w:val="single" w:color="auto" w:sz="4"/>
              <w:left w:val="single" w:color="auto" w:sz="4"/>
              <w:bottom w:val="single" w:color="auto" w:sz="4"/>
              <w:right w:val="single" w:color="auto" w:sz="4"/>
            </w:tcBorders>
            <w:shd w:fill="1F3864"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Status</w:t>
            </w:r>
          </w:p>
        </w:tc>
      </w:tr>
      <w:tr>
        <w:tc>
          <w:tcPr>
            <w:tcW w:type="dxa" w:w="9506"/>
            <w:tcBorders>
              <w:top w:val="single" w:color="auto" w:sz="4"/>
              <w:left w:val="single" w:color="auto" w:sz="4"/>
              <w:bottom w:val="single" w:color="auto" w:sz="4"/>
              <w:right w:val="single" w:color="auto" w:sz="4"/>
            </w:tcBorders>
            <w:shd w:fill="1F3864" w:val="clear"/>
            <w:tcMar>
              <w:top w:type="dxa" w:w="20"/>
              <w:left w:type="dxa" w:w="80"/>
              <w:bottom w:type="dxa" w:w="20"/>
              <w:right w:type="dxa" w:w="80"/>
            </w:tcMar>
          </w:tcPr>
          <w:p>
            <w:r>
              <w:rPr>
                <w:rFonts w:ascii="Calibri" w:cs="Calibri" w:eastAsia="Calibri" w:hAnsi="Calibri"/>
                <w:b/>
                <w:bCs/>
                <w:color w:val="FFFFFF"/>
                <w:sz w:val="20"/>
                <w:szCs w:val="20"/>
              </w:rPr>
              <w:t xml:space="preserve">SPRINT 1 — EDA (Scrum Master: Maha)</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S1-01</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Dataset acquisition and setup</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Maha</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3h</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S1-02</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Data quality assessment</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Ghadeer</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3h</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S1-03</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EDA notebook</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Hadeel</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5h</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S1-04</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Churn driver analysis</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Maha</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4h</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S1-05</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Statistical validation</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All</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3h</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S1-06</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Visualisation charts (12 total)</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Ghadeer</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4h</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S1-07</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EDA report compilation</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Hadeel</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3h</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S1-08</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Sprint 1 report</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Maha SM</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3h</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9506"/>
            <w:tcBorders>
              <w:top w:val="single" w:color="auto" w:sz="4"/>
              <w:left w:val="single" w:color="auto" w:sz="4"/>
              <w:bottom w:val="single" w:color="auto" w:sz="4"/>
              <w:right w:val="single" w:color="auto" w:sz="4"/>
            </w:tcBorders>
            <w:shd w:fill="1F3864" w:val="clear"/>
            <w:tcMar>
              <w:top w:type="dxa" w:w="20"/>
              <w:left w:type="dxa" w:w="80"/>
              <w:bottom w:type="dxa" w:w="20"/>
              <w:right w:type="dxa" w:w="80"/>
            </w:tcMar>
          </w:tcPr>
          <w:p>
            <w:r>
              <w:rPr>
                <w:rFonts w:ascii="Calibri" w:cs="Calibri" w:eastAsia="Calibri" w:hAnsi="Calibri"/>
                <w:b/>
                <w:bCs/>
                <w:color w:val="FFFFFF"/>
                <w:sz w:val="20"/>
                <w:szCs w:val="20"/>
              </w:rPr>
              <w:t xml:space="preserve">SPRINT 2 — BASELINE MODEL (Scrum Master: Hadeel)</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S2-01</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Preprocessing pipeline implementation</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Maha</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4h</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S2-02</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Feature encoding and scaling</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Ghadeer</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3h</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S2-03</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Logistic Regression training</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Maha</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3h</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S2-04</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Model evaluation metrics</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Hadeel</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3h</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S2-05</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ROC-AUC and threshold analysis</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All</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3h</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S2-06</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Visualisation (confusion matrix, ROC)</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Ghadeer</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3h</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S2-07</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Sprint 2 report</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Hadeel SM</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3h</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9506"/>
            <w:tcBorders>
              <w:top w:val="single" w:color="auto" w:sz="4"/>
              <w:left w:val="single" w:color="auto" w:sz="4"/>
              <w:bottom w:val="single" w:color="auto" w:sz="4"/>
              <w:right w:val="single" w:color="auto" w:sz="4"/>
            </w:tcBorders>
            <w:shd w:fill="1F3864" w:val="clear"/>
            <w:tcMar>
              <w:top w:type="dxa" w:w="20"/>
              <w:left w:type="dxa" w:w="80"/>
              <w:bottom w:type="dxa" w:w="20"/>
              <w:right w:type="dxa" w:w="80"/>
            </w:tcMar>
          </w:tcPr>
          <w:p>
            <w:r>
              <w:rPr>
                <w:rFonts w:ascii="Calibri" w:cs="Calibri" w:eastAsia="Calibri" w:hAnsi="Calibri"/>
                <w:b/>
                <w:bCs/>
                <w:color w:val="FFFFFF"/>
                <w:sz w:val="20"/>
                <w:szCs w:val="20"/>
              </w:rPr>
              <w:t xml:space="preserve">SPRINT 3 — ENSEMBLE MODELS (Scrum Master: Hadeel)</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S3-01</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Random Forest training</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Maha</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4h</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S3-02</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XGBoost training</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Maha</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4h</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S3-03</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LightGBM training</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Ghadeer</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4h</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S3-04</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Hyperparameter documentation</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Maha</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3h</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S3-05</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Model comparison analysis</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Hadeel</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4h</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S3-06</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Feature importance analysis</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Hadeel</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4h</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S3-07</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Evaluation plots (6 charts)</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Ghadeer</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3h</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S3-08</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Model selection (XGBoost)</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All</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2h</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S3-09</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Sprint 3 report</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Hadeel SM</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3h</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9506"/>
            <w:tcBorders>
              <w:top w:val="single" w:color="auto" w:sz="4"/>
              <w:left w:val="single" w:color="auto" w:sz="4"/>
              <w:bottom w:val="single" w:color="auto" w:sz="4"/>
              <w:right w:val="single" w:color="auto" w:sz="4"/>
            </w:tcBorders>
            <w:shd w:fill="1F3864" w:val="clear"/>
            <w:tcMar>
              <w:top w:type="dxa" w:w="20"/>
              <w:left w:type="dxa" w:w="80"/>
              <w:bottom w:type="dxa" w:w="20"/>
              <w:right w:type="dxa" w:w="80"/>
            </w:tcMar>
          </w:tcPr>
          <w:p>
            <w:r>
              <w:rPr>
                <w:rFonts w:ascii="Calibri" w:cs="Calibri" w:eastAsia="Calibri" w:hAnsi="Calibri"/>
                <w:b/>
                <w:bCs/>
                <w:color w:val="FFFFFF"/>
                <w:sz w:val="20"/>
                <w:szCs w:val="20"/>
              </w:rPr>
              <w:t xml:space="preserve">SPRINT 4 — STREAMLIT DASHBOARD (Scrum Master: Ghadeer)</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S4-01</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App architecture + utils.py + sidebar</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Ghadeer</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3h</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S4-02</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Page 1 Executive Dashboard</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Maha</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5h</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S4-03</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Page 2 Churn Predictor</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Maha</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6h</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S4-04</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Page 3 Advanced Analytics</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Hadeel</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5h</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S4-05</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Page 4 Customer Segmentation</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Ghadeer</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5h</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S4-06</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Page 5 Model Performance</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Hadeel</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4h</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S4-07</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XGBoost pkl integration + validation</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Ghadeer</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4h</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S4-08</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User testing + KPI 5 validation</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All</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3h</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S4-09</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Sprint 4 report</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Ghadeer SM</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3h</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9506"/>
            <w:tcBorders>
              <w:top w:val="single" w:color="auto" w:sz="4"/>
              <w:left w:val="single" w:color="auto" w:sz="4"/>
              <w:bottom w:val="single" w:color="auto" w:sz="4"/>
              <w:right w:val="single" w:color="auto" w:sz="4"/>
            </w:tcBorders>
            <w:shd w:fill="1F3864" w:val="clear"/>
            <w:tcMar>
              <w:top w:type="dxa" w:w="20"/>
              <w:left w:type="dxa" w:w="80"/>
              <w:bottom w:type="dxa" w:w="20"/>
              <w:right w:type="dxa" w:w="80"/>
            </w:tcMar>
          </w:tcPr>
          <w:p>
            <w:r>
              <w:rPr>
                <w:rFonts w:ascii="Calibri" w:cs="Calibri" w:eastAsia="Calibri" w:hAnsi="Calibri"/>
                <w:b/>
                <w:bCs/>
                <w:color w:val="FFFFFF"/>
                <w:sz w:val="20"/>
                <w:szCs w:val="20"/>
              </w:rPr>
              <w:t xml:space="preserve">SPRINT 5 — FINAL DELIVERABLES (Scrum Master: Maha)</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S5-01</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Final Technical Report</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All</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10h</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S5-02</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Presentation slides (14 slides)</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Hadeel</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5h</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S5-03</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Demo video (9 min)</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Ghadeer</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3h</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S5-04</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SHAP chart + smoke test</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Maha</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4h</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S5-05</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System integration testing</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Ghadeer</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3h</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r>
        <w:tc>
          <w:tcPr>
            <w:tcW w:type="dxa" w:w="700"/>
            <w:tcBorders>
              <w:top w:val="single" w:color="auto" w:sz="4"/>
              <w:left w:val="single" w:color="auto" w:sz="4"/>
              <w:bottom w:val="single" w:color="auto" w:sz="4"/>
              <w:right w:val="single" w:color="auto" w:sz="4"/>
            </w:tcBorders>
            <w:shd w:fill="F2F2F2" w:val="clear"/>
            <w:tcMar>
              <w:top w:type="dxa" w:w="40"/>
              <w:left w:type="dxa" w:w="80"/>
              <w:bottom w:type="dxa" w:w="40"/>
              <w:right w:type="dxa" w:w="80"/>
            </w:tcMar>
            <w:vAlign w:val="center"/>
          </w:tcPr>
          <w:p>
            <w:pPr>
              <w:jc w:val="center"/>
            </w:pPr>
            <w:r>
              <w:rPr>
                <w:rFonts w:ascii="Calibri" w:cs="Calibri" w:eastAsia="Calibri" w:hAnsi="Calibri"/>
                <w:b/>
                <w:bCs/>
                <w:i w:val="false"/>
                <w:iCs w:val="false"/>
                <w:color w:val="000000"/>
                <w:sz w:val="20"/>
                <w:szCs w:val="20"/>
              </w:rPr>
              <w:t xml:space="preserve">S5-06</w:t>
            </w:r>
          </w:p>
        </w:tc>
        <w:tc>
          <w:tcPr>
            <w:tcW w:type="dxa" w:w="30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Blackboard submission</w:t>
            </w:r>
          </w:p>
        </w:tc>
        <w:tc>
          <w:tcPr>
            <w:tcW w:type="dxa" w:w="1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20"/>
                <w:szCs w:val="20"/>
              </w:rPr>
              <w:t xml:space="preserve">Maha SM</w:t>
            </w:r>
          </w:p>
        </w:tc>
        <w:tc>
          <w:tcPr>
            <w:tcW w:type="dxa" w:w="700"/>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20"/>
                <w:szCs w:val="20"/>
              </w:rPr>
              <w:t xml:space="preserve">2h</w:t>
            </w:r>
          </w:p>
        </w:tc>
        <w:tc>
          <w:tcPr>
            <w:tcW w:type="dxa" w:w="2406"/>
            <w:tcBorders>
              <w:top w:val="single" w:color="auto" w:sz="4"/>
              <w:left w:val="single" w:color="auto" w:sz="4"/>
              <w:bottom w:val="single" w:color="auto" w:sz="4"/>
              <w:right w:val="single" w:color="auto" w:sz="4"/>
            </w:tcBorders>
            <w:tcMar>
              <w:top w:type="dxa" w:w="40"/>
              <w:left w:type="dxa" w:w="80"/>
              <w:bottom w:type="dxa" w:w="40"/>
              <w:right w:type="dxa" w:w="80"/>
            </w:tcMar>
            <w:vAlign w:val="center"/>
          </w:tcPr>
          <w:p>
            <w:pPr>
              <w:jc w:val="center"/>
            </w:pPr>
            <w:r>
              <w:rPr>
                <w:rFonts w:ascii="Calibri" w:cs="Calibri" w:eastAsia="Calibri" w:hAnsi="Calibri"/>
                <w:b/>
                <w:bCs/>
                <w:i w:val="false"/>
                <w:iCs w:val="false"/>
                <w:color w:val="375623"/>
                <w:sz w:val="20"/>
                <w:szCs w:val="20"/>
              </w:rPr>
              <w:t xml:space="preserve">Done ✅</w:t>
            </w:r>
          </w:p>
        </w:tc>
      </w:tr>
    </w:tbl>
    <w:p>
      <w:pPr>
        <w:spacing w:after="80" w:before="0"/>
      </w:pPr>
    </w:p>
    <w:p>
      <w:pPr>
        <w:spacing w:after="80" w:before="60" w:line="276" w:lineRule="auto"/>
        <w:jc w:val="center"/>
      </w:pPr>
      <w:r>
        <w:rPr>
          <w:rFonts w:ascii="Calibri" w:cs="Calibri" w:eastAsia="Calibri" w:hAnsi="Calibri"/>
          <w:b w:val="false"/>
          <w:bCs w:val="false"/>
          <w:i w:val="false"/>
          <w:iCs w:val="false"/>
          <w:color w:val="000000"/>
          <w:sz w:val="22"/>
          <w:szCs w:val="22"/>
        </w:rPr>
        <w:t xml:space="preserve">Total project effort: 39 backlog items  |  Estimated 160+ person-hours  |  5 Scrum Master rotations  |  10 supervisor meetings  |  0 blockers in any sprint</w:t>
      </w:r>
    </w:p>
    <w:sectPr>
      <w:headerReference w:type="default" r:id="rId7"/>
      <w:footerReference w:type="default" r:id="rId8"/>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2" w:space="0"/>
      </w:pBdr>
      <w:spacing w:before="60"/>
      <w:jc w:val="center"/>
    </w:pPr>
    <w:r>
      <w:rPr>
        <w:color w:val="888888"/>
        <w:sz w:val="18"/>
        <w:szCs w:val="18"/>
      </w:rPr>
      <w:fldChar w:fldCharType="begin"/>
    </w:r>
    <w:r>
      <w:rPr>
        <w:color w:val="888888"/>
        <w:sz w:val="18"/>
        <w:szCs w:val="18"/>
      </w:rPr>
      <w:instrText xml:space="preserve"> PAGE </w:instrText>
    </w:r>
    <w:r>
      <w:rPr>
        <w:color w:val="888888"/>
        <w:sz w:val="18"/>
        <w:szCs w:val="18"/>
      </w:rPr>
      <w:fldChar w:fldCharType="separate"/>
    </w:r>
    <w:r>
      <w:rPr>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0"/>
      </w:pBdr>
      <w:spacing w:after="60"/>
    </w:pPr>
    <w:r>
      <w:rPr>
        <w:rFonts w:ascii="Calibri" w:cs="Calibri" w:eastAsia="Calibri" w:hAnsi="Calibri"/>
        <w:b/>
        <w:bCs/>
        <w:color w:val="595959"/>
        <w:sz w:val="18"/>
        <w:szCs w:val="18"/>
      </w:rPr>
      <w:t xml:space="preserve">BIS405 — Graduation Project | Group 3 | Final Technical Report | Academic Year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2026-03-27T06:27:17.218Z</dcterms:created>
  <dcterms:modified xsi:type="dcterms:W3CDTF">2026-03-27T06:27:17.219Z</dcterms:modified>
</cp:coreProperties>
</file>

<file path=docProps/custom.xml><?xml version="1.0" encoding="utf-8"?>
<Properties xmlns="http://schemas.openxmlformats.org/officeDocument/2006/custom-properties" xmlns:vt="http://schemas.openxmlformats.org/officeDocument/2006/docPropsVTypes"/>
</file>