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D73A" w14:textId="20815BA1" w:rsidR="006178E8" w:rsidRPr="00712AF2" w:rsidRDefault="00032D6D" w:rsidP="00032D6D">
      <w:pPr>
        <w:jc w:val="center"/>
        <w:rPr>
          <w:rFonts w:asciiTheme="majorBidi" w:hAnsiTheme="majorBidi" w:cstheme="majorBidi"/>
          <w:b/>
          <w:bCs/>
          <w:sz w:val="28"/>
          <w:szCs w:val="28"/>
        </w:rPr>
      </w:pPr>
      <w:r w:rsidRPr="00712AF2">
        <w:rPr>
          <w:rFonts w:asciiTheme="majorBidi" w:hAnsiTheme="majorBidi" w:cstheme="majorBidi"/>
          <w:b/>
          <w:bCs/>
          <w:sz w:val="28"/>
          <w:szCs w:val="28"/>
        </w:rPr>
        <w:t>Digita</w:t>
      </w:r>
      <w:r w:rsidR="007B562E" w:rsidRPr="00712AF2">
        <w:rPr>
          <w:rFonts w:asciiTheme="majorBidi" w:hAnsiTheme="majorBidi" w:cstheme="majorBidi"/>
          <w:b/>
          <w:bCs/>
          <w:sz w:val="28"/>
          <w:szCs w:val="28"/>
        </w:rPr>
        <w:t>l</w:t>
      </w:r>
      <w:r w:rsidRPr="00712AF2">
        <w:rPr>
          <w:rFonts w:asciiTheme="majorBidi" w:hAnsiTheme="majorBidi" w:cstheme="majorBidi"/>
          <w:b/>
          <w:bCs/>
          <w:sz w:val="28"/>
          <w:szCs w:val="28"/>
        </w:rPr>
        <w:t xml:space="preserve"> </w:t>
      </w:r>
      <w:r w:rsidR="007B562E" w:rsidRPr="00712AF2">
        <w:rPr>
          <w:rFonts w:asciiTheme="majorBidi" w:hAnsiTheme="majorBidi" w:cstheme="majorBidi"/>
          <w:b/>
          <w:bCs/>
          <w:sz w:val="28"/>
          <w:szCs w:val="28"/>
        </w:rPr>
        <w:t>P</w:t>
      </w:r>
      <w:r w:rsidRPr="00712AF2">
        <w:rPr>
          <w:rFonts w:asciiTheme="majorBidi" w:hAnsiTheme="majorBidi" w:cstheme="majorBidi"/>
          <w:b/>
          <w:bCs/>
          <w:sz w:val="28"/>
          <w:szCs w:val="28"/>
        </w:rPr>
        <w:t xml:space="preserve">ublic </w:t>
      </w:r>
      <w:r w:rsidR="007B562E" w:rsidRPr="00712AF2">
        <w:rPr>
          <w:rFonts w:asciiTheme="majorBidi" w:hAnsiTheme="majorBidi" w:cstheme="majorBidi"/>
          <w:b/>
          <w:bCs/>
          <w:sz w:val="28"/>
          <w:szCs w:val="28"/>
        </w:rPr>
        <w:t>G</w:t>
      </w:r>
      <w:r w:rsidRPr="00712AF2">
        <w:rPr>
          <w:rFonts w:asciiTheme="majorBidi" w:hAnsiTheme="majorBidi" w:cstheme="majorBidi"/>
          <w:b/>
          <w:bCs/>
          <w:sz w:val="28"/>
          <w:szCs w:val="28"/>
        </w:rPr>
        <w:t>oods</w:t>
      </w:r>
    </w:p>
    <w:p w14:paraId="1DA4F8B2" w14:textId="5CE589E5" w:rsidR="00D35791" w:rsidRPr="00712AF2" w:rsidRDefault="00D35791" w:rsidP="00032D6D">
      <w:pPr>
        <w:jc w:val="center"/>
        <w:rPr>
          <w:rFonts w:asciiTheme="majorBidi" w:hAnsiTheme="majorBidi" w:cstheme="majorBidi"/>
          <w:b/>
          <w:bCs/>
          <w:sz w:val="24"/>
          <w:szCs w:val="24"/>
        </w:rPr>
      </w:pPr>
    </w:p>
    <w:p w14:paraId="6CE81019" w14:textId="585B5087" w:rsidR="00D35791" w:rsidRPr="00712AF2" w:rsidRDefault="00D35791" w:rsidP="00D35791">
      <w:pPr>
        <w:jc w:val="right"/>
        <w:rPr>
          <w:rFonts w:asciiTheme="majorBidi" w:hAnsiTheme="majorBidi" w:cstheme="majorBidi"/>
          <w:b/>
          <w:bCs/>
          <w:sz w:val="28"/>
          <w:szCs w:val="28"/>
        </w:rPr>
      </w:pPr>
      <w:r w:rsidRPr="00712AF2">
        <w:rPr>
          <w:rFonts w:asciiTheme="majorBidi" w:hAnsiTheme="majorBidi" w:cstheme="majorBidi"/>
          <w:b/>
          <w:bCs/>
          <w:sz w:val="28"/>
          <w:szCs w:val="28"/>
        </w:rPr>
        <w:t>Introduction</w:t>
      </w:r>
    </w:p>
    <w:p w14:paraId="1B82DD26" w14:textId="73C5327A" w:rsidR="00D35791" w:rsidRPr="00712AF2" w:rsidRDefault="00D35791" w:rsidP="00D35791">
      <w:pPr>
        <w:jc w:val="right"/>
        <w:rPr>
          <w:rFonts w:asciiTheme="majorBidi" w:hAnsiTheme="majorBidi" w:cstheme="majorBidi"/>
          <w:sz w:val="24"/>
          <w:szCs w:val="24"/>
        </w:rPr>
      </w:pPr>
      <w:r w:rsidRPr="00712AF2">
        <w:rPr>
          <w:rFonts w:asciiTheme="majorBidi" w:hAnsiTheme="majorBidi" w:cstheme="majorBidi"/>
          <w:sz w:val="24"/>
          <w:szCs w:val="24"/>
        </w:rPr>
        <w:t xml:space="preserve">Today, there is an unprecedented opportunity for low- and middle-income counties to harness digital resources to help accelerate development. That’s why improving access </w:t>
      </w:r>
      <w:r w:rsidR="00ED21C3" w:rsidRPr="00712AF2">
        <w:rPr>
          <w:rFonts w:asciiTheme="majorBidi" w:hAnsiTheme="majorBidi" w:cstheme="majorBidi"/>
          <w:sz w:val="24"/>
          <w:szCs w:val="24"/>
        </w:rPr>
        <w:t>to,</w:t>
      </w:r>
      <w:r w:rsidRPr="00712AF2">
        <w:rPr>
          <w:rFonts w:asciiTheme="majorBidi" w:hAnsiTheme="majorBidi" w:cstheme="majorBidi"/>
          <w:sz w:val="24"/>
          <w:szCs w:val="24"/>
        </w:rPr>
        <w:t xml:space="preserve"> and discoverability of digital public goods (DPGs) is crucial. And while much of the conversation and interest in digital public goods has been related to open-source software, digital public goods are much more than software. According to the UN Secretary-General’s Roadmap for Digital Cooperation, DPGs include not only open-source software, but open-source: content, AI models, standards, and data.[3]</w:t>
      </w:r>
      <w:r w:rsidRPr="00712AF2">
        <w:rPr>
          <w:rFonts w:asciiTheme="majorBidi" w:hAnsiTheme="majorBidi" w:cstheme="majorBidi"/>
          <w:sz w:val="24"/>
          <w:szCs w:val="24"/>
          <w:rtl/>
        </w:rPr>
        <w:t>.</w:t>
      </w:r>
    </w:p>
    <w:p w14:paraId="11A1664A" w14:textId="77DDF1AE" w:rsidR="00D35791" w:rsidRPr="00712AF2" w:rsidRDefault="00D35791" w:rsidP="00D35791">
      <w:pPr>
        <w:jc w:val="right"/>
        <w:rPr>
          <w:rFonts w:asciiTheme="majorBidi" w:hAnsiTheme="majorBidi" w:cstheme="majorBidi"/>
          <w:b/>
          <w:bCs/>
          <w:sz w:val="24"/>
          <w:szCs w:val="24"/>
        </w:rPr>
      </w:pPr>
    </w:p>
    <w:p w14:paraId="2295EF70" w14:textId="6D0F736D" w:rsidR="00032D6D" w:rsidRPr="00712AF2" w:rsidRDefault="00032D6D" w:rsidP="00032D6D">
      <w:pPr>
        <w:jc w:val="right"/>
        <w:rPr>
          <w:rFonts w:asciiTheme="majorBidi" w:hAnsiTheme="majorBidi" w:cstheme="majorBidi" w:hint="cs"/>
          <w:rtl/>
        </w:rPr>
      </w:pPr>
    </w:p>
    <w:p w14:paraId="61531051" w14:textId="25C1D97E" w:rsidR="00EC5F99" w:rsidRPr="00712AF2" w:rsidRDefault="00736570" w:rsidP="0065073A">
      <w:pPr>
        <w:pStyle w:val="a3"/>
        <w:spacing w:before="0" w:beforeAutospacing="0" w:after="0" w:afterAutospacing="0"/>
        <w:rPr>
          <w:rFonts w:asciiTheme="majorBidi" w:hAnsiTheme="majorBidi" w:cstheme="majorBidi"/>
          <w:b/>
          <w:bCs/>
          <w:sz w:val="28"/>
          <w:szCs w:val="28"/>
        </w:rPr>
      </w:pPr>
      <w:r w:rsidRPr="00712AF2">
        <w:rPr>
          <w:rFonts w:asciiTheme="majorBidi" w:hAnsiTheme="majorBidi" w:cstheme="majorBidi"/>
          <w:b/>
          <w:bCs/>
          <w:sz w:val="28"/>
          <w:szCs w:val="28"/>
        </w:rPr>
        <w:t>W</w:t>
      </w:r>
      <w:r w:rsidR="00032D6D" w:rsidRPr="00712AF2">
        <w:rPr>
          <w:rFonts w:asciiTheme="majorBidi" w:hAnsiTheme="majorBidi" w:cstheme="majorBidi"/>
          <w:b/>
          <w:bCs/>
          <w:sz w:val="28"/>
          <w:szCs w:val="28"/>
        </w:rPr>
        <w:t xml:space="preserve">hat </w:t>
      </w:r>
      <w:proofErr w:type="gramStart"/>
      <w:r w:rsidR="00032D6D" w:rsidRPr="00712AF2">
        <w:rPr>
          <w:rFonts w:asciiTheme="majorBidi" w:hAnsiTheme="majorBidi" w:cstheme="majorBidi"/>
          <w:b/>
          <w:bCs/>
          <w:sz w:val="28"/>
          <w:szCs w:val="28"/>
        </w:rPr>
        <w:t>is</w:t>
      </w:r>
      <w:proofErr w:type="gramEnd"/>
      <w:r w:rsidR="00032D6D" w:rsidRPr="00712AF2">
        <w:rPr>
          <w:rFonts w:asciiTheme="majorBidi" w:hAnsiTheme="majorBidi" w:cstheme="majorBidi"/>
          <w:b/>
          <w:bCs/>
          <w:sz w:val="28"/>
          <w:szCs w:val="28"/>
        </w:rPr>
        <w:t xml:space="preserve"> digital public goods? </w:t>
      </w:r>
    </w:p>
    <w:p w14:paraId="6C5D91BC" w14:textId="4760756C" w:rsidR="00631298" w:rsidRPr="00712AF2" w:rsidRDefault="00631298" w:rsidP="00EE5B6B">
      <w:pPr>
        <w:pStyle w:val="a3"/>
        <w:spacing w:after="0"/>
        <w:rPr>
          <w:rFonts w:asciiTheme="majorBidi" w:hAnsiTheme="majorBidi" w:cstheme="majorBidi"/>
        </w:rPr>
      </w:pPr>
      <w:r w:rsidRPr="00712AF2">
        <w:rPr>
          <w:rFonts w:asciiTheme="majorBidi" w:hAnsiTheme="majorBidi" w:cstheme="majorBidi"/>
        </w:rPr>
        <w:t>The UN Secretary-General’s High-level Roadmap for Digital Cooperation defines digital public goods as “open-source software, open data, open artificial intelligence models, open standards and open content that adhere to privacy and other applicable international and domestic laws, standards and best practices and do no harm” (United Nations, 2020, p. 35). The same report states that “digital public goods are essential in unlocking the full potential of digital technologies and data to attain the Sustainable Development Goals, in particular for low- and middle-income countries” (United Nations, 2020, p. 8).</w:t>
      </w:r>
    </w:p>
    <w:p w14:paraId="5192DB1D" w14:textId="77777777" w:rsidR="00712AF2" w:rsidRPr="00712AF2" w:rsidRDefault="00712AF2" w:rsidP="00712AF2">
      <w:pPr>
        <w:pStyle w:val="a3"/>
        <w:spacing w:before="0" w:beforeAutospacing="0" w:after="0" w:afterAutospacing="0"/>
        <w:rPr>
          <w:rFonts w:asciiTheme="majorBidi" w:hAnsiTheme="majorBidi" w:cstheme="majorBidi"/>
          <w:b/>
          <w:bCs/>
        </w:rPr>
      </w:pPr>
      <w:r w:rsidRPr="00712AF2">
        <w:rPr>
          <w:rFonts w:asciiTheme="majorBidi" w:hAnsiTheme="majorBidi" w:cstheme="majorBidi"/>
          <w:b/>
          <w:bCs/>
          <w:sz w:val="28"/>
          <w:szCs w:val="28"/>
        </w:rPr>
        <w:t>Digital Public Goods Alliance</w:t>
      </w:r>
    </w:p>
    <w:p w14:paraId="09ECD409" w14:textId="77777777" w:rsidR="00712AF2" w:rsidRPr="00712AF2" w:rsidRDefault="00712AF2" w:rsidP="00712AF2">
      <w:pPr>
        <w:pStyle w:val="a3"/>
        <w:spacing w:before="0" w:beforeAutospacing="0" w:after="0" w:afterAutospacing="0"/>
        <w:rPr>
          <w:rFonts w:asciiTheme="majorBidi" w:hAnsiTheme="majorBidi" w:cstheme="majorBidi"/>
          <w:sz w:val="22"/>
          <w:szCs w:val="22"/>
        </w:rPr>
      </w:pPr>
    </w:p>
    <w:p w14:paraId="5D8F1158" w14:textId="77777777" w:rsidR="00712AF2" w:rsidRPr="00712AF2" w:rsidRDefault="00712AF2" w:rsidP="00712AF2">
      <w:pPr>
        <w:pStyle w:val="a3"/>
        <w:spacing w:before="0" w:beforeAutospacing="0" w:after="0" w:afterAutospacing="0"/>
        <w:rPr>
          <w:rFonts w:asciiTheme="majorBidi" w:hAnsiTheme="majorBidi" w:cstheme="majorBidi"/>
          <w:sz w:val="22"/>
          <w:szCs w:val="22"/>
        </w:rPr>
      </w:pPr>
      <w:r w:rsidRPr="00712AF2">
        <w:rPr>
          <w:rFonts w:asciiTheme="majorBidi" w:hAnsiTheme="majorBidi" w:cstheme="majorBidi"/>
          <w:sz w:val="22"/>
          <w:szCs w:val="22"/>
        </w:rPr>
        <w:t>The Digital Public Goods Alliance is a multi-stakeholder initiative with a mission to accelerate the attainment of the sustainable development goals in low- and middle-income countries by facilitating the discovery, development, use of, and investment in digital public goods.[3]</w:t>
      </w:r>
    </w:p>
    <w:p w14:paraId="54994006" w14:textId="77777777" w:rsidR="00712AF2" w:rsidRPr="00712AF2" w:rsidRDefault="00712AF2" w:rsidP="00712AF2">
      <w:pPr>
        <w:pStyle w:val="a3"/>
        <w:spacing w:before="0" w:beforeAutospacing="0" w:after="0" w:afterAutospacing="0"/>
        <w:rPr>
          <w:rFonts w:asciiTheme="majorBidi" w:hAnsiTheme="majorBidi" w:cstheme="majorBidi"/>
          <w:sz w:val="22"/>
          <w:szCs w:val="22"/>
        </w:rPr>
      </w:pPr>
    </w:p>
    <w:p w14:paraId="163A04F8" w14:textId="77777777" w:rsidR="00712AF2" w:rsidRPr="00712AF2" w:rsidRDefault="00712AF2" w:rsidP="00712AF2">
      <w:pPr>
        <w:pStyle w:val="a3"/>
        <w:spacing w:before="0" w:beforeAutospacing="0" w:after="0" w:afterAutospacing="0"/>
        <w:rPr>
          <w:rFonts w:asciiTheme="majorBidi" w:hAnsiTheme="majorBidi" w:cstheme="majorBidi"/>
          <w:b/>
          <w:bCs/>
          <w:sz w:val="28"/>
          <w:szCs w:val="28"/>
        </w:rPr>
      </w:pPr>
      <w:r w:rsidRPr="00712AF2">
        <w:rPr>
          <w:rFonts w:asciiTheme="majorBidi" w:hAnsiTheme="majorBidi" w:cstheme="majorBidi"/>
          <w:b/>
          <w:bCs/>
          <w:sz w:val="28"/>
          <w:szCs w:val="28"/>
        </w:rPr>
        <w:t xml:space="preserve">Digital Public Goods Standard (DPG Standard) </w:t>
      </w:r>
    </w:p>
    <w:p w14:paraId="4ADD48F4" w14:textId="77777777" w:rsidR="00712AF2" w:rsidRPr="00712AF2" w:rsidRDefault="00712AF2" w:rsidP="00712AF2">
      <w:pPr>
        <w:pStyle w:val="a3"/>
        <w:spacing w:before="0" w:beforeAutospacing="0" w:after="0" w:afterAutospacing="0"/>
        <w:rPr>
          <w:rFonts w:asciiTheme="majorBidi" w:hAnsiTheme="majorBidi" w:cstheme="majorBidi"/>
        </w:rPr>
      </w:pPr>
    </w:p>
    <w:p w14:paraId="26448E96" w14:textId="77777777" w:rsidR="00712AF2" w:rsidRPr="00712AF2" w:rsidRDefault="00712AF2" w:rsidP="00712AF2">
      <w:pPr>
        <w:pStyle w:val="a3"/>
        <w:spacing w:before="0" w:beforeAutospacing="0" w:after="0" w:afterAutospacing="0"/>
        <w:rPr>
          <w:rFonts w:asciiTheme="majorBidi" w:hAnsiTheme="majorBidi" w:cstheme="majorBidi"/>
          <w:b/>
          <w:bCs/>
          <w:sz w:val="22"/>
          <w:szCs w:val="22"/>
        </w:rPr>
      </w:pPr>
      <w:r w:rsidRPr="00712AF2">
        <w:rPr>
          <w:rFonts w:asciiTheme="majorBidi" w:hAnsiTheme="majorBidi" w:cstheme="majorBidi"/>
        </w:rPr>
        <w:t xml:space="preserve">The DPG Standard establishes the baseline requirements that must be met </w:t>
      </w:r>
      <w:proofErr w:type="gramStart"/>
      <w:r w:rsidRPr="00712AF2">
        <w:rPr>
          <w:rFonts w:asciiTheme="majorBidi" w:hAnsiTheme="majorBidi" w:cstheme="majorBidi"/>
        </w:rPr>
        <w:t>in order to</w:t>
      </w:r>
      <w:proofErr w:type="gramEnd"/>
      <w:r w:rsidRPr="00712AF2">
        <w:rPr>
          <w:rFonts w:asciiTheme="majorBidi" w:hAnsiTheme="majorBidi" w:cstheme="majorBidi"/>
        </w:rPr>
        <w:t xml:space="preserve"> earn recognition as a digital public good (DPG). This standard is designed to complement other relevant principles such as the Principles for Digital Development and is applicable to DPGs in all sectors across the Sustainable Development Goals (SDGs). The DPG Standard is itself an open project, open to contribution on GitHub, and developed in collaboration with organizations and experts.[3]</w:t>
      </w:r>
    </w:p>
    <w:p w14:paraId="6A9F5635" w14:textId="7DBB0D10" w:rsidR="00032D6D" w:rsidRPr="00712AF2" w:rsidRDefault="00032D6D" w:rsidP="00032D6D">
      <w:pPr>
        <w:pStyle w:val="a3"/>
        <w:spacing w:before="0" w:beforeAutospacing="0" w:after="0" w:afterAutospacing="0"/>
        <w:rPr>
          <w:rFonts w:asciiTheme="majorBidi" w:hAnsiTheme="majorBidi" w:cstheme="majorBidi"/>
          <w:sz w:val="22"/>
          <w:szCs w:val="22"/>
        </w:rPr>
      </w:pPr>
    </w:p>
    <w:p w14:paraId="3786A3B0" w14:textId="77777777" w:rsidR="00032D6D" w:rsidRPr="00712AF2" w:rsidRDefault="00032D6D" w:rsidP="00032D6D">
      <w:pPr>
        <w:pStyle w:val="a3"/>
        <w:spacing w:before="0" w:beforeAutospacing="0" w:after="0" w:afterAutospacing="0"/>
        <w:rPr>
          <w:rFonts w:asciiTheme="majorBidi" w:hAnsiTheme="majorBidi" w:cstheme="majorBidi"/>
          <w:sz w:val="22"/>
          <w:szCs w:val="22"/>
        </w:rPr>
      </w:pPr>
    </w:p>
    <w:p w14:paraId="0BF1876A" w14:textId="680E837F" w:rsidR="00032D6D" w:rsidRPr="00712AF2" w:rsidRDefault="00631C71" w:rsidP="00032D6D">
      <w:pPr>
        <w:pStyle w:val="a3"/>
        <w:spacing w:before="0" w:beforeAutospacing="0" w:after="0" w:afterAutospacing="0"/>
        <w:rPr>
          <w:rFonts w:asciiTheme="majorBidi" w:hAnsiTheme="majorBidi" w:cstheme="majorBidi"/>
          <w:b/>
          <w:bCs/>
          <w:sz w:val="28"/>
          <w:szCs w:val="28"/>
        </w:rPr>
      </w:pPr>
      <w:r w:rsidRPr="00712AF2">
        <w:rPr>
          <w:rFonts w:asciiTheme="majorBidi" w:hAnsiTheme="majorBidi" w:cstheme="majorBidi"/>
          <w:b/>
          <w:bCs/>
          <w:sz w:val="28"/>
          <w:szCs w:val="28"/>
        </w:rPr>
        <w:t>C</w:t>
      </w:r>
      <w:r w:rsidR="00032D6D" w:rsidRPr="00712AF2">
        <w:rPr>
          <w:rFonts w:asciiTheme="majorBidi" w:hAnsiTheme="majorBidi" w:cstheme="majorBidi"/>
          <w:b/>
          <w:bCs/>
          <w:sz w:val="28"/>
          <w:szCs w:val="28"/>
        </w:rPr>
        <w:t>hallenges</w:t>
      </w:r>
      <w:r w:rsidRPr="00712AF2">
        <w:rPr>
          <w:rFonts w:asciiTheme="majorBidi" w:hAnsiTheme="majorBidi" w:cstheme="majorBidi"/>
          <w:b/>
          <w:bCs/>
          <w:sz w:val="28"/>
          <w:szCs w:val="28"/>
        </w:rPr>
        <w:t xml:space="preserve"> and Solutions</w:t>
      </w:r>
    </w:p>
    <w:p w14:paraId="0FD79A19" w14:textId="77777777" w:rsidR="00A87859" w:rsidRPr="00712AF2" w:rsidRDefault="00A87859" w:rsidP="00032D6D">
      <w:pPr>
        <w:pStyle w:val="a3"/>
        <w:spacing w:before="0" w:beforeAutospacing="0" w:after="0" w:afterAutospacing="0"/>
        <w:rPr>
          <w:rFonts w:asciiTheme="majorBidi" w:hAnsiTheme="majorBidi" w:cstheme="majorBidi"/>
          <w:b/>
          <w:bCs/>
        </w:rPr>
      </w:pPr>
    </w:p>
    <w:p w14:paraId="186D189B" w14:textId="049410FF" w:rsidR="00703C39" w:rsidRPr="00712AF2" w:rsidRDefault="002B203C" w:rsidP="006D1167">
      <w:pPr>
        <w:pStyle w:val="a3"/>
        <w:spacing w:before="0" w:beforeAutospacing="0" w:after="0" w:afterAutospacing="0"/>
        <w:rPr>
          <w:rFonts w:asciiTheme="majorBidi" w:hAnsiTheme="majorBidi" w:cstheme="majorBidi"/>
          <w:b/>
          <w:bCs/>
        </w:rPr>
      </w:pPr>
      <w:r w:rsidRPr="00712AF2">
        <w:rPr>
          <w:rFonts w:asciiTheme="majorBidi" w:hAnsiTheme="majorBidi" w:cstheme="majorBidi"/>
          <w:b/>
          <w:bCs/>
        </w:rPr>
        <w:t>B</w:t>
      </w:r>
      <w:r w:rsidR="00937273" w:rsidRPr="00712AF2">
        <w:rPr>
          <w:rFonts w:asciiTheme="majorBidi" w:hAnsiTheme="majorBidi" w:cstheme="majorBidi"/>
          <w:b/>
          <w:bCs/>
        </w:rPr>
        <w:t>uild and maintain the Internet:</w:t>
      </w:r>
      <w:r w:rsidR="006D1167" w:rsidRPr="00712AF2">
        <w:rPr>
          <w:rFonts w:asciiTheme="majorBidi" w:hAnsiTheme="majorBidi" w:cstheme="majorBidi"/>
          <w:b/>
          <w:bCs/>
        </w:rPr>
        <w:t xml:space="preserve"> </w:t>
      </w:r>
      <w:r w:rsidR="00703C39" w:rsidRPr="00712AF2">
        <w:rPr>
          <w:rFonts w:asciiTheme="majorBidi" w:hAnsiTheme="majorBidi" w:cstheme="majorBidi"/>
        </w:rPr>
        <w:t xml:space="preserve">Like all public goods, </w:t>
      </w:r>
      <w:proofErr w:type="gramStart"/>
      <w:r w:rsidR="00703C39" w:rsidRPr="00712AF2">
        <w:rPr>
          <w:rFonts w:asciiTheme="majorBidi" w:hAnsiTheme="majorBidi" w:cstheme="majorBidi"/>
        </w:rPr>
        <w:t>in order to</w:t>
      </w:r>
      <w:proofErr w:type="gramEnd"/>
      <w:r w:rsidR="00703C39" w:rsidRPr="00712AF2">
        <w:rPr>
          <w:rFonts w:asciiTheme="majorBidi" w:hAnsiTheme="majorBidi" w:cstheme="majorBidi"/>
        </w:rPr>
        <w:t xml:space="preserve"> manage the negative externalities associated with its universality, someone has to provide the resources required to build and maintain the Internet. For this reason, much funding </w:t>
      </w:r>
      <w:r w:rsidR="00703C39" w:rsidRPr="00712AF2">
        <w:rPr>
          <w:rFonts w:asciiTheme="majorBidi" w:hAnsiTheme="majorBidi" w:cstheme="majorBidi"/>
        </w:rPr>
        <w:lastRenderedPageBreak/>
        <w:t xml:space="preserve">for development of the Internet and tools to govern it where states are unable to do so themselves are invested by mature states’ international affairs or development departments or ministries, or the funding is provided to multilateral agencies or other third parties to </w:t>
      </w:r>
      <w:r w:rsidR="00ED21C3" w:rsidRPr="00712AF2">
        <w:rPr>
          <w:rFonts w:asciiTheme="majorBidi" w:hAnsiTheme="majorBidi" w:cstheme="majorBidi"/>
        </w:rPr>
        <w:t>do</w:t>
      </w:r>
      <w:r w:rsidR="00ED21C3" w:rsidRPr="00712AF2">
        <w:rPr>
          <w:rFonts w:asciiTheme="majorBidi" w:hAnsiTheme="majorBidi" w:cstheme="majorBidi"/>
          <w:sz w:val="22"/>
          <w:szCs w:val="22"/>
        </w:rPr>
        <w:t xml:space="preserve"> [</w:t>
      </w:r>
      <w:r w:rsidR="005A5528" w:rsidRPr="00712AF2">
        <w:rPr>
          <w:rFonts w:asciiTheme="majorBidi" w:hAnsiTheme="majorBidi" w:cstheme="majorBidi"/>
          <w:sz w:val="22"/>
          <w:szCs w:val="22"/>
        </w:rPr>
        <w:t>2]</w:t>
      </w:r>
      <w:r w:rsidR="00B22BA2" w:rsidRPr="00712AF2">
        <w:rPr>
          <w:rFonts w:asciiTheme="majorBidi" w:hAnsiTheme="majorBidi" w:cstheme="majorBidi"/>
          <w:sz w:val="22"/>
          <w:szCs w:val="22"/>
        </w:rPr>
        <w:t>.</w:t>
      </w:r>
    </w:p>
    <w:p w14:paraId="23F4D8EF" w14:textId="67C9343D" w:rsidR="006F1971" w:rsidRPr="00712AF2" w:rsidRDefault="006F1971" w:rsidP="00703C39">
      <w:pPr>
        <w:pStyle w:val="a3"/>
        <w:spacing w:before="0" w:beforeAutospacing="0" w:after="0" w:afterAutospacing="0"/>
        <w:rPr>
          <w:rFonts w:asciiTheme="majorBidi" w:hAnsiTheme="majorBidi" w:cstheme="majorBidi"/>
          <w:sz w:val="22"/>
          <w:szCs w:val="22"/>
        </w:rPr>
      </w:pPr>
    </w:p>
    <w:p w14:paraId="4AA7029A" w14:textId="7E92EEC4" w:rsidR="009B3BF2" w:rsidRPr="00712AF2" w:rsidRDefault="002B203C" w:rsidP="006D1167">
      <w:pPr>
        <w:pStyle w:val="a3"/>
        <w:spacing w:after="0"/>
        <w:rPr>
          <w:rFonts w:asciiTheme="majorBidi" w:hAnsiTheme="majorBidi" w:cstheme="majorBidi"/>
          <w:b/>
          <w:bCs/>
          <w:sz w:val="22"/>
          <w:szCs w:val="22"/>
        </w:rPr>
      </w:pPr>
      <w:r w:rsidRPr="00712AF2">
        <w:rPr>
          <w:rFonts w:asciiTheme="majorBidi" w:hAnsiTheme="majorBidi" w:cstheme="majorBidi"/>
          <w:b/>
          <w:bCs/>
          <w:sz w:val="22"/>
          <w:szCs w:val="22"/>
        </w:rPr>
        <w:t>S</w:t>
      </w:r>
      <w:r w:rsidR="00A87859" w:rsidRPr="00712AF2">
        <w:rPr>
          <w:rFonts w:asciiTheme="majorBidi" w:hAnsiTheme="majorBidi" w:cstheme="majorBidi"/>
          <w:b/>
          <w:bCs/>
          <w:sz w:val="22"/>
          <w:szCs w:val="22"/>
        </w:rPr>
        <w:t>upport for implementations of DPGs and services:</w:t>
      </w:r>
      <w:r w:rsidR="006D1167" w:rsidRPr="00712AF2">
        <w:rPr>
          <w:rFonts w:asciiTheme="majorBidi" w:hAnsiTheme="majorBidi" w:cstheme="majorBidi"/>
          <w:b/>
          <w:bCs/>
          <w:sz w:val="22"/>
          <w:szCs w:val="22"/>
        </w:rPr>
        <w:t xml:space="preserve"> </w:t>
      </w:r>
      <w:r w:rsidR="00937273" w:rsidRPr="00712AF2">
        <w:rPr>
          <w:rFonts w:asciiTheme="majorBidi" w:hAnsiTheme="majorBidi" w:cstheme="majorBidi"/>
          <w:sz w:val="22"/>
          <w:szCs w:val="22"/>
        </w:rPr>
        <w:t>In 2021, The Digital Impact Alliance (DIAL) approved a new five-year strategy, Digital Beacons, that includes support for country-wide implementations of digital public goods and services</w:t>
      </w:r>
      <w:r w:rsidR="006D1167" w:rsidRPr="00712AF2">
        <w:rPr>
          <w:rFonts w:asciiTheme="majorBidi" w:hAnsiTheme="majorBidi" w:cstheme="majorBidi"/>
          <w:sz w:val="22"/>
          <w:szCs w:val="22"/>
        </w:rPr>
        <w:t>.</w:t>
      </w:r>
      <w:r w:rsidR="00937273" w:rsidRPr="00712AF2">
        <w:rPr>
          <w:rFonts w:asciiTheme="majorBidi" w:hAnsiTheme="majorBidi" w:cstheme="majorBidi"/>
          <w:sz w:val="22"/>
          <w:szCs w:val="22"/>
        </w:rPr>
        <w:t xml:space="preserve"> By connecting, supporting, and scaling DPGs, DIAL helps development actors identify digital and data products best suited to their needs. This work included improving the user experience </w:t>
      </w:r>
      <w:proofErr w:type="gramStart"/>
      <w:r w:rsidR="00937273" w:rsidRPr="00712AF2">
        <w:rPr>
          <w:rFonts w:asciiTheme="majorBidi" w:hAnsiTheme="majorBidi" w:cstheme="majorBidi"/>
          <w:sz w:val="22"/>
          <w:szCs w:val="22"/>
        </w:rPr>
        <w:t>design  of</w:t>
      </w:r>
      <w:proofErr w:type="gramEnd"/>
      <w:r w:rsidR="00937273" w:rsidRPr="00712AF2">
        <w:rPr>
          <w:rFonts w:asciiTheme="majorBidi" w:hAnsiTheme="majorBidi" w:cstheme="majorBidi"/>
          <w:sz w:val="22"/>
          <w:szCs w:val="22"/>
        </w:rPr>
        <w:t xml:space="preserve"> Digital Solutions which features DPGs, and expanding the database to include data from GIZ, WHO and New America, adding 170 products and 3200 projects</w:t>
      </w:r>
      <w:r w:rsidR="00E62942" w:rsidRPr="00712AF2">
        <w:rPr>
          <w:rFonts w:asciiTheme="majorBidi" w:hAnsiTheme="majorBidi" w:cstheme="majorBidi"/>
          <w:b/>
          <w:bCs/>
          <w:sz w:val="22"/>
          <w:szCs w:val="22"/>
        </w:rPr>
        <w:t>.</w:t>
      </w:r>
    </w:p>
    <w:p w14:paraId="65DEBEB3" w14:textId="77777777" w:rsidR="00E62942" w:rsidRPr="00712AF2" w:rsidRDefault="00E62942" w:rsidP="006D1167">
      <w:pPr>
        <w:pStyle w:val="a3"/>
        <w:spacing w:after="0"/>
        <w:rPr>
          <w:rFonts w:asciiTheme="majorBidi" w:hAnsiTheme="majorBidi" w:cstheme="majorBidi"/>
          <w:b/>
          <w:bCs/>
          <w:sz w:val="22"/>
          <w:szCs w:val="22"/>
        </w:rPr>
      </w:pPr>
    </w:p>
    <w:p w14:paraId="207270D0" w14:textId="77777777" w:rsidR="0065073A" w:rsidRPr="00712AF2" w:rsidRDefault="0065073A" w:rsidP="0065073A">
      <w:pPr>
        <w:pStyle w:val="a3"/>
        <w:spacing w:before="0" w:beforeAutospacing="0" w:after="0" w:afterAutospacing="0"/>
        <w:rPr>
          <w:rFonts w:asciiTheme="majorBidi" w:hAnsiTheme="majorBidi" w:cstheme="majorBidi"/>
          <w:b/>
          <w:bCs/>
          <w:sz w:val="22"/>
          <w:szCs w:val="22"/>
        </w:rPr>
      </w:pPr>
    </w:p>
    <w:p w14:paraId="1E316783" w14:textId="314B5818" w:rsidR="00032D6D" w:rsidRPr="00712AF2" w:rsidRDefault="00631C71" w:rsidP="00032D6D">
      <w:pPr>
        <w:pStyle w:val="a3"/>
        <w:spacing w:before="0" w:beforeAutospacing="0" w:after="0" w:afterAutospacing="0"/>
        <w:rPr>
          <w:rFonts w:asciiTheme="majorBidi" w:hAnsiTheme="majorBidi" w:cstheme="majorBidi"/>
          <w:b/>
          <w:bCs/>
          <w:sz w:val="28"/>
          <w:szCs w:val="28"/>
        </w:rPr>
      </w:pPr>
      <w:r w:rsidRPr="00712AF2">
        <w:rPr>
          <w:rFonts w:asciiTheme="majorBidi" w:hAnsiTheme="majorBidi" w:cstheme="majorBidi"/>
          <w:b/>
          <w:bCs/>
          <w:sz w:val="28"/>
          <w:szCs w:val="28"/>
        </w:rPr>
        <w:t>T</w:t>
      </w:r>
      <w:r w:rsidR="00032D6D" w:rsidRPr="00712AF2">
        <w:rPr>
          <w:rFonts w:asciiTheme="majorBidi" w:hAnsiTheme="majorBidi" w:cstheme="majorBidi"/>
          <w:b/>
          <w:bCs/>
          <w:sz w:val="28"/>
          <w:szCs w:val="28"/>
        </w:rPr>
        <w:t>he stakeholder</w:t>
      </w:r>
    </w:p>
    <w:p w14:paraId="5F14DB00" w14:textId="77777777" w:rsidR="00703C39" w:rsidRPr="00712AF2" w:rsidRDefault="00703C39" w:rsidP="00032D6D">
      <w:pPr>
        <w:pStyle w:val="a3"/>
        <w:spacing w:before="0" w:beforeAutospacing="0" w:after="0" w:afterAutospacing="0"/>
        <w:rPr>
          <w:rFonts w:asciiTheme="majorBidi" w:hAnsiTheme="majorBidi" w:cstheme="majorBidi"/>
          <w:sz w:val="22"/>
          <w:szCs w:val="22"/>
        </w:rPr>
      </w:pPr>
    </w:p>
    <w:p w14:paraId="090668C2" w14:textId="011AB478" w:rsidR="00703C39" w:rsidRPr="00712AF2" w:rsidRDefault="00703C39" w:rsidP="00703C39">
      <w:pPr>
        <w:pStyle w:val="a3"/>
        <w:spacing w:before="0" w:beforeAutospacing="0" w:after="0" w:afterAutospacing="0"/>
        <w:rPr>
          <w:rFonts w:asciiTheme="majorBidi" w:hAnsiTheme="majorBidi" w:cstheme="majorBidi"/>
          <w:sz w:val="22"/>
          <w:szCs w:val="22"/>
        </w:rPr>
      </w:pPr>
      <w:r w:rsidRPr="00712AF2">
        <w:rPr>
          <w:rFonts w:asciiTheme="majorBidi" w:hAnsiTheme="majorBidi" w:cstheme="majorBidi"/>
        </w:rPr>
        <w:t xml:space="preserve">New </w:t>
      </w:r>
      <w:r w:rsidR="00750DDF" w:rsidRPr="00712AF2">
        <w:rPr>
          <w:rFonts w:asciiTheme="majorBidi" w:hAnsiTheme="majorBidi" w:cstheme="majorBidi"/>
        </w:rPr>
        <w:t>organizations</w:t>
      </w:r>
      <w:r w:rsidRPr="00712AF2">
        <w:rPr>
          <w:rFonts w:asciiTheme="majorBidi" w:hAnsiTheme="majorBidi" w:cstheme="majorBidi"/>
        </w:rPr>
        <w:t xml:space="preserve"> dedicated to Internet governance are not member state-based or driven but generally adopt a collaborative or ‘multistakeholder’ approach to governance, usually with predominance of one of the stakeholder groups (Van der Spuy, 2017). On a technical level, this includes policy platforms like the Internet Engineering Task Force (IETF) and the International Corporation for Assigned Names and Numbers (ICANN). Besides agencies such as the World Trade Organization (WTO) or World Intellectual Property Organization (WIPO) working toward the development of formal agreements between member states to enable free trade or the protection of intellectual property respectively, significant lobbying resources are now dedicated by global interests (e.g., the World Economic Forum), the global mobile industry association (GSMA), and even some big platforms and applications (e.g., Facebook and its WhatsApp and Instagram applications, or Google (Alphabet)) on convincing governments to enable their big data businesses to be more globally competitive by benefiting from the data of users in the global South.</w:t>
      </w:r>
      <w:r w:rsidR="005A5528" w:rsidRPr="00712AF2">
        <w:rPr>
          <w:rFonts w:asciiTheme="majorBidi" w:hAnsiTheme="majorBidi" w:cstheme="majorBidi"/>
          <w:sz w:val="22"/>
          <w:szCs w:val="22"/>
        </w:rPr>
        <w:t>[2]</w:t>
      </w:r>
    </w:p>
    <w:p w14:paraId="2683385F" w14:textId="13166E0E" w:rsidR="008E2F46" w:rsidRPr="00712AF2" w:rsidRDefault="008E2F46" w:rsidP="008E2F46">
      <w:pPr>
        <w:pStyle w:val="a3"/>
        <w:spacing w:before="0" w:beforeAutospacing="0" w:after="0" w:afterAutospacing="0"/>
        <w:rPr>
          <w:rFonts w:asciiTheme="majorBidi" w:hAnsiTheme="majorBidi" w:cstheme="majorBidi"/>
          <w:sz w:val="22"/>
          <w:szCs w:val="22"/>
        </w:rPr>
      </w:pPr>
    </w:p>
    <w:p w14:paraId="5E88C4E2" w14:textId="3FF5FBFA" w:rsidR="008E2F46" w:rsidRPr="00712AF2" w:rsidRDefault="008E2F46" w:rsidP="008E2F46">
      <w:pPr>
        <w:pStyle w:val="a3"/>
        <w:spacing w:before="0" w:beforeAutospacing="0" w:after="0" w:afterAutospacing="0"/>
        <w:rPr>
          <w:rFonts w:asciiTheme="majorBidi" w:hAnsiTheme="majorBidi" w:cstheme="majorBidi"/>
          <w:sz w:val="22"/>
          <w:szCs w:val="22"/>
        </w:rPr>
      </w:pPr>
    </w:p>
    <w:p w14:paraId="5AD0728C" w14:textId="09C73EB4" w:rsidR="008E2F46" w:rsidRPr="00712AF2" w:rsidRDefault="008E2F46" w:rsidP="008E2F46">
      <w:pPr>
        <w:pStyle w:val="a3"/>
        <w:spacing w:before="0" w:beforeAutospacing="0" w:after="0" w:afterAutospacing="0"/>
        <w:rPr>
          <w:rFonts w:asciiTheme="majorBidi" w:hAnsiTheme="majorBidi" w:cstheme="majorBidi"/>
          <w:sz w:val="22"/>
          <w:szCs w:val="22"/>
        </w:rPr>
      </w:pPr>
    </w:p>
    <w:p w14:paraId="707ABDE7" w14:textId="244787AA" w:rsidR="00EC5F99" w:rsidRPr="00712AF2" w:rsidRDefault="00EC5F99" w:rsidP="00692867">
      <w:pPr>
        <w:bidi w:val="0"/>
        <w:rPr>
          <w:rFonts w:asciiTheme="majorBidi" w:hAnsiTheme="majorBidi" w:cstheme="majorBidi"/>
        </w:rPr>
      </w:pPr>
      <w:r w:rsidRPr="00712AF2">
        <w:rPr>
          <w:rFonts w:asciiTheme="majorBidi" w:hAnsiTheme="majorBidi" w:cstheme="majorBidi"/>
        </w:rPr>
        <w:br w:type="page"/>
      </w:r>
    </w:p>
    <w:p w14:paraId="30D7D79C" w14:textId="77777777" w:rsidR="008E2F46" w:rsidRPr="00712AF2" w:rsidRDefault="008E2F46" w:rsidP="008E2F46">
      <w:pPr>
        <w:pStyle w:val="a3"/>
        <w:spacing w:before="0" w:beforeAutospacing="0" w:after="0" w:afterAutospacing="0"/>
        <w:rPr>
          <w:rFonts w:asciiTheme="majorBidi" w:hAnsiTheme="majorBidi" w:cstheme="majorBidi"/>
          <w:sz w:val="22"/>
          <w:szCs w:val="22"/>
        </w:rPr>
      </w:pPr>
    </w:p>
    <w:p w14:paraId="41964D19" w14:textId="3E1883D6" w:rsidR="008E2F46" w:rsidRPr="00712AF2" w:rsidRDefault="008E2F46" w:rsidP="008E2F46">
      <w:pPr>
        <w:pStyle w:val="a3"/>
        <w:spacing w:before="0" w:beforeAutospacing="0" w:after="0" w:afterAutospacing="0"/>
        <w:rPr>
          <w:rFonts w:asciiTheme="majorBidi" w:hAnsiTheme="majorBidi" w:cstheme="majorBidi"/>
          <w:sz w:val="22"/>
          <w:szCs w:val="22"/>
        </w:rPr>
      </w:pPr>
    </w:p>
    <w:p w14:paraId="4D8674B8" w14:textId="3A3897BA" w:rsidR="008E2F46" w:rsidRPr="00712AF2" w:rsidRDefault="008E2F46" w:rsidP="008E2F46">
      <w:pPr>
        <w:pStyle w:val="a3"/>
        <w:spacing w:before="0" w:beforeAutospacing="0" w:after="0" w:afterAutospacing="0"/>
        <w:rPr>
          <w:rFonts w:asciiTheme="majorBidi" w:hAnsiTheme="majorBidi" w:cstheme="majorBidi"/>
          <w:sz w:val="22"/>
          <w:szCs w:val="22"/>
        </w:rPr>
      </w:pPr>
    </w:p>
    <w:p w14:paraId="027A7853" w14:textId="77777777" w:rsidR="005A5528" w:rsidRPr="00712AF2" w:rsidRDefault="005A5528" w:rsidP="005A5528">
      <w:pPr>
        <w:pStyle w:val="1"/>
        <w:jc w:val="right"/>
        <w:rPr>
          <w:rFonts w:asciiTheme="majorBidi" w:hAnsiTheme="majorBidi"/>
          <w:lang w:val="ar-SA"/>
        </w:rPr>
      </w:pPr>
    </w:p>
    <w:sdt>
      <w:sdtPr>
        <w:rPr>
          <w:rFonts w:asciiTheme="majorBidi" w:eastAsiaTheme="minorHAnsi" w:hAnsiTheme="majorBidi" w:cstheme="minorBidi"/>
          <w:color w:val="auto"/>
          <w:sz w:val="22"/>
          <w:szCs w:val="22"/>
          <w:lang w:val="ar-SA"/>
        </w:rPr>
        <w:id w:val="-1640482677"/>
        <w:docPartObj>
          <w:docPartGallery w:val="Bibliographies"/>
          <w:docPartUnique/>
        </w:docPartObj>
      </w:sdtPr>
      <w:sdtEndPr>
        <w:rPr>
          <w:lang w:val="en-US"/>
        </w:rPr>
      </w:sdtEndPr>
      <w:sdtContent>
        <w:p w14:paraId="2EDEF5C5" w14:textId="24378F20" w:rsidR="005A5528" w:rsidRPr="00712AF2" w:rsidRDefault="005A5528" w:rsidP="005A5528">
          <w:pPr>
            <w:pStyle w:val="1"/>
            <w:jc w:val="right"/>
            <w:rPr>
              <w:rFonts w:asciiTheme="majorBidi" w:hAnsiTheme="majorBidi"/>
              <w:rtl w:val="0"/>
            </w:rPr>
          </w:pPr>
          <w:r w:rsidRPr="00712AF2">
            <w:rPr>
              <w:rFonts w:asciiTheme="majorBidi" w:hAnsiTheme="majorBidi"/>
              <w:rtl w:val="0"/>
            </w:rPr>
            <w:t xml:space="preserve">References </w:t>
          </w:r>
        </w:p>
        <w:p w14:paraId="6E39988A" w14:textId="77777777" w:rsidR="005A5528" w:rsidRPr="00712AF2" w:rsidRDefault="005A5528">
          <w:pPr>
            <w:rPr>
              <w:rFonts w:asciiTheme="majorBidi" w:hAnsiTheme="majorBidi" w:cstheme="majorBidi"/>
              <w:noProof/>
            </w:rPr>
          </w:pPr>
          <w:r w:rsidRPr="00712AF2">
            <w:rPr>
              <w:rFonts w:asciiTheme="majorBidi" w:hAnsiTheme="majorBidi" w:cstheme="majorBidi"/>
            </w:rPr>
            <w:fldChar w:fldCharType="begin"/>
          </w:r>
          <w:r w:rsidRPr="00712AF2">
            <w:rPr>
              <w:rFonts w:asciiTheme="majorBidi" w:hAnsiTheme="majorBidi" w:cstheme="majorBidi"/>
            </w:rPr>
            <w:instrText>BIBLIOGRAPHY</w:instrText>
          </w:r>
          <w:r w:rsidRPr="00712AF2">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5A5528" w:rsidRPr="00712AF2" w14:paraId="05B3E723" w14:textId="77777777">
            <w:trPr>
              <w:divId w:val="699403022"/>
              <w:tblCellSpacing w:w="15" w:type="dxa"/>
            </w:trPr>
            <w:tc>
              <w:tcPr>
                <w:tcW w:w="50" w:type="pct"/>
                <w:hideMark/>
              </w:tcPr>
              <w:p w14:paraId="2E5CDAB6" w14:textId="62A85108" w:rsidR="005A5528" w:rsidRPr="00712AF2" w:rsidRDefault="005A5528">
                <w:pPr>
                  <w:pStyle w:val="a4"/>
                  <w:bidi w:val="0"/>
                  <w:rPr>
                    <w:rFonts w:asciiTheme="majorBidi" w:hAnsiTheme="majorBidi" w:cstheme="majorBidi"/>
                    <w:noProof/>
                    <w:sz w:val="24"/>
                    <w:szCs w:val="24"/>
                  </w:rPr>
                </w:pPr>
                <w:r w:rsidRPr="00712AF2">
                  <w:rPr>
                    <w:rFonts w:asciiTheme="majorBidi" w:hAnsiTheme="majorBidi" w:cstheme="majorBidi"/>
                    <w:noProof/>
                  </w:rPr>
                  <w:t xml:space="preserve">[1] </w:t>
                </w:r>
              </w:p>
            </w:tc>
            <w:tc>
              <w:tcPr>
                <w:tcW w:w="0" w:type="auto"/>
                <w:hideMark/>
              </w:tcPr>
              <w:p w14:paraId="3B3F47D7" w14:textId="77777777" w:rsidR="005A5528" w:rsidRPr="00712AF2" w:rsidRDefault="005A5528">
                <w:pPr>
                  <w:pStyle w:val="a4"/>
                  <w:bidi w:val="0"/>
                  <w:rPr>
                    <w:rFonts w:asciiTheme="majorBidi" w:hAnsiTheme="majorBidi" w:cstheme="majorBidi"/>
                    <w:noProof/>
                  </w:rPr>
                </w:pPr>
                <w:r w:rsidRPr="00712AF2">
                  <w:rPr>
                    <w:rFonts w:asciiTheme="majorBidi" w:hAnsiTheme="majorBidi" w:cstheme="majorBidi"/>
                    <w:noProof/>
                  </w:rPr>
                  <w:t xml:space="preserve">A. G. &amp;. A. v. d. Spuy, "THE GOVERNANCE OF GLOBAL DIGITAL PUBLIC GOODS: NOT JUST A CRISIS". </w:t>
                </w:r>
              </w:p>
            </w:tc>
          </w:tr>
          <w:tr w:rsidR="005A5528" w:rsidRPr="00712AF2" w14:paraId="2B4E37E8" w14:textId="77777777">
            <w:trPr>
              <w:divId w:val="699403022"/>
              <w:tblCellSpacing w:w="15" w:type="dxa"/>
            </w:trPr>
            <w:tc>
              <w:tcPr>
                <w:tcW w:w="50" w:type="pct"/>
                <w:hideMark/>
              </w:tcPr>
              <w:p w14:paraId="61B6EFFF" w14:textId="77777777" w:rsidR="005A5528" w:rsidRPr="00712AF2" w:rsidRDefault="005A5528">
                <w:pPr>
                  <w:pStyle w:val="a4"/>
                  <w:bidi w:val="0"/>
                  <w:rPr>
                    <w:rFonts w:asciiTheme="majorBidi" w:hAnsiTheme="majorBidi" w:cstheme="majorBidi"/>
                    <w:noProof/>
                  </w:rPr>
                </w:pPr>
                <w:r w:rsidRPr="00712AF2">
                  <w:rPr>
                    <w:rFonts w:asciiTheme="majorBidi" w:hAnsiTheme="majorBidi" w:cstheme="majorBidi"/>
                    <w:noProof/>
                  </w:rPr>
                  <w:t xml:space="preserve">[2] </w:t>
                </w:r>
              </w:p>
            </w:tc>
            <w:tc>
              <w:tcPr>
                <w:tcW w:w="0" w:type="auto"/>
                <w:hideMark/>
              </w:tcPr>
              <w:p w14:paraId="513A6A9B" w14:textId="77777777" w:rsidR="00C13C2B" w:rsidRPr="00712AF2" w:rsidRDefault="005A5528" w:rsidP="00DE0584">
                <w:pPr>
                  <w:pStyle w:val="a4"/>
                  <w:bidi w:val="0"/>
                  <w:rPr>
                    <w:rFonts w:asciiTheme="majorBidi" w:hAnsiTheme="majorBidi" w:cstheme="majorBidi"/>
                    <w:noProof/>
                  </w:rPr>
                </w:pPr>
                <w:r w:rsidRPr="00712AF2">
                  <w:rPr>
                    <w:rFonts w:asciiTheme="majorBidi" w:hAnsiTheme="majorBidi" w:cstheme="majorBidi"/>
                    <w:noProof/>
                  </w:rPr>
                  <w:t xml:space="preserve">L. M. N. a. L. Harrisi, "Digital public goods: Enablers of digital sovereignty," in </w:t>
                </w:r>
                <w:r w:rsidRPr="00712AF2">
                  <w:rPr>
                    <w:rFonts w:asciiTheme="majorBidi" w:hAnsiTheme="majorBidi" w:cstheme="majorBidi"/>
                    <w:i/>
                    <w:iCs/>
                    <w:noProof/>
                  </w:rPr>
                  <w:t>Development Co-operation Report 2021</w:t>
                </w:r>
                <w:r w:rsidRPr="00712AF2">
                  <w:rPr>
                    <w:rFonts w:asciiTheme="majorBidi" w:hAnsiTheme="majorBidi" w:cstheme="majorBidi"/>
                    <w:noProof/>
                  </w:rPr>
                  <w:t xml:space="preserve">, 2021. </w:t>
                </w:r>
              </w:p>
              <w:p w14:paraId="4221F203" w14:textId="6DCFA002" w:rsidR="00DE0584" w:rsidRPr="00712AF2" w:rsidRDefault="00DE0584" w:rsidP="00DE0584">
                <w:pPr>
                  <w:bidi w:val="0"/>
                  <w:rPr>
                    <w:rFonts w:asciiTheme="majorBidi" w:hAnsiTheme="majorBidi" w:cstheme="majorBidi"/>
                  </w:rPr>
                </w:pPr>
              </w:p>
            </w:tc>
          </w:tr>
        </w:tbl>
        <w:p w14:paraId="72C37873" w14:textId="05DBEC11" w:rsidR="005A5528" w:rsidRPr="00712AF2" w:rsidRDefault="00DE0584">
          <w:pPr>
            <w:bidi w:val="0"/>
            <w:divId w:val="699403022"/>
            <w:rPr>
              <w:rFonts w:asciiTheme="majorBidi" w:eastAsia="Times New Roman" w:hAnsiTheme="majorBidi" w:cstheme="majorBidi"/>
              <w:noProof/>
            </w:rPr>
          </w:pPr>
          <w:r w:rsidRPr="00712AF2">
            <w:rPr>
              <w:rFonts w:asciiTheme="majorBidi" w:eastAsia="Times New Roman" w:hAnsiTheme="majorBidi" w:cstheme="majorBidi"/>
              <w:noProof/>
            </w:rPr>
            <w:t>[3]</w:t>
          </w:r>
          <w:r w:rsidRPr="00712AF2">
            <w:rPr>
              <w:rFonts w:asciiTheme="majorBidi" w:hAnsiTheme="majorBidi" w:cstheme="majorBidi"/>
              <w:noProof/>
            </w:rPr>
            <w:t xml:space="preserve"> "Digital Public Goods and Open Data," 23 3 2022. [Online]. Available: https://digitalpublicgoods.net/blog/digital-public-goods-and-open-data/.</w:t>
          </w:r>
        </w:p>
        <w:p w14:paraId="3A875B16" w14:textId="5A78C0E3" w:rsidR="005A5528" w:rsidRPr="00712AF2" w:rsidRDefault="005A5528" w:rsidP="00C13C2B">
          <w:pPr>
            <w:rPr>
              <w:rFonts w:asciiTheme="majorBidi" w:hAnsiTheme="majorBidi" w:cstheme="majorBidi"/>
            </w:rPr>
          </w:pPr>
          <w:r w:rsidRPr="00712AF2">
            <w:rPr>
              <w:rFonts w:asciiTheme="majorBidi" w:hAnsiTheme="majorBidi" w:cstheme="majorBidi"/>
              <w:b/>
              <w:bCs/>
            </w:rPr>
            <w:fldChar w:fldCharType="end"/>
          </w:r>
        </w:p>
      </w:sdtContent>
    </w:sdt>
    <w:p w14:paraId="065F3FC2" w14:textId="7EA6A0DE" w:rsidR="00EE5B6B" w:rsidRPr="00712AF2" w:rsidRDefault="00EE5B6B" w:rsidP="00DE0584">
      <w:pPr>
        <w:bidi w:val="0"/>
        <w:rPr>
          <w:rFonts w:asciiTheme="majorBidi" w:hAnsiTheme="majorBidi" w:cstheme="majorBidi"/>
        </w:rPr>
      </w:pPr>
    </w:p>
    <w:sectPr w:rsidR="00EE5B6B" w:rsidRPr="00712AF2" w:rsidSect="003870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6D"/>
    <w:rsid w:val="00032D6D"/>
    <w:rsid w:val="0005058A"/>
    <w:rsid w:val="00091D60"/>
    <w:rsid w:val="00210FCD"/>
    <w:rsid w:val="002B203C"/>
    <w:rsid w:val="002D5DDC"/>
    <w:rsid w:val="00341ECB"/>
    <w:rsid w:val="00387051"/>
    <w:rsid w:val="004B2FC0"/>
    <w:rsid w:val="005A5528"/>
    <w:rsid w:val="006178E8"/>
    <w:rsid w:val="00631298"/>
    <w:rsid w:val="00631C71"/>
    <w:rsid w:val="0065073A"/>
    <w:rsid w:val="00692867"/>
    <w:rsid w:val="006D1167"/>
    <w:rsid w:val="006F1971"/>
    <w:rsid w:val="00703C39"/>
    <w:rsid w:val="00712AF2"/>
    <w:rsid w:val="00736570"/>
    <w:rsid w:val="00750DDF"/>
    <w:rsid w:val="007B562E"/>
    <w:rsid w:val="007C4953"/>
    <w:rsid w:val="00835696"/>
    <w:rsid w:val="008E2F46"/>
    <w:rsid w:val="00937273"/>
    <w:rsid w:val="009912D5"/>
    <w:rsid w:val="009B3BF2"/>
    <w:rsid w:val="00A87859"/>
    <w:rsid w:val="00B22BA2"/>
    <w:rsid w:val="00B60E2B"/>
    <w:rsid w:val="00C036CD"/>
    <w:rsid w:val="00C13C2B"/>
    <w:rsid w:val="00D312E1"/>
    <w:rsid w:val="00D35791"/>
    <w:rsid w:val="00D871D7"/>
    <w:rsid w:val="00DE0584"/>
    <w:rsid w:val="00E02A07"/>
    <w:rsid w:val="00E41792"/>
    <w:rsid w:val="00E62942"/>
    <w:rsid w:val="00EC5F99"/>
    <w:rsid w:val="00ED21C3"/>
    <w:rsid w:val="00EE2B12"/>
    <w:rsid w:val="00EE5B6B"/>
    <w:rsid w:val="00F34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0697"/>
  <w15:chartTrackingRefBased/>
  <w15:docId w15:val="{44E81C3F-8526-43BE-9043-88F8D502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EE5B6B"/>
    <w:pPr>
      <w:keepNext/>
      <w:keepLines/>
      <w:spacing w:before="240" w:after="0"/>
      <w:outlineLvl w:val="0"/>
    </w:pPr>
    <w:rPr>
      <w:rFonts w:asciiTheme="majorHAnsi" w:eastAsiaTheme="majorEastAsia" w:hAnsiTheme="majorHAnsi" w:cstheme="majorBidi"/>
      <w:color w:val="2F5496" w:themeColor="accent1" w:themeShade="BF"/>
      <w:sz w:val="32"/>
      <w:szCs w:val="32"/>
      <w:rt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2D6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العنوان 1 Char"/>
    <w:basedOn w:val="a0"/>
    <w:link w:val="1"/>
    <w:uiPriority w:val="9"/>
    <w:rsid w:val="00EE5B6B"/>
    <w:rPr>
      <w:rFonts w:asciiTheme="majorHAnsi" w:eastAsiaTheme="majorEastAsia" w:hAnsiTheme="majorHAnsi" w:cstheme="majorBidi"/>
      <w:color w:val="2F5496" w:themeColor="accent1" w:themeShade="BF"/>
      <w:sz w:val="32"/>
      <w:szCs w:val="32"/>
    </w:rPr>
  </w:style>
  <w:style w:type="paragraph" w:styleId="a4">
    <w:name w:val="Bibliography"/>
    <w:basedOn w:val="a"/>
    <w:next w:val="a"/>
    <w:uiPriority w:val="37"/>
    <w:unhideWhenUsed/>
    <w:rsid w:val="00EE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9330">
      <w:bodyDiv w:val="1"/>
      <w:marLeft w:val="0"/>
      <w:marRight w:val="0"/>
      <w:marTop w:val="0"/>
      <w:marBottom w:val="0"/>
      <w:divBdr>
        <w:top w:val="none" w:sz="0" w:space="0" w:color="auto"/>
        <w:left w:val="none" w:sz="0" w:space="0" w:color="auto"/>
        <w:bottom w:val="none" w:sz="0" w:space="0" w:color="auto"/>
        <w:right w:val="none" w:sz="0" w:space="0" w:color="auto"/>
      </w:divBdr>
    </w:div>
    <w:div w:id="468864783">
      <w:bodyDiv w:val="1"/>
      <w:marLeft w:val="0"/>
      <w:marRight w:val="0"/>
      <w:marTop w:val="0"/>
      <w:marBottom w:val="0"/>
      <w:divBdr>
        <w:top w:val="none" w:sz="0" w:space="0" w:color="auto"/>
        <w:left w:val="none" w:sz="0" w:space="0" w:color="auto"/>
        <w:bottom w:val="none" w:sz="0" w:space="0" w:color="auto"/>
        <w:right w:val="none" w:sz="0" w:space="0" w:color="auto"/>
      </w:divBdr>
    </w:div>
    <w:div w:id="512917433">
      <w:bodyDiv w:val="1"/>
      <w:marLeft w:val="0"/>
      <w:marRight w:val="0"/>
      <w:marTop w:val="0"/>
      <w:marBottom w:val="0"/>
      <w:divBdr>
        <w:top w:val="none" w:sz="0" w:space="0" w:color="auto"/>
        <w:left w:val="none" w:sz="0" w:space="0" w:color="auto"/>
        <w:bottom w:val="none" w:sz="0" w:space="0" w:color="auto"/>
        <w:right w:val="none" w:sz="0" w:space="0" w:color="auto"/>
      </w:divBdr>
    </w:div>
    <w:div w:id="528418138">
      <w:bodyDiv w:val="1"/>
      <w:marLeft w:val="0"/>
      <w:marRight w:val="0"/>
      <w:marTop w:val="0"/>
      <w:marBottom w:val="0"/>
      <w:divBdr>
        <w:top w:val="none" w:sz="0" w:space="0" w:color="auto"/>
        <w:left w:val="none" w:sz="0" w:space="0" w:color="auto"/>
        <w:bottom w:val="none" w:sz="0" w:space="0" w:color="auto"/>
        <w:right w:val="none" w:sz="0" w:space="0" w:color="auto"/>
      </w:divBdr>
    </w:div>
    <w:div w:id="699403022">
      <w:bodyDiv w:val="1"/>
      <w:marLeft w:val="0"/>
      <w:marRight w:val="0"/>
      <w:marTop w:val="0"/>
      <w:marBottom w:val="0"/>
      <w:divBdr>
        <w:top w:val="none" w:sz="0" w:space="0" w:color="auto"/>
        <w:left w:val="none" w:sz="0" w:space="0" w:color="auto"/>
        <w:bottom w:val="none" w:sz="0" w:space="0" w:color="auto"/>
        <w:right w:val="none" w:sz="0" w:space="0" w:color="auto"/>
      </w:divBdr>
    </w:div>
    <w:div w:id="708149206">
      <w:bodyDiv w:val="1"/>
      <w:marLeft w:val="0"/>
      <w:marRight w:val="0"/>
      <w:marTop w:val="0"/>
      <w:marBottom w:val="0"/>
      <w:divBdr>
        <w:top w:val="none" w:sz="0" w:space="0" w:color="auto"/>
        <w:left w:val="none" w:sz="0" w:space="0" w:color="auto"/>
        <w:bottom w:val="none" w:sz="0" w:space="0" w:color="auto"/>
        <w:right w:val="none" w:sz="0" w:space="0" w:color="auto"/>
      </w:divBdr>
    </w:div>
    <w:div w:id="735979644">
      <w:bodyDiv w:val="1"/>
      <w:marLeft w:val="0"/>
      <w:marRight w:val="0"/>
      <w:marTop w:val="0"/>
      <w:marBottom w:val="0"/>
      <w:divBdr>
        <w:top w:val="none" w:sz="0" w:space="0" w:color="auto"/>
        <w:left w:val="none" w:sz="0" w:space="0" w:color="auto"/>
        <w:bottom w:val="none" w:sz="0" w:space="0" w:color="auto"/>
        <w:right w:val="none" w:sz="0" w:space="0" w:color="auto"/>
      </w:divBdr>
    </w:div>
    <w:div w:id="1043561065">
      <w:bodyDiv w:val="1"/>
      <w:marLeft w:val="0"/>
      <w:marRight w:val="0"/>
      <w:marTop w:val="0"/>
      <w:marBottom w:val="0"/>
      <w:divBdr>
        <w:top w:val="none" w:sz="0" w:space="0" w:color="auto"/>
        <w:left w:val="none" w:sz="0" w:space="0" w:color="auto"/>
        <w:bottom w:val="none" w:sz="0" w:space="0" w:color="auto"/>
        <w:right w:val="none" w:sz="0" w:space="0" w:color="auto"/>
      </w:divBdr>
    </w:div>
    <w:div w:id="1106852927">
      <w:bodyDiv w:val="1"/>
      <w:marLeft w:val="0"/>
      <w:marRight w:val="0"/>
      <w:marTop w:val="0"/>
      <w:marBottom w:val="0"/>
      <w:divBdr>
        <w:top w:val="none" w:sz="0" w:space="0" w:color="auto"/>
        <w:left w:val="none" w:sz="0" w:space="0" w:color="auto"/>
        <w:bottom w:val="none" w:sz="0" w:space="0" w:color="auto"/>
        <w:right w:val="none" w:sz="0" w:space="0" w:color="auto"/>
      </w:divBdr>
    </w:div>
    <w:div w:id="1164738204">
      <w:bodyDiv w:val="1"/>
      <w:marLeft w:val="0"/>
      <w:marRight w:val="0"/>
      <w:marTop w:val="0"/>
      <w:marBottom w:val="0"/>
      <w:divBdr>
        <w:top w:val="none" w:sz="0" w:space="0" w:color="auto"/>
        <w:left w:val="none" w:sz="0" w:space="0" w:color="auto"/>
        <w:bottom w:val="none" w:sz="0" w:space="0" w:color="auto"/>
        <w:right w:val="none" w:sz="0" w:space="0" w:color="auto"/>
      </w:divBdr>
    </w:div>
    <w:div w:id="1458715175">
      <w:bodyDiv w:val="1"/>
      <w:marLeft w:val="0"/>
      <w:marRight w:val="0"/>
      <w:marTop w:val="0"/>
      <w:marBottom w:val="0"/>
      <w:divBdr>
        <w:top w:val="none" w:sz="0" w:space="0" w:color="auto"/>
        <w:left w:val="none" w:sz="0" w:space="0" w:color="auto"/>
        <w:bottom w:val="none" w:sz="0" w:space="0" w:color="auto"/>
        <w:right w:val="none" w:sz="0" w:space="0" w:color="auto"/>
      </w:divBdr>
    </w:div>
    <w:div w:id="1550338370">
      <w:bodyDiv w:val="1"/>
      <w:marLeft w:val="0"/>
      <w:marRight w:val="0"/>
      <w:marTop w:val="0"/>
      <w:marBottom w:val="0"/>
      <w:divBdr>
        <w:top w:val="none" w:sz="0" w:space="0" w:color="auto"/>
        <w:left w:val="none" w:sz="0" w:space="0" w:color="auto"/>
        <w:bottom w:val="none" w:sz="0" w:space="0" w:color="auto"/>
        <w:right w:val="none" w:sz="0" w:space="0" w:color="auto"/>
      </w:divBdr>
    </w:div>
    <w:div w:id="1651669370">
      <w:bodyDiv w:val="1"/>
      <w:marLeft w:val="0"/>
      <w:marRight w:val="0"/>
      <w:marTop w:val="0"/>
      <w:marBottom w:val="0"/>
      <w:divBdr>
        <w:top w:val="none" w:sz="0" w:space="0" w:color="auto"/>
        <w:left w:val="none" w:sz="0" w:space="0" w:color="auto"/>
        <w:bottom w:val="none" w:sz="0" w:space="0" w:color="auto"/>
        <w:right w:val="none" w:sz="0" w:space="0" w:color="auto"/>
      </w:divBdr>
    </w:div>
    <w:div w:id="1670016441">
      <w:bodyDiv w:val="1"/>
      <w:marLeft w:val="0"/>
      <w:marRight w:val="0"/>
      <w:marTop w:val="0"/>
      <w:marBottom w:val="0"/>
      <w:divBdr>
        <w:top w:val="none" w:sz="0" w:space="0" w:color="auto"/>
        <w:left w:val="none" w:sz="0" w:space="0" w:color="auto"/>
        <w:bottom w:val="none" w:sz="0" w:space="0" w:color="auto"/>
        <w:right w:val="none" w:sz="0" w:space="0" w:color="auto"/>
      </w:divBdr>
    </w:div>
    <w:div w:id="1754618858">
      <w:bodyDiv w:val="1"/>
      <w:marLeft w:val="0"/>
      <w:marRight w:val="0"/>
      <w:marTop w:val="0"/>
      <w:marBottom w:val="0"/>
      <w:divBdr>
        <w:top w:val="none" w:sz="0" w:space="0" w:color="auto"/>
        <w:left w:val="none" w:sz="0" w:space="0" w:color="auto"/>
        <w:bottom w:val="none" w:sz="0" w:space="0" w:color="auto"/>
        <w:right w:val="none" w:sz="0" w:space="0" w:color="auto"/>
      </w:divBdr>
    </w:div>
    <w:div w:id="1896772115">
      <w:bodyDiv w:val="1"/>
      <w:marLeft w:val="0"/>
      <w:marRight w:val="0"/>
      <w:marTop w:val="0"/>
      <w:marBottom w:val="0"/>
      <w:divBdr>
        <w:top w:val="none" w:sz="0" w:space="0" w:color="auto"/>
        <w:left w:val="none" w:sz="0" w:space="0" w:color="auto"/>
        <w:bottom w:val="none" w:sz="0" w:space="0" w:color="auto"/>
        <w:right w:val="none" w:sz="0" w:space="0" w:color="auto"/>
      </w:divBdr>
    </w:div>
    <w:div w:id="2092388732">
      <w:bodyDiv w:val="1"/>
      <w:marLeft w:val="0"/>
      <w:marRight w:val="0"/>
      <w:marTop w:val="0"/>
      <w:marBottom w:val="0"/>
      <w:divBdr>
        <w:top w:val="none" w:sz="0" w:space="0" w:color="auto"/>
        <w:left w:val="none" w:sz="0" w:space="0" w:color="auto"/>
        <w:bottom w:val="none" w:sz="0" w:space="0" w:color="auto"/>
        <w:right w:val="none" w:sz="0" w:space="0" w:color="auto"/>
      </w:divBdr>
    </w:div>
    <w:div w:id="2130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Liv21</b:Tag>
    <b:SourceType>BookSection</b:SourceType>
    <b:Guid>{502094B1-9914-4201-84FD-3F2307791435}</b:Guid>
    <b:LCID>en-US</b:LCID>
    <b:Title>Digital public goods: Enablers of digital sovereignty</b:Title>
    <b:Year>2021</b:Year>
    <b:Author>
      <b:Author>
        <b:NameList>
          <b:Person>
            <b:Last>Harrisi</b:Last>
            <b:First>Liv</b:First>
            <b:Middle>Marte Nordhaugi and Lucy</b:Middle>
          </b:Person>
        </b:NameList>
      </b:Author>
    </b:Author>
    <b:BookTitle>Development Co-operation Report 2021</b:BookTitle>
    <b:RefOrder>2</b:RefOrder>
  </b:Source>
  <b:Source>
    <b:Tag>Ali</b:Tag>
    <b:SourceType>BookSection</b:SourceType>
    <b:Guid>{2C6E924C-91D6-4D38-9FDF-3C928CFF2DAE}</b:Guid>
    <b:LCID>en-US</b:LCID>
    <b:Author>
      <b:Author>
        <b:NameList>
          <b:Person>
            <b:Last>Spuy</b:Last>
            <b:First>Alison</b:First>
            <b:Middle>Gillwald &amp; Anri van der</b:Middle>
          </b:Person>
        </b:NameList>
      </b:Author>
    </b:Author>
    <b:Title>THE GOVERNANCE OF GLOBAL DIGITAL PUBLIC GOODS: NOT JUST A CRISIS</b:Title>
    <b:RefOrder>3</b:RefOrder>
  </b:Source>
  <b:Source>
    <b:Tag>Dig22</b:Tag>
    <b:SourceType>InternetSite</b:SourceType>
    <b:Guid>{68F02026-0C8A-484E-8B81-52FAB57866B9}</b:Guid>
    <b:Title>Digital Public Goods and Open Data</b:Title>
    <b:Year>2022</b:Year>
    <b:LCID>en-US</b:LCID>
    <b:Month>3</b:Month>
    <b:Day>23</b:Day>
    <b:URL>https://digitalpublicgoods.net/blog/digital-public-goods-and-open-data/</b:URL>
    <b:RefOrder>1</b:RefOrder>
  </b:Source>
</b:Sources>
</file>

<file path=customXml/itemProps1.xml><?xml version="1.0" encoding="utf-8"?>
<ds:datastoreItem xmlns:ds="http://schemas.openxmlformats.org/officeDocument/2006/customXml" ds:itemID="{77665DCE-E7A4-492F-9320-A3222DCC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3</Pages>
  <Words>717</Words>
  <Characters>4092</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غاده بنت مزعل بن مظحي الفريدي الحربي</dc:creator>
  <cp:keywords/>
  <dc:description/>
  <cp:lastModifiedBy>غاده بنت مزعل بن مظحي الفريدي الحربي</cp:lastModifiedBy>
  <cp:revision>22</cp:revision>
  <dcterms:created xsi:type="dcterms:W3CDTF">2022-05-05T09:35:00Z</dcterms:created>
  <dcterms:modified xsi:type="dcterms:W3CDTF">2022-05-10T07:54:00Z</dcterms:modified>
</cp:coreProperties>
</file>