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line="240" w:lineRule="auto"/>
        <w:jc w:val="center"/>
        <w:bidi/>
      </w:pPr>
      <w:r>
        <w:rPr>
          <w:rFonts w:ascii="Arial" w:hAnsi="Arial" w:eastAsia="Arial" w:cs="Arial"/>
          <w:b/>
          <w:color w:val="000000"/>
          <w:sz w:val="34"/>
        </w:rPr>
        <w:t>خطة الموجه الطلابي الأسبوعية التنفيذية</w:t>
      </w:r>
    </w:p>
    <w:p>
      <w:pPr>
        <w:spacing w:after="80" w:line="240" w:lineRule="auto"/>
        <w:jc w:val="center"/>
        <w:bidi/>
      </w:pPr>
      <w:r>
        <w:rPr>
          <w:rFonts w:ascii="Arial" w:hAnsi="Arial" w:eastAsia="Arial" w:cs="Arial"/>
          <w:b/>
          <w:color w:val="1F6F8B"/>
          <w:sz w:val="20"/>
        </w:rPr>
        <w:t>موضوع الأسبوع: ................  |  من .......... إلى ..........  |  الفصل: ................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2693"/>
        <w:gridCol w:w="2693"/>
        <w:gridCol w:w="2693"/>
        <w:gridCol w:w="2693"/>
      </w:tblGrid>
      <w:t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shd w:fill="EAF3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000000"/>
                <w:sz w:val="17"/>
              </w:rPr>
              <w:t>المدرسة</w:t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</w:tcPr>
          <w:p>
            <w:pPr>
              <w:spacing w:after="0" w:line="240" w:lineRule="auto"/>
              <w:jc w:val="right"/>
              <w:bidi/>
            </w:pPr>
            <w:r>
              <w:t>{{school}}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</w:rPr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shd w:fill="EAF3F5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000000"/>
                <w:sz w:val="17"/>
              </w:rPr>
              <w:t>الموجه الطلابي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</w:tcPr>
          <w:p>
            <w:pPr>
              <w:spacing w:after="0" w:line="240" w:lineRule="auto"/>
              <w:jc w:val="right"/>
              <w:bidi/>
            </w:pPr>
            <w:r>
              <w:t>................................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shd w:fill="EAF3F5"/>
          </w:tcPr>
          <w:p>
            <w:pPr>
              <w:spacing w:after="0" w:line="240" w:lineRule="auto"/>
              <w:jc w:val="center"/>
              <w:bidi/>
            </w:pPr>
            <w:r>
              <w:t>المرجع الحاكم</w:t>
            </w:r>
            <w:r>
              <w:rPr>
                <w:rFonts w:ascii="Arial" w:hAnsi="Arial" w:eastAsia="Arial" w:cs="Arial"/>
                <w:b/>
                <w:color w:val="000000"/>
                <w:sz w:val="16"/>
              </w:rPr>
            </w:r>
          </w:p>
        </w:tc>
        <w:tc>
          <w:tcPr>
            <w:tcW w:type="dxa" w:w="34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</w:tcPr>
          <w:p>
            <w:pPr>
              <w:spacing w:after="0" w:line="240" w:lineRule="auto"/>
              <w:jc w:val="right"/>
              <w:bidi/>
            </w:pPr>
            <w:r>
              <w:t>الأصل الرسمي للاستحقاق؛ طبقة التوقيت والمصفوفة للتوزيع؛ نور للتوثيق</w:t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shd w:fill="EAF3F5"/>
          </w:tcPr>
          <w:p>
            <w:pPr>
              <w:spacing w:after="0" w:line="240" w:lineRule="auto"/>
              <w:jc w:val="center"/>
              <w:bidi/>
            </w:pPr>
            <w:r>
              <w:t>عدد الطلاب</w:t>
            </w:r>
            <w:r>
              <w:rPr>
                <w:rFonts w:ascii="Arial" w:hAnsi="Arial" w:eastAsia="Arial" w:cs="Arial"/>
                <w:b/>
                <w:color w:val="000000"/>
                <w:sz w:val="16"/>
              </w:rPr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</w:tcPr>
          <w:p>
            <w:pPr>
              <w:spacing w:after="0" w:line="240" w:lineRule="auto"/>
              <w:jc w:val="right"/>
              <w:bidi/>
            </w:pPr>
            <w:r>
              <w:t>{{student_count}} - يُعبأ من السياق الحالي عند إعداد الخطة</w:t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</w:r>
          </w:p>
        </w:tc>
      </w:tr>
    </w:tbl>
    <w:p>
      <w:pPr>
        <w:spacing w:after="40" w:line="240" w:lineRule="auto" w:before="80"/>
        <w:jc w:val="right"/>
        <w:keepNext/>
        <w:bidi/>
      </w:pPr>
      <w:r>
        <w:rPr>
          <w:rFonts w:ascii="Arial" w:hAnsi="Arial" w:eastAsia="Arial" w:cs="Arial"/>
          <w:b/>
          <w:color w:val="0B5963"/>
          <w:sz w:val="24"/>
        </w:rPr>
        <w:t>1  قرار الأسبوع والحد التنفيذي</w:t>
      </w:r>
    </w:p>
    <w:p>
      <w:pPr>
        <w:spacing w:after="40" w:line="240" w:lineRule="auto"/>
        <w:jc w:val="right"/>
        <w:bidi/>
      </w:pPr>
      <w:r>
        <w:rPr>
          <w:rFonts w:ascii="Arial" w:hAnsi="Arial" w:eastAsia="Arial" w:cs="Arial"/>
          <w:b/>
          <w:color w:val="000000"/>
          <w:sz w:val="18"/>
        </w:rPr>
        <w:t>القرار المخطط: ........................................................................................</w:t>
      </w:r>
      <w:r>
        <w:rPr>
          <w:rFonts w:ascii="Arial" w:hAnsi="Arial" w:eastAsia="Arial" w:cs="Arial"/>
          <w:b w:val="0"/>
          <w:color w:val="000000"/>
          <w:sz w:val="18"/>
        </w:rPr>
      </w:r>
    </w:p>
    <w:p>
      <w:pPr>
        <w:spacing w:after="40" w:line="240" w:lineRule="auto"/>
        <w:jc w:val="right"/>
        <w:bidi/>
      </w:pPr>
      <w:r>
        <w:rPr>
          <w:rFonts w:ascii="Arial" w:hAnsi="Arial" w:eastAsia="Arial" w:cs="Arial"/>
          <w:b/>
          <w:color w:val="000000"/>
          <w:sz w:val="18"/>
        </w:rPr>
        <w:t>السند الرسمي للاستحقاق والتوقيت: ........................  موضعه: ........................  ولا ينشئ نور استحقاقًا.</w:t>
      </w:r>
      <w:r>
        <w:rPr>
          <w:rFonts w:ascii="Arial" w:hAnsi="Arial" w:eastAsia="Arial" w:cs="Arial"/>
          <w:b w:val="0"/>
          <w:color w:val="000000"/>
          <w:sz w:val="18"/>
        </w:rPr>
      </w:r>
    </w:p>
    <w:p>
      <w:pPr>
        <w:spacing w:after="40" w:line="240" w:lineRule="auto"/>
        <w:jc w:val="right"/>
        <w:bidi/>
      </w:pPr>
      <w:r>
        <w:rPr>
          <w:rFonts w:ascii="Arial" w:hAnsi="Arial" w:eastAsia="Arial" w:cs="Arial"/>
          <w:b/>
          <w:color w:val="000000"/>
          <w:sz w:val="18"/>
        </w:rPr>
        <w:t>الفئة المستهدفة: ........................  القياس المتوقع: ........................  ولا يثبت عدد منفذ قبل التنفيذ.</w:t>
      </w:r>
      <w:r>
        <w:rPr>
          <w:rFonts w:ascii="Arial" w:hAnsi="Arial" w:eastAsia="Arial" w:cs="Arial"/>
          <w:b w:val="0"/>
          <w:color w:val="000000"/>
          <w:sz w:val="18"/>
        </w:rPr>
      </w:r>
    </w:p>
    <w:p>
      <w:pPr>
        <w:spacing w:after="40" w:line="240" w:lineRule="auto"/>
        <w:jc w:val="right"/>
        <w:bidi/>
      </w:pPr>
      <w:r>
        <w:rPr>
          <w:rFonts w:ascii="Arial" w:hAnsi="Arial" w:eastAsia="Arial" w:cs="Arial"/>
          <w:b/>
          <w:color w:val="000000"/>
          <w:sz w:val="18"/>
        </w:rPr>
        <w:t>أولوية مخططة واحدة قابلة للتنفيذ. تعالج الأعمال المستمرة والحالات العاجلة في مساراتها المختصة.</w:t>
      </w:r>
      <w:r>
        <w:rPr>
          <w:rFonts w:ascii="Arial" w:hAnsi="Arial" w:eastAsia="Arial" w:cs="Arial"/>
          <w:b w:val="0"/>
          <w:color w:val="000000"/>
          <w:sz w:val="18"/>
        </w:rPr>
      </w:r>
    </w:p>
    <w:p>
      <w:pPr>
        <w:spacing w:after="40" w:line="240" w:lineRule="auto" w:before="80"/>
        <w:jc w:val="right"/>
        <w:keepNext/>
        <w:bidi/>
      </w:pPr>
      <w:r>
        <w:rPr>
          <w:rFonts w:ascii="Arial" w:hAnsi="Arial" w:eastAsia="Arial" w:cs="Arial"/>
          <w:b/>
          <w:color w:val="0B5963"/>
          <w:sz w:val="24"/>
        </w:rPr>
        <w:t>2  خطوة واحدة لكل يوم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bidiVisual/>
      </w:tblPr>
      <w:tblGrid>
        <w:gridCol w:w="2693"/>
        <w:gridCol w:w="2693"/>
        <w:gridCol w:w="2693"/>
        <w:gridCol w:w="2693"/>
      </w:tblGrid>
      <w:tr>
        <w:trPr>
          <w:tblHeader w:val="true"/>
        </w:trP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shd w:fill="0B5963"/>
          </w:tcPr>
          <w:p>
            <w:pPr>
              <w:spacing w:after="0" w:line="240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  <w:t>اليوم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shd w:fill="0B5963"/>
          </w:tcPr>
          <w:p>
            <w:pPr>
              <w:spacing w:after="0" w:line="240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الخطوة المخططة</w:t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</w:p>
        </w:tc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shd w:fill="0B5963"/>
          </w:tcPr>
          <w:p>
            <w:pPr>
              <w:spacing w:after="0" w:line="240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ما نُفذ فعليًا</w:t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</w:p>
        </w:tc>
        <w:tc>
          <w:tcPr>
            <w:tcW w:type="dxa" w:w="2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shd w:fill="0B5963"/>
          </w:tcPr>
          <w:p>
            <w:pPr>
              <w:spacing w:after="0" w:line="240" w:lineRule="auto"/>
              <w:jc w:val="center"/>
              <w:bidi/>
            </w:pPr>
            <w:r>
              <w:rPr>
                <w:rFonts w:ascii="Arial" w:hAnsi="Arial" w:eastAsia="Arial" w:cs="Arial"/>
                <w:b/>
                <w:color w:val="FFFFFF"/>
                <w:sz w:val="17"/>
              </w:rPr>
              <w:t>الشاهد بعد التنفيذ</w:t>
            </w:r>
            <w:r>
              <w:rPr>
                <w:rFonts w:ascii="Arial" w:hAnsi="Arial" w:eastAsia="Arial" w:cs="Arial"/>
                <w:b/>
                <w:color w:val="FFFFFF"/>
                <w:sz w:val="17"/>
              </w:rPr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</w:tcPr>
          <w:p>
            <w:pPr>
              <w:spacing w:after="0" w:line="240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الأحد</w:t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</w:tcPr>
          <w:p>
            <w:pPr>
              <w:spacing w:after="0" w:line="240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........................................................</w:t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</w:r>
          </w:p>
        </w:tc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</w:tcPr>
          <w:p>
            <w:pPr>
              <w:spacing w:after="0" w:line="240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□ لم ينفذ  □ نفذ  □ رُحّل بسبب: ..........</w:t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</w:r>
          </w:p>
        </w:tc>
        <w:tc>
          <w:tcPr>
            <w:tcW w:type="dxa" w:w="2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</w:tcPr>
          <w:p>
            <w:pPr>
              <w:spacing w:after="0" w:line="240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موضع الشاهد إن وجد: ........................</w:t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shd w:fill="F3F4F5"/>
          </w:tcPr>
          <w:p>
            <w:pPr>
              <w:spacing w:after="0" w:line="240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الاثنين</w:t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shd w:fill="F3F4F5"/>
          </w:tcPr>
          <w:p>
            <w:pPr>
              <w:spacing w:after="0" w:line="240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........................................................</w:t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</w:r>
          </w:p>
        </w:tc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shd w:fill="F3F4F5"/>
          </w:tcPr>
          <w:p>
            <w:pPr>
              <w:spacing w:after="0" w:line="240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□ لم ينفذ  □ نفذ  □ رُحّل بسبب: ..........</w:t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</w:r>
          </w:p>
        </w:tc>
        <w:tc>
          <w:tcPr>
            <w:tcW w:type="dxa" w:w="2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shd w:fill="F3F4F5"/>
          </w:tcPr>
          <w:p>
            <w:pPr>
              <w:spacing w:after="0" w:line="240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موضع الشاهد إن وجد: ........................</w:t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</w:tcPr>
          <w:p>
            <w:pPr>
              <w:spacing w:after="0" w:line="240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الثلاثاء</w:t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</w:tcPr>
          <w:p>
            <w:pPr>
              <w:spacing w:after="0" w:line="240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........................................................</w:t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</w:r>
          </w:p>
        </w:tc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</w:tcPr>
          <w:p>
            <w:pPr>
              <w:spacing w:after="0" w:line="240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□ لم ينفذ  □ نفذ  □ رُحّل بسبب: ..........</w:t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</w:r>
          </w:p>
        </w:tc>
        <w:tc>
          <w:tcPr>
            <w:tcW w:type="dxa" w:w="2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</w:tcPr>
          <w:p>
            <w:pPr>
              <w:spacing w:after="0" w:line="240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موضع الشاهد إن وجد: ........................</w:t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shd w:fill="F3F4F5"/>
          </w:tcPr>
          <w:p>
            <w:pPr>
              <w:spacing w:after="0" w:line="240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الأربعاء</w:t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shd w:fill="F3F4F5"/>
          </w:tcPr>
          <w:p>
            <w:pPr>
              <w:spacing w:after="0" w:line="240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........................................................</w:t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</w:r>
          </w:p>
        </w:tc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shd w:fill="F3F4F5"/>
          </w:tcPr>
          <w:p>
            <w:pPr>
              <w:spacing w:after="0" w:line="240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□ لم ينفذ  □ نفذ  □ رُحّل بسبب: ..........</w:t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</w:r>
          </w:p>
        </w:tc>
        <w:tc>
          <w:tcPr>
            <w:tcW w:type="dxa" w:w="2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shd w:fill="F3F4F5"/>
          </w:tcPr>
          <w:p>
            <w:pPr>
              <w:spacing w:after="0" w:line="240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موضع الشاهد إن وجد: ........................</w:t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2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</w:tcPr>
          <w:p>
            <w:pPr>
              <w:spacing w:after="0" w:line="240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الخميس</w:t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</w:tcPr>
          <w:p>
            <w:pPr>
              <w:spacing w:after="0" w:line="240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........................................................</w:t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</w:r>
          </w:p>
        </w:tc>
        <w:tc>
          <w:tcPr>
            <w:tcW w:type="dxa" w:w="24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</w:tcPr>
          <w:p>
            <w:pPr>
              <w:spacing w:after="0" w:line="240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□ لم ينفذ  □ نفذ  □ رُحّل بسبب: ..........</w:t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</w:r>
          </w:p>
        </w:tc>
        <w:tc>
          <w:tcPr>
            <w:tcW w:type="dxa" w:w="2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</w:tcPr>
          <w:p>
            <w:pPr>
              <w:spacing w:after="0" w:line="240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موضع الشاهد إن وجد: ........................</w:t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</w:r>
          </w:p>
        </w:tc>
      </w:tr>
    </w:tbl>
    <w:p>
      <w:pPr>
        <w:spacing w:after="40" w:line="240" w:lineRule="auto" w:before="80"/>
        <w:jc w:val="right"/>
        <w:keepNext/>
        <w:bidi/>
      </w:pPr>
      <w:r>
        <w:rPr>
          <w:rFonts w:ascii="Arial" w:hAnsi="Arial" w:eastAsia="Arial" w:cs="Arial"/>
          <w:b/>
          <w:color w:val="0B5963"/>
          <w:sz w:val="24"/>
        </w:rPr>
        <w:t>3  المساران اللذان لا ينتظران خطة الأسبوع</w:t>
      </w:r>
    </w:p>
    <w:tbl>
      <w:tblPr>
        <w:tblW w:type="auto" w:w="0"/>
        <w:tblLayout w:type="fixed"/>
        <w:tblLook w:firstColumn="1" w:firstRow="1" w:lastColumn="0" w:lastRow="0" w:noHBand="0" w:noVBand="1" w:val="04A0"/>
        <w:bidiVisual/>
      </w:tblPr>
      <w:tblGrid>
        <w:gridCol w:w="5386"/>
        <w:gridCol w:w="5386"/>
      </w:tblGrid>
      <w:tr>
        <w:tc>
          <w:tcPr>
            <w:tcW w:type="dxa" w:w="54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shd w:fill="1F6F8B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FFFFFF"/>
                <w:sz w:val="18"/>
              </w:rPr>
              <w:t>الأعمال الأساسية المستمرة</w:t>
            </w:r>
          </w:p>
        </w:tc>
        <w:tc>
          <w:tcPr>
            <w:tcW w:type="dxa" w:w="54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shd w:fill="B9892B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FFFFFF"/>
                <w:sz w:val="18"/>
              </w:rPr>
              <w:t>الخدمات التي تفتح عند حدوثها</w:t>
            </w:r>
          </w:p>
        </w:tc>
      </w:tr>
      <w:tr>
        <w:tc>
          <w:tcPr>
            <w:tcW w:type="dxa" w:w="54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□ الاصطفاف بحسب التكليف.</w:t>
            </w:r>
            <w:r>
              <w:br/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□ مراجعة الغياب والتأخر والإحالات من مصادرها المعتادة.</w:t>
            </w:r>
            <w:r>
              <w:br/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□ متابعة الحالات المفتوحة وفق الموعد التالي.</w:t>
            </w:r>
            <w:r>
              <w:br/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□ توثيق الخدمة في موطنها عند تنفيذها فقط.</w:t>
            </w:r>
          </w:p>
        </w:tc>
        <w:tc>
          <w:tcPr>
            <w:tcW w:type="dxa" w:w="54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</w:tcPr>
          <w:p>
            <w:pPr>
              <w:spacing w:after="0" w:line="240" w:lineRule="auto"/>
              <w:jc w:val="right"/>
              <w:bidi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□ غياب أو تأخر متكرر: تحقق وتواصل وتدخل مناسب.</w:t>
            </w:r>
            <w:r>
              <w:br/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□ إحالة سلوكية أو تحصيلية: استقبال وفحص وخطوة أولى.</w:t>
            </w:r>
            <w:r>
              <w:br/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□ موقف طارئ أو أزمة: إجراء فوري وفق الدليل.</w:t>
            </w:r>
            <w:r>
              <w:br/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□ زيارة ولي أمر: توثق الزيارة الفعلية دون افتراض نتيجة.</w:t>
            </w:r>
          </w:p>
        </w:tc>
      </w:tr>
    </w:tbl>
    <w:p>
      <w:pPr>
        <w:spacing w:after="40" w:line="240" w:lineRule="auto" w:before="80"/>
        <w:jc w:val="right"/>
        <w:keepNext/>
        <w:bidi/>
      </w:pPr>
      <w:r>
        <w:rPr>
          <w:rFonts w:ascii="Arial" w:hAnsi="Arial" w:eastAsia="Arial" w:cs="Arial"/>
          <w:b/>
          <w:color w:val="0B5963"/>
          <w:sz w:val="24"/>
        </w:rPr>
        <w:t>4  إغلاق الخميس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93"/>
        <w:gridCol w:w="2693"/>
        <w:gridCol w:w="2693"/>
        <w:gridCol w:w="2693"/>
      </w:tblGrid>
      <w:tr>
        <w:tc>
          <w:tcPr>
            <w:tcW w:type="dxa" w:w="26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shd w:fill="0B5963"/>
          </w:tcPr>
          <w:p>
            <w:pPr>
              <w:spacing w:after="0" w:line="240" w:lineRule="auto"/>
              <w:jc w:val="center"/>
              <w:bidi/>
            </w:pPr>
            <w:r>
              <w:t>حالة التنفيذ الفعلي</w:t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</w:p>
        </w:tc>
        <w:tc>
          <w:tcPr>
            <w:tcW w:type="dxa" w:w="26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shd w:fill="0B5963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FFFFFF"/>
                <w:sz w:val="16"/>
              </w:rPr>
              <w:t>موضع الشاهد</w:t>
            </w:r>
          </w:p>
        </w:tc>
        <w:tc>
          <w:tcPr>
            <w:tcW w:type="dxa" w:w="26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shd w:fill="0B5963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FFFFFF"/>
                <w:sz w:val="16"/>
              </w:rPr>
              <w:t>نور عند الانطباق</w:t>
            </w:r>
          </w:p>
        </w:tc>
        <w:tc>
          <w:tcPr>
            <w:tcW w:type="dxa" w:w="26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  <w:shd w:fill="0B5963"/>
          </w:tcPr>
          <w:p>
            <w:pPr>
              <w:spacing w:after="0" w:line="240" w:lineRule="auto"/>
              <w:jc w:val="center"/>
              <w:bidi/>
            </w:pPr>
            <w:r/>
            <w:r>
              <w:rPr>
                <w:rFonts w:ascii="Arial" w:hAnsi="Arial" w:eastAsia="Arial" w:cs="Arial"/>
                <w:b/>
                <w:color w:val="FFFFFF"/>
                <w:sz w:val="16"/>
              </w:rPr>
              <w:t>الخطوة التالية</w:t>
            </w:r>
          </w:p>
        </w:tc>
      </w:tr>
      <w:tr>
        <w:tc>
          <w:tcPr>
            <w:tcW w:type="dxa" w:w="26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</w:tcPr>
          <w:p>
            <w:pPr>
              <w:spacing w:after="0" w:line="240" w:lineRule="auto"/>
              <w:jc w:val="center"/>
              <w:bidi/>
            </w:pPr>
            <w:r>
              <w:t>□ لم ينفذ  □ جزئي  □ أُنجز  □ رُحّل بسبب</w:t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</w:r>
          </w:p>
        </w:tc>
        <w:tc>
          <w:tcPr>
            <w:tcW w:type="dxa" w:w="26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</w:tcPr>
          <w:p>
            <w:pPr>
              <w:spacing w:after="0" w:line="240" w:lineRule="auto"/>
              <w:jc w:val="center"/>
              <w:bidi/>
            </w:pPr>
            <w:r>
              <w:t>................................</w:t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</w:r>
          </w:p>
        </w:tc>
        <w:tc>
          <w:tcPr>
            <w:tcW w:type="dxa" w:w="26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</w:tcPr>
          <w:p>
            <w:pPr>
              <w:spacing w:after="0" w:line="240" w:lineRule="auto"/>
              <w:jc w:val="center"/>
              <w:bidi/>
            </w:pPr>
            <w:r>
              <w:t>□ لم يدخل  □ أُدخل  □ تحقق ظهوره  □ لا ينطبق</w:t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</w:r>
          </w:p>
        </w:tc>
        <w:tc>
          <w:tcPr>
            <w:tcW w:type="dxa" w:w="26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8C3C7"/>
              <w:left w:val="single" w:sz="5" w:color="B8C3C7"/>
              <w:bottom w:val="single" w:sz="5" w:color="B8C3C7"/>
              <w:right w:val="single" w:sz="5" w:color="B8C3C7"/>
              <w:insideH w:val="single" w:sz="5" w:color="B8C3C7"/>
              <w:insideV w:val="single" w:sz="5" w:color="B8C3C7"/>
            </w:tcBorders>
          </w:tcPr>
          <w:p>
            <w:pPr>
              <w:spacing w:after="0" w:line="240" w:lineRule="auto"/>
              <w:jc w:val="center"/>
              <w:bidi/>
            </w:pPr>
            <w:r>
              <w:t>................................</w:t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</w:r>
          </w:p>
        </w:tc>
      </w:tr>
    </w:tbl>
    <w:p>
      <w:pPr>
        <w:spacing w:after="0" w:line="240" w:lineRule="auto" w:before="40"/>
        <w:jc w:val="center"/>
        <w:keepNext w:val="0"/>
        <w:bidi/>
      </w:pPr>
      <w:r>
        <w:rPr>
          <w:rFonts w:ascii="Arial" w:hAnsi="Arial" w:eastAsia="Arial" w:cs="Arial"/>
          <w:b/>
          <w:color w:val="000000"/>
          <w:sz w:val="16"/>
        </w:rPr>
        <w:t>عدد الصفوف المنفذة فعليًا: ..........   عدد الطلاب الفعلي: ..........   الموجه: ....................   ملاحظة الإغلاق: ....................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" w:right="567" w:bottom="510" w:left="567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40" w:lineRule="auto"/>
      <w:jc w:val="center"/>
      <w:bidi/>
    </w:pPr>
    <w:r>
      <w:rPr>
        <w:rFonts w:ascii="Arial" w:hAnsi="Arial" w:eastAsia="Arial" w:cs="Arial"/>
        <w:b w:val="0"/>
        <w:color w:val="1F6F8B"/>
        <w:sz w:val="15"/>
      </w:rPr>
      <w:t>قالب تشغيلي أسبوعي  |  الإصدار 0.4  |  الاستحقاق من المرجع الرسمي، ونور للتوثيق فقط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  <w:jc w:val="center"/>
      <w:bidi/>
    </w:pPr>
    <w:r>
      <w:rPr>
        <w:rFonts w:ascii="Arial" w:hAnsi="Arial" w:eastAsia="Arial" w:cs="Arial"/>
        <w:b/>
        <w:color w:val="0B5963"/>
        <w:sz w:val="17"/>
      </w:rPr>
      <w:t>المملكة العربية السعودية   |   وزارة التعليم   |   تعليم القصيم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قالب خطة الموجه الطلابي الأسبوعية</dc:title>
  <dc:subject>قالب تشغيلي منقح وفق خطة القصيم 1448 واستمارة المتابعة</dc:subject>
  <dc:creator/>
  <cp:keywords>التوجيه الطلابي، خطة أسبوعية، القصيم، 1448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