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40" w:lineRule="auto"/>
        <w:jc w:val="center"/>
        <w:bidi/>
      </w:pPr>
      <w:r>
        <w:rPr>
          <w:rFonts w:ascii="Arial" w:hAnsi="Arial" w:eastAsia="Arial" w:cs="Arial"/>
          <w:b/>
          <w:color w:val="000000"/>
          <w:sz w:val="34"/>
        </w:rPr>
        <w:t>خطة الموجه الطلابي الأسبوعية التنفيذية</w:t>
      </w:r>
    </w:p>
    <w:p>
      <w:pPr>
        <w:spacing w:after="80" w:line="240" w:lineRule="auto"/>
        <w:jc w:val="center"/>
        <w:bidi/>
      </w:pPr>
      <w:r>
        <w:rPr>
          <w:rFonts w:ascii="Arial" w:hAnsi="Arial" w:eastAsia="Arial" w:cs="Arial"/>
          <w:b/>
          <w:color w:val="1F6F8B"/>
          <w:sz w:val="20"/>
        </w:rPr>
        <w:t>العودة المنتظمة بعد إجازة اليوم الوطني  |  الأحد 27 سبتمبر إلى الخميس 1 أكتوبر 2026م  |  الفصل الأول 1448هـ</w:t>
      </w:r>
    </w:p>
    <w:tbl>
      <w:tblPr>
        <w:tblW w:type="auto" w:w="0"/>
        <w:jc w:val="center"/>
        <w:tblLayout w:type="fixed"/>
        <w:tblLook w:firstColumn="1" w:firstRow="1" w:lastColumn="0" w:lastRow="0" w:noHBand="0" w:noVBand="1" w:val="04A0"/>
        <w:bidiVisual/>
      </w:tblPr>
      <w:tblGrid>
        <w:gridCol w:w="2693"/>
        <w:gridCol w:w="2693"/>
        <w:gridCol w:w="2693"/>
        <w:gridCol w:w="2693"/>
      </w:tblGrid>
      <w:tr>
        <w:tc>
          <w:tcPr>
            <w:tcW w:type="dxa" w:w="113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EAF3F5"/>
          </w:tcPr>
          <w:p>
            <w:pPr>
              <w:spacing w:after="0" w:line="240" w:lineRule="auto"/>
              <w:jc w:val="center"/>
              <w:bidi/>
            </w:pPr>
            <w:r/>
            <w:r>
              <w:rPr>
                <w:rFonts w:ascii="Arial" w:hAnsi="Arial" w:eastAsia="Arial" w:cs="Arial"/>
                <w:b/>
                <w:color w:val="000000"/>
                <w:sz w:val="17"/>
              </w:rPr>
              <w:t>المدرسة</w:t>
            </w:r>
          </w:p>
        </w:tc>
        <w:tc>
          <w:tcPr>
            <w:tcW w:type="dxa" w:w="345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
              <w:rPr>
                <w:rFonts w:ascii="Arial" w:hAnsi="Arial" w:eastAsia="Arial" w:cs="Arial"/>
                <w:b w:val="0"/>
                <w:color w:val="000000"/>
                <w:sz w:val="17"/>
              </w:rPr>
              <w:t>ابتدائية ثمامة بن عدي</w:t>
            </w:r>
          </w:p>
        </w:tc>
        <w:tc>
          <w:tcPr>
            <w:tcW w:type="dxa" w:w="113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EAF3F5"/>
          </w:tcPr>
          <w:p>
            <w:pPr>
              <w:spacing w:after="0" w:line="240" w:lineRule="auto"/>
              <w:jc w:val="center"/>
              <w:bidi/>
            </w:pPr>
            <w:r/>
            <w:r>
              <w:rPr>
                <w:rFonts w:ascii="Arial" w:hAnsi="Arial" w:eastAsia="Arial" w:cs="Arial"/>
                <w:b/>
                <w:color w:val="000000"/>
                <w:sz w:val="17"/>
              </w:rPr>
              <w:t>الموجه الطلابي</w:t>
            </w:r>
          </w:p>
        </w:tc>
        <w:tc>
          <w:tcPr>
            <w:tcW w:type="dxa" w:w="45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
              <w:rPr>
                <w:rFonts w:ascii="Arial" w:hAnsi="Arial" w:eastAsia="Arial" w:cs="Arial"/>
                <w:b w:val="0"/>
                <w:color w:val="000000"/>
                <w:sz w:val="17"/>
              </w:rPr>
              <w:t>................................................</w:t>
            </w:r>
          </w:p>
        </w:tc>
      </w:tr>
      <w:tr>
        <w:tc>
          <w:tcPr>
            <w:tcW w:type="dxa" w:w="113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EAF3F5"/>
          </w:tcPr>
          <w:p>
            <w:pPr>
              <w:spacing w:after="0" w:line="240" w:lineRule="auto"/>
              <w:jc w:val="center"/>
              <w:bidi/>
            </w:pPr>
            <w:r/>
            <w:r>
              <w:rPr>
                <w:rFonts w:ascii="Arial" w:hAnsi="Arial" w:eastAsia="Arial" w:cs="Arial"/>
                <w:b/>
                <w:color w:val="000000"/>
                <w:sz w:val="16"/>
              </w:rPr>
              <w:t>المرجع الحاكم</w:t>
            </w:r>
          </w:p>
        </w:tc>
        <w:tc>
          <w:tcPr>
            <w:tcW w:type="dxa" w:w="345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t>خطة القصيم 1448 للاستحقاق والتوقيت؛ نور للربط والتوثيق فقط</w:t>
            </w:r>
            <w:r>
              <w:rPr>
                <w:rFonts w:ascii="Arial" w:hAnsi="Arial" w:eastAsia="Arial" w:cs="Arial"/>
                <w:b w:val="0"/>
                <w:color w:val="000000"/>
                <w:sz w:val="16"/>
              </w:rPr>
            </w:r>
          </w:p>
        </w:tc>
        <w:tc>
          <w:tcPr>
            <w:tcW w:type="dxa" w:w="113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EAF3F5"/>
          </w:tcPr>
          <w:p>
            <w:pPr>
              <w:spacing w:after="0" w:line="240" w:lineRule="auto"/>
              <w:jc w:val="center"/>
              <w:bidi/>
            </w:pPr>
            <w:r/>
            <w:r>
              <w:rPr>
                <w:rFonts w:ascii="Arial" w:hAnsi="Arial" w:eastAsia="Arial" w:cs="Arial"/>
                <w:b/>
                <w:color w:val="000000"/>
                <w:sz w:val="16"/>
              </w:rPr>
              <w:t>عدد الطلاب</w:t>
            </w:r>
          </w:p>
        </w:tc>
        <w:tc>
          <w:tcPr>
            <w:tcW w:type="dxa" w:w="45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
              <w:rPr>
                <w:rFonts w:ascii="Arial" w:hAnsi="Arial" w:eastAsia="Arial" w:cs="Arial"/>
                <w:b w:val="0"/>
                <w:color w:val="000000"/>
                <w:sz w:val="16"/>
              </w:rPr>
              <w:t>140 طالبًا من الصف الثاني إلى السادس</w:t>
            </w:r>
          </w:p>
        </w:tc>
      </w:tr>
    </w:tbl>
    <w:p>
      <w:pPr>
        <w:spacing w:after="40" w:line="240" w:lineRule="auto" w:before="80"/>
        <w:jc w:val="right"/>
        <w:keepNext/>
        <w:bidi/>
      </w:pPr>
      <w:r>
        <w:rPr>
          <w:rFonts w:ascii="Arial" w:hAnsi="Arial" w:eastAsia="Arial" w:cs="Arial"/>
          <w:b/>
          <w:color w:val="0B5963"/>
          <w:sz w:val="24"/>
        </w:rPr>
        <w:t>1  قرار الأسبوع والحد التنفيذي</w:t>
      </w:r>
    </w:p>
    <w:p>
      <w:pPr>
        <w:spacing w:after="40" w:line="240" w:lineRule="auto"/>
        <w:jc w:val="right"/>
        <w:bidi/>
      </w:pPr>
      <w:r>
        <w:rPr>
          <w:rFonts w:ascii="Arial" w:hAnsi="Arial" w:eastAsia="Arial" w:cs="Arial"/>
          <w:b/>
          <w:color w:val="000000"/>
          <w:sz w:val="18"/>
        </w:rPr>
        <w:t xml:space="preserve">القرار: </w:t>
      </w:r>
      <w:r>
        <w:rPr>
          <w:rFonts w:ascii="Arial" w:hAnsi="Arial" w:eastAsia="Arial" w:cs="Arial"/>
          <w:b w:val="0"/>
          <w:color w:val="000000"/>
          <w:sz w:val="18"/>
        </w:rPr>
        <w:t>تنفيذ نشاط مدرسي داعم قصير بعنوان العودة المنتظمة بعد الإجازة. لا يعد تنفيذًا كاملًا لبرنامج رسمي ولا يفتح له ملف برنامج مستقل.</w:t>
      </w:r>
    </w:p>
    <w:p>
      <w:pPr>
        <w:spacing w:after="40" w:line="240" w:lineRule="auto"/>
        <w:jc w:val="right"/>
        <w:bidi/>
      </w:pPr>
      <w:r>
        <w:rPr>
          <w:rFonts w:ascii="Arial" w:hAnsi="Arial" w:eastAsia="Arial" w:cs="Arial"/>
          <w:b/>
          <w:color w:val="000000"/>
          <w:sz w:val="18"/>
        </w:rPr>
        <w:t xml:space="preserve">المرتكزات المرجعية: </w:t>
      </w:r>
      <w:r>
        <w:rPr>
          <w:rFonts w:ascii="Arial" w:hAnsi="Arial" w:eastAsia="Arial" w:cs="Arial"/>
          <w:b w:val="0"/>
          <w:color w:val="000000"/>
          <w:sz w:val="18"/>
        </w:rPr>
        <w:t>مؤشرات القيم والهوية والسلوك الإيجابي والانضباط والشراكة الأسرية في خطة القصيم 1448، وبخاصة المؤشرات 1 و3 و6 و12.</w:t>
      </w:r>
    </w:p>
    <w:p>
      <w:pPr>
        <w:spacing w:after="40" w:line="240" w:lineRule="auto"/>
        <w:jc w:val="right"/>
        <w:bidi/>
      </w:pPr>
      <w:r>
        <w:rPr>
          <w:rFonts w:ascii="Arial" w:hAnsi="Arial" w:eastAsia="Arial" w:cs="Arial"/>
          <w:b/>
          <w:color w:val="000000"/>
          <w:sz w:val="18"/>
        </w:rPr>
        <w:t xml:space="preserve">الفئة والقياس: </w:t>
      </w:r>
      <w:r>
        <w:rPr>
          <w:rFonts w:ascii="Arial" w:hAnsi="Arial" w:eastAsia="Arial" w:cs="Arial"/>
          <w:b w:val="0"/>
          <w:color w:val="000000"/>
          <w:sz w:val="18"/>
        </w:rPr>
        <w:t>الطلاب فعليًا في الاصطفاف والصفوف المنفذة، والأسر التي وصلتها الرسالة بعد اعتماد القناة. يسجل العدد الفعلي فقط، ولا يدعى تحقق أثر سنوي من أسبوع واحد.</w:t>
      </w:r>
    </w:p>
    <w:p>
      <w:pPr>
        <w:spacing w:after="40" w:line="240" w:lineRule="auto"/>
        <w:jc w:val="right"/>
        <w:bidi/>
      </w:pPr>
      <w:r>
        <w:rPr>
          <w:rFonts w:ascii="Arial" w:hAnsi="Arial" w:eastAsia="Arial" w:cs="Arial"/>
          <w:b/>
          <w:color w:val="000000"/>
          <w:sz w:val="18"/>
        </w:rPr>
        <w:t>قاعدة منع التشتت: أولوية مخططة واحدة. لا يفتح نشاط مخطط ثان قبل الإغلاق أو الترحيل المسبب. بعد كل كتلة عمل مدتها 20–25 دقيقة اترك عازلًا 10 دقائق بلا مهمة جديدة. في اليوم السيئ نفذ ثلاثة فقط: افحص الحالة العاجلة، نفذ أصغر خطوة من أولوية الأسبوع، ثم اكتب حالة نور أو الخطوة التالية. الحالات العاجلة تستجاب فورًا في مسارها النظامي.</w:t>
      </w:r>
      <w:r>
        <w:rPr>
          <w:rFonts w:ascii="Arial" w:hAnsi="Arial" w:eastAsia="Arial" w:cs="Arial"/>
          <w:b w:val="0"/>
          <w:color w:val="000000"/>
          <w:sz w:val="18"/>
        </w:rPr>
      </w:r>
    </w:p>
    <w:p>
      <w:pPr>
        <w:spacing w:after="40" w:line="240" w:lineRule="auto" w:before="80"/>
        <w:jc w:val="right"/>
        <w:keepNext/>
        <w:bidi/>
      </w:pPr>
      <w:r>
        <w:rPr>
          <w:rFonts w:ascii="Arial" w:hAnsi="Arial" w:eastAsia="Arial" w:cs="Arial"/>
          <w:b/>
          <w:color w:val="0B5963"/>
          <w:sz w:val="24"/>
        </w:rPr>
        <w:t>2  خطوة واحدة لكل يوم</w:t>
      </w:r>
    </w:p>
    <w:tbl>
      <w:tblPr>
        <w:tblW w:type="auto" w:w="0"/>
        <w:jc w:val="center"/>
        <w:tblLayout w:type="fixed"/>
        <w:tblLook w:firstColumn="1" w:firstRow="1" w:lastColumn="0" w:lastRow="0" w:noHBand="0" w:noVBand="1" w:val="04A0"/>
        <w:bidiVisual/>
      </w:tblPr>
      <w:tblGrid>
        <w:gridCol w:w="2693"/>
        <w:gridCol w:w="2693"/>
        <w:gridCol w:w="2693"/>
        <w:gridCol w:w="2693"/>
      </w:tblGrid>
      <w:tr>
        <w:trPr>
          <w:tblHeader w:val="true"/>
        </w:trPr>
        <w:tc>
          <w:tcPr>
            <w:tcW w:type="dxa" w:w="1247"/>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اليوم</w:t>
            </w:r>
          </w:p>
        </w:tc>
        <w:tc>
          <w:tcPr>
            <w:tcW w:type="dxa" w:w="45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الخطوة التالية الجاهزة</w:t>
            </w:r>
          </w:p>
        </w:tc>
        <w:tc>
          <w:tcPr>
            <w:tcW w:type="dxa" w:w="243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مؤشر الإتمام</w:t>
            </w:r>
          </w:p>
        </w:tc>
        <w:tc>
          <w:tcPr>
            <w:tcW w:type="dxa" w:w="260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الشاهد بعد التنفيذ</w:t>
            </w:r>
          </w:p>
        </w:tc>
      </w:tr>
      <w:tr>
        <w:tc>
          <w:tcPr>
            <w:tcW w:type="dxa" w:w="1247"/>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الأحد 27</w:t>
            </w:r>
            <w:r>
              <w:rPr>
                <w:rFonts w:ascii="Arial" w:hAnsi="Arial" w:eastAsia="Arial" w:cs="Arial"/>
                <w:b w:val="0"/>
                <w:color w:val="000000"/>
                <w:sz w:val="16"/>
              </w:rPr>
              <w:br/>
            </w:r>
            <w:r>
              <w:rPr>
                <w:rFonts w:ascii="Arial" w:hAnsi="Arial" w:eastAsia="Arial" w:cs="Arial"/>
                <w:b w:val="0"/>
                <w:color w:val="000000"/>
                <w:sz w:val="16"/>
              </w:rPr>
              <w:t>الاصطفاف</w:t>
            </w:r>
          </w:p>
        </w:tc>
        <w:tc>
          <w:tcPr>
            <w:tcW w:type="dxa" w:w="45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إلقاء كلمة العودة المختصرة في الاصطفاف، ثم تحديد صف واحد على الأقل للنشاط بحسب الجدول والتنسيق الفعلي.</w:t>
            </w:r>
          </w:p>
        </w:tc>
        <w:tc>
          <w:tcPr>
            <w:tcW w:type="dxa" w:w="243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تمت الكلمة وحددت الصفوف والمواعيد.</w:t>
            </w:r>
          </w:p>
        </w:tc>
        <w:tc>
          <w:tcPr>
            <w:tcW w:type="dxa" w:w="260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التاريخ، والصفوف المؤكدة، واسم المعلم المنسق فقط.</w:t>
            </w:r>
          </w:p>
        </w:tc>
      </w:tr>
      <w:tr>
        <w:tc>
          <w:tcPr>
            <w:tcW w:type="dxa" w:w="1247"/>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الاثنين 28</w:t>
            </w:r>
            <w:r>
              <w:rPr>
                <w:rFonts w:ascii="Arial" w:hAnsi="Arial" w:eastAsia="Arial" w:cs="Arial"/>
                <w:b w:val="0"/>
                <w:color w:val="000000"/>
                <w:sz w:val="16"/>
              </w:rPr>
              <w:br/>
            </w:r>
            <w:r>
              <w:rPr>
                <w:rFonts w:ascii="Arial" w:hAnsi="Arial" w:eastAsia="Arial" w:cs="Arial"/>
                <w:b w:val="0"/>
                <w:color w:val="000000"/>
                <w:sz w:val="16"/>
              </w:rPr>
              <w:t>حصة متاحة</w:t>
            </w:r>
          </w:p>
        </w:tc>
        <w:tc>
          <w:tcPr>
            <w:tcW w:type="dxa" w:w="45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تنفيذ النشاط الصفي الجاهز لمدة 10 دقائق في الصف المتاح. يكرر فقط إذا سمح الجدول دون مزاحمة الأعمال الأساسية.</w:t>
            </w:r>
          </w:p>
        </w:tc>
        <w:tc>
          <w:tcPr>
            <w:tcW w:type="dxa" w:w="243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عدد الصفوف والطلاب الذين نفذ لهم النشاط فعليًا.</w:t>
            </w:r>
          </w:p>
        </w:tc>
        <w:tc>
          <w:tcPr>
            <w:tcW w:type="dxa" w:w="260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تاريخ النشاط، الصفوف، العدد، وملاحظة قصيرة عند وجودها.</w:t>
            </w:r>
          </w:p>
        </w:tc>
      </w:tr>
      <w:tr>
        <w:tc>
          <w:tcPr>
            <w:tcW w:type="dxa" w:w="1247"/>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الثلاثاء 29</w:t>
            </w:r>
            <w:r>
              <w:rPr>
                <w:rFonts w:ascii="Arial" w:hAnsi="Arial" w:eastAsia="Arial" w:cs="Arial"/>
                <w:b w:val="0"/>
                <w:color w:val="000000"/>
                <w:sz w:val="16"/>
              </w:rPr>
              <w:br/>
            </w:r>
            <w:r>
              <w:rPr>
                <w:rFonts w:ascii="Arial" w:hAnsi="Arial" w:eastAsia="Arial" w:cs="Arial"/>
                <w:b w:val="0"/>
                <w:color w:val="000000"/>
                <w:sz w:val="16"/>
              </w:rPr>
              <w:t>بعد الاعتماد</w:t>
            </w:r>
          </w:p>
        </w:tc>
        <w:tc>
          <w:tcPr>
            <w:tcW w:type="dxa" w:w="45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تجهيز رسالة الأسرة، ثم إرسالها من الإدارة أو المفوض بالقناة المعتمدة. استكمال نشاط متعثر بدل فتح نشاط جديد.</w:t>
            </w:r>
          </w:p>
        </w:tc>
        <w:tc>
          <w:tcPr>
            <w:tcW w:type="dxa" w:w="243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أرسلت الرسالة فعلًا أم لم ترسل، ولمن وصلت.</w:t>
            </w:r>
          </w:p>
        </w:tc>
        <w:tc>
          <w:tcPr>
            <w:tcW w:type="dxa" w:w="260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نسخة الرسالة وتاريخ الإرسال عند حدوثه فقط.</w:t>
            </w:r>
          </w:p>
        </w:tc>
      </w:tr>
      <w:tr>
        <w:tc>
          <w:tcPr>
            <w:tcW w:type="dxa" w:w="1247"/>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الأربعاء 30</w:t>
            </w:r>
            <w:r>
              <w:rPr>
                <w:rFonts w:ascii="Arial" w:hAnsi="Arial" w:eastAsia="Arial" w:cs="Arial"/>
                <w:b w:val="0"/>
                <w:color w:val="000000"/>
                <w:sz w:val="16"/>
              </w:rPr>
              <w:br/>
            </w:r>
            <w:r>
              <w:rPr>
                <w:rFonts w:ascii="Arial" w:hAnsi="Arial" w:eastAsia="Arial" w:cs="Arial"/>
                <w:b w:val="0"/>
                <w:color w:val="000000"/>
                <w:sz w:val="16"/>
              </w:rPr>
              <w:t>متابعة قصيرة</w:t>
            </w:r>
          </w:p>
        </w:tc>
        <w:tc>
          <w:tcPr>
            <w:tcW w:type="dxa" w:w="45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سؤال المعلم المنفذ عن انتظام العودة، ومراجعة بيانات الحضور المتاحة دون إنشاء كشف جديد.</w:t>
            </w:r>
          </w:p>
        </w:tc>
        <w:tc>
          <w:tcPr>
            <w:tcW w:type="dxa" w:w="243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ملاحظة محددة أو إثبات عدم وجود ما يستدعي التدخل.</w:t>
            </w:r>
          </w:p>
        </w:tc>
        <w:tc>
          <w:tcPr>
            <w:tcW w:type="dxa" w:w="260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ملاحظة المعلم أو إحالة إلى بيانات الحضور المعتادة.</w:t>
            </w:r>
          </w:p>
        </w:tc>
      </w:tr>
      <w:tr>
        <w:tc>
          <w:tcPr>
            <w:tcW w:type="dxa" w:w="1247"/>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الخميس 1</w:t>
            </w:r>
            <w:r>
              <w:rPr>
                <w:rFonts w:ascii="Arial" w:hAnsi="Arial" w:eastAsia="Arial" w:cs="Arial"/>
                <w:b w:val="0"/>
                <w:color w:val="000000"/>
                <w:sz w:val="16"/>
              </w:rPr>
              <w:br/>
            </w:r>
            <w:r>
              <w:rPr>
                <w:rFonts w:ascii="Arial" w:hAnsi="Arial" w:eastAsia="Arial" w:cs="Arial"/>
                <w:b w:val="0"/>
                <w:color w:val="000000"/>
                <w:sz w:val="16"/>
              </w:rPr>
              <w:t>الإغلاق</w:t>
            </w:r>
          </w:p>
        </w:tc>
        <w:tc>
          <w:tcPr>
            <w:tcW w:type="dxa" w:w="4535"/>
            <w:vAlign w:val="center"/>
            <w:tcMar>
              <w:top w:w="80" w:type="dxa"/>
              <w:start w:w="100" w:type="dxa"/>
              <w:bottom w:w="80" w:type="dxa"/>
              <w:end w:w="10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t>مراجعة الشواهد. إذا نُفذ تدخل داخل صف أو مجموعة فمسار نور المتوقع «التوجيه الجماعي» عند انطباق الخدمة؛ يؤكد المسار بعد الواقعة ولا تُخترع حقول أو إجراء برنامج. إذا تعذر الإدخال تستخدم ورقة التقاط مؤقتة، ثم يغلق الأسبوع أو ترحل خطوة واحدة بسبب محدد.</w:t>
            </w:r>
            <w:r>
              <w:rPr>
                <w:rFonts w:ascii="Arial" w:hAnsi="Arial" w:eastAsia="Arial" w:cs="Arial"/>
                <w:b w:val="0"/>
                <w:color w:val="000000"/>
                <w:sz w:val="15"/>
              </w:rPr>
            </w:r>
          </w:p>
        </w:tc>
        <w:tc>
          <w:tcPr>
            <w:tcW w:type="dxa" w:w="243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مغلق، أو مرحل بسبب، أو أحيل لمسار حالة.</w:t>
            </w:r>
          </w:p>
        </w:tc>
        <w:tc>
          <w:tcPr>
            <w:tcW w:type="dxa" w:w="2608"/>
            <w:vAlign w:val="center"/>
            <w:tcMar>
              <w:top w:w="80" w:type="dxa"/>
              <w:start w:w="100" w:type="dxa"/>
              <w:bottom w:w="80" w:type="dxa"/>
              <w:end w:w="10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
              <w:rPr>
                <w:rFonts w:ascii="Arial" w:hAnsi="Arial" w:eastAsia="Arial" w:cs="Arial"/>
                <w:b w:val="0"/>
                <w:color w:val="000000"/>
                <w:sz w:val="15"/>
              </w:rPr>
              <w:t>موضع الشاهد، وحالة نور: لم يدخل / أدخل / تم التحقق، والخطوة التالية فقط.</w:t>
            </w:r>
          </w:p>
        </w:tc>
      </w:tr>
    </w:tbl>
    <w:p>
      <w:pPr>
        <w:spacing w:after="40" w:line="240" w:lineRule="auto" w:before="80"/>
        <w:jc w:val="right"/>
        <w:keepNext/>
        <w:bidi/>
      </w:pPr>
      <w:r>
        <w:rPr>
          <w:rFonts w:ascii="Arial" w:hAnsi="Arial" w:eastAsia="Arial" w:cs="Arial"/>
          <w:b/>
          <w:color w:val="0B5963"/>
          <w:sz w:val="24"/>
        </w:rPr>
        <w:t>3  المساران اللذان لا ينتظران خطة الأسبوع</w:t>
      </w:r>
    </w:p>
    <w:tbl>
      <w:tblPr>
        <w:tblW w:type="auto" w:w="0"/>
        <w:tblLayout w:type="fixed"/>
        <w:tblLook w:firstColumn="1" w:firstRow="1" w:lastColumn="0" w:lastRow="0" w:noHBand="0" w:noVBand="1" w:val="04A0"/>
        <w:bidiVisual/>
      </w:tblPr>
      <w:tblGrid>
        <w:gridCol w:w="5386"/>
        <w:gridCol w:w="5386"/>
      </w:tblGrid>
      <w:tr>
        <w:tc>
          <w:tcPr>
            <w:tcW w:type="dxa" w:w="544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1F6F8B"/>
          </w:tcPr>
          <w:p>
            <w:pPr>
              <w:spacing w:after="0" w:line="240" w:lineRule="auto"/>
              <w:jc w:val="center"/>
              <w:bidi/>
            </w:pPr>
            <w:r/>
            <w:r>
              <w:rPr>
                <w:rFonts w:ascii="Arial" w:hAnsi="Arial" w:eastAsia="Arial" w:cs="Arial"/>
                <w:b/>
                <w:color w:val="FFFFFF"/>
                <w:sz w:val="18"/>
              </w:rPr>
              <w:t>الأعمال الأساسية المستمرة</w:t>
            </w:r>
          </w:p>
        </w:tc>
        <w:tc>
          <w:tcPr>
            <w:tcW w:type="dxa" w:w="544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B9892B"/>
          </w:tcPr>
          <w:p>
            <w:pPr>
              <w:spacing w:after="0" w:line="240" w:lineRule="auto"/>
              <w:jc w:val="center"/>
              <w:bidi/>
            </w:pPr>
            <w:r/>
            <w:r>
              <w:rPr>
                <w:rFonts w:ascii="Arial" w:hAnsi="Arial" w:eastAsia="Arial" w:cs="Arial"/>
                <w:b/>
                <w:color w:val="FFFFFF"/>
                <w:sz w:val="18"/>
              </w:rPr>
              <w:t>الخدمات التي تفتح عند حدوثها</w:t>
            </w:r>
          </w:p>
        </w:tc>
      </w:tr>
      <w:tr>
        <w:tc>
          <w:tcPr>
            <w:tcW w:type="dxa" w:w="544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
              <w:rPr>
                <w:rFonts w:ascii="Arial" w:hAnsi="Arial" w:eastAsia="Arial" w:cs="Arial"/>
                <w:b w:val="0"/>
                <w:color w:val="000000"/>
                <w:sz w:val="16"/>
              </w:rPr>
              <w:t>□ الاصطفاف بحسب التكليف.</w:t>
            </w:r>
            <w:r>
              <w:br/>
            </w:r>
            <w:r>
              <w:rPr>
                <w:rFonts w:ascii="Arial" w:hAnsi="Arial" w:eastAsia="Arial" w:cs="Arial"/>
                <w:b w:val="0"/>
                <w:color w:val="000000"/>
                <w:sz w:val="16"/>
              </w:rPr>
              <w:t>□ مراجعة الغياب والتأخر والإحالات من مصادرها المعتادة.</w:t>
            </w:r>
            <w:r>
              <w:br/>
            </w:r>
            <w:r>
              <w:rPr>
                <w:rFonts w:ascii="Arial" w:hAnsi="Arial" w:eastAsia="Arial" w:cs="Arial"/>
                <w:b w:val="0"/>
                <w:color w:val="000000"/>
                <w:sz w:val="16"/>
              </w:rPr>
              <w:t>□ متابعة الحالات المفتوحة وفق الموعد التالي.</w:t>
            </w:r>
            <w:r>
              <w:br/>
            </w:r>
            <w:r>
              <w:rPr>
                <w:rFonts w:ascii="Arial" w:hAnsi="Arial" w:eastAsia="Arial" w:cs="Arial"/>
                <w:b w:val="0"/>
                <w:color w:val="000000"/>
                <w:sz w:val="16"/>
              </w:rPr>
              <w:t>□ توثيق الخدمة في موطنها عند تنفيذها فقط.</w:t>
            </w:r>
          </w:p>
        </w:tc>
        <w:tc>
          <w:tcPr>
            <w:tcW w:type="dxa" w:w="544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
              <w:rPr>
                <w:rFonts w:ascii="Arial" w:hAnsi="Arial" w:eastAsia="Arial" w:cs="Arial"/>
                <w:b w:val="0"/>
                <w:color w:val="000000"/>
                <w:sz w:val="16"/>
              </w:rPr>
              <w:t>□ غياب أو تأخر متكرر: تحقق وتواصل وتدخل مناسب.</w:t>
            </w:r>
            <w:r>
              <w:br/>
            </w:r>
            <w:r>
              <w:rPr>
                <w:rFonts w:ascii="Arial" w:hAnsi="Arial" w:eastAsia="Arial" w:cs="Arial"/>
                <w:b w:val="0"/>
                <w:color w:val="000000"/>
                <w:sz w:val="16"/>
              </w:rPr>
              <w:t>□ إحالة سلوكية أو تحصيلية: استقبال وفحص وخطوة أولى.</w:t>
            </w:r>
            <w:r>
              <w:br/>
            </w:r>
            <w:r>
              <w:rPr>
                <w:rFonts w:ascii="Arial" w:hAnsi="Arial" w:eastAsia="Arial" w:cs="Arial"/>
                <w:b w:val="0"/>
                <w:color w:val="000000"/>
                <w:sz w:val="16"/>
              </w:rPr>
              <w:t>□ موقف طارئ أو أزمة: إجراء فوري وفق الدليل.</w:t>
            </w:r>
            <w:r>
              <w:br/>
            </w:r>
            <w:r>
              <w:rPr>
                <w:rFonts w:ascii="Arial" w:hAnsi="Arial" w:eastAsia="Arial" w:cs="Arial"/>
                <w:b w:val="0"/>
                <w:color w:val="000000"/>
                <w:sz w:val="16"/>
              </w:rPr>
              <w:t>□ زيارة ولي أمر: توثق الزيارة الفعلية دون افتراض نتيجة.</w:t>
            </w:r>
          </w:p>
        </w:tc>
      </w:tr>
    </w:tbl>
    <w:p>
      <w:pPr>
        <w:spacing w:after="40" w:line="240" w:lineRule="auto" w:before="80"/>
        <w:jc w:val="right"/>
        <w:keepNext/>
        <w:bidi/>
      </w:pPr>
      <w:r>
        <w:rPr>
          <w:rFonts w:ascii="Arial" w:hAnsi="Arial" w:eastAsia="Arial" w:cs="Arial"/>
          <w:b/>
          <w:color w:val="0B5963"/>
          <w:sz w:val="24"/>
        </w:rPr>
        <w:t>4  إغلاق الخميس</w:t>
      </w:r>
    </w:p>
    <w:tbl>
      <w:tblPr>
        <w:tblW w:type="auto" w:w="0"/>
        <w:tblLook w:firstColumn="1" w:firstRow="1" w:lastColumn="0" w:lastRow="0" w:noHBand="0" w:noVBand="1" w:val="04A0"/>
      </w:tblPr>
      <w:tblGrid>
        <w:gridCol w:w="2693"/>
        <w:gridCol w:w="2693"/>
        <w:gridCol w:w="2693"/>
        <w:gridCol w:w="2693"/>
      </w:tblGrid>
      <w:tr>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
              <w:rPr>
                <w:rFonts w:ascii="Arial" w:hAnsi="Arial" w:eastAsia="Arial" w:cs="Arial"/>
                <w:b/>
                <w:color w:val="FFFFFF"/>
                <w:sz w:val="16"/>
              </w:rPr>
              <w:t>حالة الأولوية</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
              <w:rPr>
                <w:rFonts w:ascii="Arial" w:hAnsi="Arial" w:eastAsia="Arial" w:cs="Arial"/>
                <w:b/>
                <w:color w:val="FFFFFF"/>
                <w:sz w:val="16"/>
              </w:rPr>
              <w:t>موضع الشاهد</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
              <w:rPr>
                <w:rFonts w:ascii="Arial" w:hAnsi="Arial" w:eastAsia="Arial" w:cs="Arial"/>
                <w:b/>
                <w:color w:val="FFFFFF"/>
                <w:sz w:val="16"/>
              </w:rPr>
              <w:t>نور عند الانطباق</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
              <w:rPr>
                <w:rFonts w:ascii="Arial" w:hAnsi="Arial" w:eastAsia="Arial" w:cs="Arial"/>
                <w:b/>
                <w:color w:val="FFFFFF"/>
                <w:sz w:val="16"/>
              </w:rPr>
              <w:t>الخطوة التالية</w:t>
            </w:r>
          </w:p>
        </w:tc>
      </w:tr>
      <w:tr>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center"/>
              <w:bidi/>
            </w:pPr>
            <w:r/>
            <w:r>
              <w:rPr>
                <w:rFonts w:ascii="Arial" w:hAnsi="Arial" w:eastAsia="Arial" w:cs="Arial"/>
                <w:b w:val="0"/>
                <w:color w:val="000000"/>
                <w:sz w:val="16"/>
              </w:rPr>
              <w:t>□ مغلق  □ جزئي  □ مرحل بسبب</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center"/>
              <w:bidi/>
            </w:pPr>
            <w:r/>
            <w:r>
              <w:rPr>
                <w:rFonts w:ascii="Arial" w:hAnsi="Arial" w:eastAsia="Arial" w:cs="Arial"/>
                <w:b w:val="0"/>
                <w:color w:val="000000"/>
                <w:sz w:val="16"/>
              </w:rPr>
              <w:t>........................................</w:t>
            </w:r>
          </w:p>
        </w:tc>
        <w:tc>
          <w:tcPr>
            <w:tcW w:type="dxa" w:w="2693"/>
            <w:vAlign w:val="center"/>
            <w:tcMar>
              <w:top w:w="80" w:type="dxa"/>
              <w:start w:w="100" w:type="dxa"/>
              <w:bottom w:w="80" w:type="dxa"/>
              <w:end w:w="10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center"/>
              <w:bidi/>
            </w:pPr>
            <w:r/>
            <w:r>
              <w:rPr>
                <w:rFonts w:ascii="Arial" w:hAnsi="Arial" w:eastAsia="Arial" w:cs="Arial"/>
                <w:b w:val="0"/>
                <w:color w:val="000000"/>
                <w:sz w:val="15"/>
              </w:rPr>
              <w:t>□ لا ينطبق  □ لم يدخل</w:t>
            </w:r>
            <w:r>
              <w:br/>
            </w:r>
            <w:r>
              <w:rPr>
                <w:rFonts w:ascii="Arial" w:hAnsi="Arial" w:eastAsia="Arial" w:cs="Arial"/>
                <w:b w:val="0"/>
                <w:color w:val="000000"/>
                <w:sz w:val="15"/>
              </w:rPr>
              <w:t>□ أدخل  □ تحقق ظهوره</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center"/>
              <w:bidi/>
            </w:pPr>
            <w:r/>
            <w:r>
              <w:rPr>
                <w:rFonts w:ascii="Arial" w:hAnsi="Arial" w:eastAsia="Arial" w:cs="Arial"/>
                <w:b w:val="0"/>
                <w:color w:val="000000"/>
                <w:sz w:val="16"/>
              </w:rPr>
              <w:t>........................................</w:t>
            </w:r>
          </w:p>
        </w:tc>
      </w:tr>
    </w:tbl>
    <w:p>
      <w:pPr>
        <w:spacing w:after="0" w:line="240" w:lineRule="auto" w:before="40"/>
        <w:jc w:val="center"/>
        <w:keepNext w:val="0"/>
        <w:bidi/>
      </w:pPr>
      <w:r>
        <w:rPr>
          <w:rFonts w:ascii="Arial" w:hAnsi="Arial" w:eastAsia="Arial" w:cs="Arial"/>
          <w:b/>
          <w:color w:val="000000"/>
          <w:sz w:val="16"/>
        </w:rPr>
        <w:t>عدد الصفوف المنفذة: ..........   عدد الطلاب الفعلي: ..........   رسالة الأسرة: □ أرسلت  □ لم ترسل</w:t>
      </w:r>
    </w:p>
    <w:p>
      <w:r>
        <w:br w:type="page"/>
      </w:r>
    </w:p>
    <w:p>
      <w:pPr>
        <w:spacing w:after="20" w:line="240" w:lineRule="auto"/>
        <w:jc w:val="center"/>
        <w:bidi/>
      </w:pPr>
      <w:r>
        <w:rPr>
          <w:rFonts w:ascii="Arial" w:hAnsi="Arial" w:eastAsia="Arial" w:cs="Arial"/>
          <w:b/>
          <w:color w:val="000000"/>
          <w:sz w:val="32"/>
        </w:rPr>
        <w:t>حزمة التنفيذ الجاهزة للأسبوع</w:t>
      </w:r>
    </w:p>
    <w:p>
      <w:pPr>
        <w:spacing w:after="80" w:line="240" w:lineRule="auto"/>
        <w:jc w:val="center"/>
        <w:bidi/>
      </w:pPr>
      <w:r>
        <w:rPr>
          <w:rFonts w:ascii="Arial" w:hAnsi="Arial" w:eastAsia="Arial" w:cs="Arial"/>
          <w:b/>
          <w:color w:val="1F6F8B"/>
          <w:sz w:val="22"/>
        </w:rPr>
        <w:t>العودة المنتظمة بعد إجازة اليوم الوطني</w:t>
      </w:r>
    </w:p>
    <w:p>
      <w:pPr>
        <w:spacing w:after="40" w:line="240" w:lineRule="auto" w:before="80"/>
        <w:jc w:val="right"/>
        <w:keepNext/>
        <w:bidi/>
      </w:pPr>
      <w:r>
        <w:rPr>
          <w:rFonts w:ascii="Arial" w:hAnsi="Arial" w:eastAsia="Arial" w:cs="Arial"/>
          <w:b/>
          <w:color w:val="0B5963"/>
          <w:sz w:val="24"/>
        </w:rPr>
        <w:t>قبل البدء</w:t>
      </w:r>
    </w:p>
    <w:tbl>
      <w:tblPr>
        <w:tblW w:type="auto" w:w="0"/>
        <w:tblLook w:firstColumn="1" w:firstRow="1" w:lastColumn="0" w:lastRow="0" w:noHBand="0" w:noVBand="1" w:val="04A0"/>
      </w:tblPr>
      <w:tblGrid>
        <w:gridCol w:w="2693"/>
        <w:gridCol w:w="2693"/>
        <w:gridCol w:w="2693"/>
        <w:gridCol w:w="2693"/>
      </w:tblGrid>
      <w:tr>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
              <w:rPr>
                <w:rFonts w:ascii="Arial" w:hAnsi="Arial" w:eastAsia="Arial" w:cs="Arial"/>
                <w:b/>
                <w:color w:val="FFFFFF"/>
                <w:sz w:val="20"/>
              </w:rPr>
              <w:t>1</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1F6F8B"/>
          </w:tcPr>
          <w:p>
            <w:pPr>
              <w:spacing w:after="0" w:line="240" w:lineRule="auto"/>
              <w:jc w:val="center"/>
              <w:bidi/>
            </w:pPr>
            <w:r/>
            <w:r>
              <w:rPr>
                <w:rFonts w:ascii="Arial" w:hAnsi="Arial" w:eastAsia="Arial" w:cs="Arial"/>
                <w:b/>
                <w:color w:val="FFFFFF"/>
                <w:sz w:val="20"/>
              </w:rPr>
              <w:t>2</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B9892B"/>
          </w:tcPr>
          <w:p>
            <w:pPr>
              <w:spacing w:after="0" w:line="240" w:lineRule="auto"/>
              <w:jc w:val="center"/>
              <w:bidi/>
            </w:pPr>
            <w:r/>
            <w:r>
              <w:rPr>
                <w:rFonts w:ascii="Arial" w:hAnsi="Arial" w:eastAsia="Arial" w:cs="Arial"/>
                <w:b/>
                <w:color w:val="FFFFFF"/>
                <w:sz w:val="20"/>
              </w:rPr>
              <w:t>3</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
              <w:rPr>
                <w:rFonts w:ascii="Arial" w:hAnsi="Arial" w:eastAsia="Arial" w:cs="Arial"/>
                <w:b/>
                <w:color w:val="FFFFFF"/>
                <w:sz w:val="20"/>
              </w:rPr>
              <w:t>4</w:t>
            </w:r>
          </w:p>
        </w:tc>
      </w:tr>
      <w:tr>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center"/>
              <w:bidi/>
            </w:pPr>
            <w:r/>
            <w:r>
              <w:rPr>
                <w:rFonts w:ascii="Arial" w:hAnsi="Arial" w:eastAsia="Arial" w:cs="Arial"/>
                <w:b/>
                <w:color w:val="000000"/>
                <w:sz w:val="17"/>
              </w:rPr>
              <w:t>□ تأكيد موعد الاصطفاف</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center"/>
              <w:bidi/>
            </w:pPr>
            <w:r/>
            <w:r>
              <w:rPr>
                <w:rFonts w:ascii="Arial" w:hAnsi="Arial" w:eastAsia="Arial" w:cs="Arial"/>
                <w:b/>
                <w:color w:val="000000"/>
                <w:sz w:val="17"/>
              </w:rPr>
              <w:t>□ تنسيق صف النشاط</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center"/>
              <w:bidi/>
            </w:pPr>
            <w:r/>
            <w:r>
              <w:rPr>
                <w:rFonts w:ascii="Arial" w:hAnsi="Arial" w:eastAsia="Arial" w:cs="Arial"/>
                <w:b/>
                <w:color w:val="000000"/>
                <w:sz w:val="17"/>
              </w:rPr>
              <w:t>□ اعتماد قناة الرسالة</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center"/>
              <w:bidi/>
            </w:pPr>
            <w:r/>
            <w:r>
              <w:rPr>
                <w:rFonts w:ascii="Arial" w:hAnsi="Arial" w:eastAsia="Arial" w:cs="Arial"/>
                <w:b/>
                <w:color w:val="000000"/>
                <w:sz w:val="17"/>
              </w:rPr>
              <w:t>□ فتح موضع شاهد واحد فقط</w:t>
            </w:r>
          </w:p>
        </w:tc>
      </w:tr>
    </w:tbl>
    <w:p>
      <w:pPr>
        <w:spacing w:after="40" w:line="240" w:lineRule="auto" w:before="80"/>
        <w:jc w:val="right"/>
        <w:keepNext/>
        <w:bidi/>
      </w:pPr>
      <w:r>
        <w:rPr>
          <w:rFonts w:ascii="Arial" w:hAnsi="Arial" w:eastAsia="Arial" w:cs="Arial"/>
          <w:b/>
          <w:color w:val="0B5963"/>
          <w:sz w:val="24"/>
        </w:rPr>
        <w:t>نص الاصطفاف الجاهز نحو دقيقة</w:t>
      </w:r>
    </w:p>
    <w:p>
      <w:pPr>
        <w:spacing w:after="60" w:line="240" w:lineRule="auto" w:before="0"/>
        <w:jc w:val="right"/>
        <w:keepNext w:val="0"/>
        <w:bidi/>
      </w:pPr>
      <w:r>
        <w:rPr>
          <w:rFonts w:ascii="Arial" w:hAnsi="Arial" w:eastAsia="Arial" w:cs="Arial"/>
          <w:b w:val="0"/>
          <w:color w:val="000000"/>
          <w:sz w:val="18"/>
        </w:rPr>
        <w:t>السلام عليكم ورحمة الله وبركاته. أهلًا بكم بعد إجازة اليوم الوطني. نعود إلى مدرستنا بخطوات صغيرة نستطيع جميعًا عملها: نحضر في الوقت، ندخل صفوفنا بهدوء، ونجهز أدواتنا قبل الدرس. وإذا احتجنا إلى مساعدة نسأل المعلم بلطف. اختر اليوم خطوة واحدة تلتزم بها حتى نهاية الدوام. العودة إلى الروتين تصبح أسهل عندما نتعاون في البيت والمدرسة. أتمنى لكم أسبوعًا طيبًا.</w:t>
      </w:r>
    </w:p>
    <w:p>
      <w:pPr>
        <w:spacing w:after="40" w:line="240" w:lineRule="auto" w:before="80"/>
        <w:jc w:val="right"/>
        <w:keepNext/>
        <w:bidi/>
      </w:pPr>
      <w:r>
        <w:rPr>
          <w:rFonts w:ascii="Arial" w:hAnsi="Arial" w:eastAsia="Arial" w:cs="Arial"/>
          <w:b/>
          <w:color w:val="0B5963"/>
          <w:sz w:val="24"/>
        </w:rPr>
        <w:t>نشاط صفي جاهز 10 دقائق</w:t>
      </w:r>
    </w:p>
    <w:tbl>
      <w:tblPr>
        <w:tblW w:type="auto" w:w="0"/>
        <w:jc w:val="center"/>
        <w:tblLayout w:type="fixed"/>
        <w:tblLook w:firstColumn="1" w:firstRow="1" w:lastColumn="0" w:lastRow="0" w:noHBand="0" w:noVBand="1" w:val="04A0"/>
        <w:bidiVisual/>
      </w:tblPr>
      <w:tblGrid>
        <w:gridCol w:w="3591"/>
        <w:gridCol w:w="3591"/>
        <w:gridCol w:w="3591"/>
      </w:tblGrid>
      <w:tr>
        <w:trPr>
          <w:tblHeader w:val="true"/>
        </w:trPr>
        <w:tc>
          <w:tcPr>
            <w:tcW w:type="dxa" w:w="130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1F6F8B"/>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الوقت</w:t>
            </w:r>
          </w:p>
        </w:tc>
        <w:tc>
          <w:tcPr>
            <w:tcW w:type="dxa" w:w="7370"/>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1F6F8B"/>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الفعل والنص الجاهز</w:t>
            </w:r>
          </w:p>
        </w:tc>
        <w:tc>
          <w:tcPr>
            <w:tcW w:type="dxa" w:w="215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1F6F8B"/>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المخرج</w:t>
            </w:r>
          </w:p>
        </w:tc>
      </w:tr>
      <w:tr>
        <w:tc>
          <w:tcPr>
            <w:tcW w:type="dxa" w:w="130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دقيقة 1</w:t>
            </w:r>
          </w:p>
        </w:tc>
        <w:tc>
          <w:tcPr>
            <w:tcW w:type="dxa" w:w="7370"/>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قل: يسعدني لقاؤكم بعد الإجازة. ما الفعل الذي يجعل عودتنا إلى المدرسة تبدأ جيدًا؟ خذ إجابتين قصيرتين.</w:t>
            </w:r>
          </w:p>
        </w:tc>
        <w:tc>
          <w:tcPr>
            <w:tcW w:type="dxa" w:w="215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تهيئة قصيرة</w:t>
            </w:r>
          </w:p>
        </w:tc>
      </w:tr>
      <w:tr>
        <w:tc>
          <w:tcPr>
            <w:tcW w:type="dxa" w:w="130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دقيقتان 2-3</w:t>
            </w:r>
          </w:p>
        </w:tc>
        <w:tc>
          <w:tcPr>
            <w:tcW w:type="dxa" w:w="7370"/>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قل: لدينا ثلاث خطوات لليوم: نصل في الوقت، نجهز أدواتنا، ونتحدث مع زملائنا باحترام. اطلب من الطلاب تكرارها شفهيًا.</w:t>
            </w:r>
          </w:p>
        </w:tc>
        <w:tc>
          <w:tcPr>
            <w:tcW w:type="dxa" w:w="215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ثلاث خطوات معلنة</w:t>
            </w:r>
          </w:p>
        </w:tc>
      </w:tr>
      <w:tr>
        <w:tc>
          <w:tcPr>
            <w:tcW w:type="dxa" w:w="130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الدقائق 4-6</w:t>
            </w:r>
          </w:p>
        </w:tc>
        <w:tc>
          <w:tcPr>
            <w:tcW w:type="dxa" w:w="7370"/>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اعرض موقفًا: دخل زميل متأخرًا ونسي قلمه. ماذا نقول له؟ وكيف نساعده دون إحراج؟ استمع لإجابتين وتجنب تسمية طالب بعينه.</w:t>
            </w:r>
          </w:p>
        </w:tc>
        <w:tc>
          <w:tcPr>
            <w:tcW w:type="dxa" w:w="215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استجابة محترمة</w:t>
            </w:r>
          </w:p>
        </w:tc>
      </w:tr>
      <w:tr>
        <w:tc>
          <w:tcPr>
            <w:tcW w:type="dxa" w:w="130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الدقائق 7-9</w:t>
            </w:r>
          </w:p>
        </w:tc>
        <w:tc>
          <w:tcPr>
            <w:tcW w:type="dxa" w:w="7370"/>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اسأل: إذا نسيت أدواتك، ما أول خطوة؟ وإذا أردت الكلام وزميلك يتحدث، ماذا تفعل؟ نفذ تمثيلًا قصيرًا بطالبين عند ملاءمة الصف.</w:t>
            </w:r>
          </w:p>
        </w:tc>
        <w:tc>
          <w:tcPr>
            <w:tcW w:type="dxa" w:w="215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تطبيق عملي</w:t>
            </w:r>
          </w:p>
        </w:tc>
      </w:tr>
      <w:tr>
        <w:tc>
          <w:tcPr>
            <w:tcW w:type="dxa" w:w="130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دقيقة 10</w:t>
            </w:r>
          </w:p>
        </w:tc>
        <w:tc>
          <w:tcPr>
            <w:tcW w:type="dxa" w:w="7370"/>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اختم: اختر خطوة واحدة لليوم: الحضور في الوقت، تجهيز الحقيبة، أو كلمة طيبة. أخبر من بجوارك باختيارك. لا يطلب إقرار مكتوب.</w:t>
            </w:r>
          </w:p>
        </w:tc>
        <w:tc>
          <w:tcPr>
            <w:tcW w:type="dxa" w:w="215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اختيار شخصي</w:t>
            </w:r>
          </w:p>
        </w:tc>
      </w:tr>
    </w:tbl>
    <w:p>
      <w:pPr>
        <w:spacing w:after="40" w:line="240" w:lineRule="auto" w:before="80"/>
        <w:jc w:val="right"/>
        <w:keepNext/>
        <w:bidi/>
      </w:pPr>
      <w:r>
        <w:rPr>
          <w:rFonts w:ascii="Arial" w:hAnsi="Arial" w:eastAsia="Arial" w:cs="Arial"/>
          <w:b/>
          <w:color w:val="0B5963"/>
          <w:sz w:val="24"/>
        </w:rPr>
        <w:t>رسالة الأسرة بعد اعتماد القناة</w:t>
      </w:r>
    </w:p>
    <w:p>
      <w:pPr>
        <w:spacing w:after="60" w:line="240" w:lineRule="auto" w:before="0"/>
        <w:jc w:val="right"/>
        <w:keepNext w:val="0"/>
        <w:bidi/>
      </w:pPr>
      <w:r>
        <w:rPr>
          <w:rFonts w:ascii="Arial" w:hAnsi="Arial" w:eastAsia="Arial" w:cs="Arial"/>
          <w:b w:val="0"/>
          <w:color w:val="000000"/>
          <w:sz w:val="18"/>
        </w:rPr>
        <w:t>أولياء الأمور الكرام، نرحب بعودة أبنائنا بعد إجازة اليوم الوطني. نرجو مساعدتهم هذا الأسبوع على استعادة روتين المدرسة: نوم مناسب، تجهيز الحقيبة مساءً، والحضور في الوقت. اسألوا أبناءكم عن خطوة إيجابية فعلوها في صفهم اليوم وشجعوهم عليها. عند وجود صعوبة في العودة أو انتظام الحضور، تواصلوا مع المدرسة عبر القناة المعتمدة لنتعاون في دعم الطالب. شكرًا لشراكتكم.</w:t>
      </w:r>
    </w:p>
    <w:p>
      <w:pPr>
        <w:spacing w:after="40" w:line="240" w:lineRule="auto" w:before="80"/>
        <w:jc w:val="right"/>
        <w:keepNext/>
        <w:bidi/>
      </w:pPr>
      <w:r>
        <w:rPr>
          <w:rFonts w:ascii="Arial" w:hAnsi="Arial" w:eastAsia="Arial" w:cs="Arial"/>
          <w:b/>
          <w:color w:val="0B5963"/>
          <w:sz w:val="24"/>
        </w:rPr>
        <w:t>قرار التوثيق دون ازدواج</w:t>
      </w:r>
    </w:p>
    <w:tbl>
      <w:tblPr>
        <w:tblW w:type="auto" w:w="0"/>
        <w:jc w:val="center"/>
        <w:tblLayout w:type="fixed"/>
        <w:tblLook w:firstColumn="1" w:firstRow="1" w:lastColumn="0" w:lastRow="0" w:noHBand="0" w:noVBand="1" w:val="04A0"/>
        <w:bidiVisual/>
      </w:tblPr>
      <w:tblGrid>
        <w:gridCol w:w="5386"/>
        <w:gridCol w:w="5386"/>
      </w:tblGrid>
      <w:tr>
        <w:trPr>
          <w:tblHeader w:val="true"/>
        </w:trPr>
        <w:tc>
          <w:tcPr>
            <w:tcW w:type="dxa" w:w="28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السؤال</w:t>
            </w:r>
          </w:p>
        </w:tc>
        <w:tc>
          <w:tcPr>
            <w:tcW w:type="dxa" w:w="799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القرار التنفيذي</w:t>
            </w:r>
          </w:p>
        </w:tc>
      </w:tr>
      <w:tr>
        <w:tc>
          <w:tcPr>
            <w:tcW w:type="dxa" w:w="28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هل هذا برنامج رسمي كامل؟</w:t>
            </w:r>
          </w:p>
        </w:tc>
        <w:tc>
          <w:tcPr>
            <w:tcW w:type="dxa" w:w="799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t>لا. هو نشاط مدرسي داعم. مسار نور المتوقع عند تنفيذه داخل صف أو مجموعة هو «التوجيه الجماعي» عند انطباق الخدمة، ويؤكد بعد الواقعة؛ ولا يسمى برنامج تعزيز السلوك الإيجابي مكتملًا.</w:t>
            </w:r>
            <w:r>
              <w:rPr>
                <w:rFonts w:ascii="Arial" w:hAnsi="Arial" w:eastAsia="Arial" w:cs="Arial"/>
                <w:b w:val="0"/>
                <w:color w:val="000000"/>
                <w:sz w:val="16"/>
              </w:rPr>
            </w:r>
          </w:p>
        </w:tc>
      </w:tr>
      <w:tr>
        <w:tc>
          <w:tcPr>
            <w:tcW w:type="dxa" w:w="28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هل نفذ نشاط عام؟</w:t>
            </w:r>
          </w:p>
        </w:tc>
        <w:tc>
          <w:tcPr>
            <w:tcW w:type="dxa" w:w="7994"/>
            <w:vAlign w:val="center"/>
            <w:tcMar>
              <w:top w:w="80" w:type="dxa"/>
              <w:start w:w="100" w:type="dxa"/>
              <w:bottom w:w="80" w:type="dxa"/>
              <w:end w:w="10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t>إذا نُفذ داخل صف أو مجموعة، يوثق مرة واحدة في «التوجيه الجماعي» عند انطباق الخدمة، مع التاريخ والفئة والعدد الفعلي ومرجع الشاهد. إذا لم تنطبق الخدمة، يحفظ في السجل النظامي المختص ولا يُنشأ إجراء برنامج بديل.</w:t>
            </w:r>
            <w:r>
              <w:rPr>
                <w:rFonts w:ascii="Arial" w:hAnsi="Arial" w:eastAsia="Arial" w:cs="Arial"/>
                <w:b w:val="0"/>
                <w:color w:val="000000"/>
                <w:sz w:val="16"/>
              </w:rPr>
            </w:r>
          </w:p>
        </w:tc>
      </w:tr>
      <w:tr>
        <w:tc>
          <w:tcPr>
            <w:tcW w:type="dxa" w:w="28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هل حدثت خدمة فردية حقيقية؟</w:t>
            </w:r>
          </w:p>
        </w:tc>
        <w:tc>
          <w:tcPr>
            <w:tcW w:type="dxa" w:w="799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تسجل الخدمة الفردية وحدها في نور أو سجلها المختص. لا تنشأ خدمة فردية من مجرد الرسالة العامة.</w:t>
            </w:r>
          </w:p>
        </w:tc>
      </w:tr>
      <w:tr>
        <w:tc>
          <w:tcPr>
            <w:tcW w:type="dxa" w:w="28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هل أرسلت الرسالة فقط؟</w:t>
            </w:r>
          </w:p>
        </w:tc>
        <w:tc>
          <w:tcPr>
            <w:tcW w:type="dxa" w:w="799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تعد شاهد تواصل عام، وليست زيارة ولي أمر ولا اتصالًا فرديًا ما لم يحدث تواصل فردي فعلي.</w:t>
            </w:r>
          </w:p>
        </w:tc>
      </w:tr>
    </w:tbl>
    <w:p>
      <w:pPr>
        <w:spacing w:after="40" w:line="240" w:lineRule="auto" w:before="80"/>
        <w:jc w:val="right"/>
        <w:keepNext/>
        <w:bidi/>
      </w:pPr>
      <w:r>
        <w:rPr>
          <w:rFonts w:ascii="Arial" w:hAnsi="Arial" w:eastAsia="Arial" w:cs="Arial"/>
          <w:b/>
          <w:color w:val="0B5963"/>
          <w:sz w:val="24"/>
        </w:rPr>
        <w:t>ضوابط لا تتغير</w:t>
      </w:r>
    </w:p>
    <w:p>
      <w:pPr>
        <w:spacing w:after="20" w:line="240" w:lineRule="auto"/>
        <w:ind w:right="113"/>
        <w:jc w:val="right"/>
        <w:bidi/>
      </w:pPr>
      <w:r>
        <w:rPr>
          <w:rFonts w:ascii="Arial" w:hAnsi="Arial" w:eastAsia="Arial" w:cs="Arial"/>
          <w:b w:val="0"/>
          <w:color w:val="000000"/>
          <w:sz w:val="17"/>
        </w:rPr>
        <w:t>□  خطة القصيم 1448 هي المصدر الحاكم للاستحقاق والتوقيت. تستخدم خطة المدرسة في نور للربط والتوثيق عند الانطباق، ولا ينشئ وجود البرنامج في نور استحقاقًا جديدًا.</w:t>
      </w:r>
    </w:p>
    <w:p>
      <w:pPr>
        <w:spacing w:after="20" w:line="240" w:lineRule="auto"/>
        <w:ind w:right="113"/>
        <w:jc w:val="right"/>
        <w:bidi/>
      </w:pPr>
      <w:r>
        <w:rPr>
          <w:rFonts w:ascii="Arial" w:hAnsi="Arial" w:eastAsia="Arial" w:cs="Arial"/>
          <w:b w:val="0"/>
          <w:color w:val="000000"/>
          <w:sz w:val="17"/>
        </w:rPr>
        <w:t>□  قبل تنفيذ أي برنامج رسمي يراجع دليل البرنامج وتستخرج منه فقط المتطلبات والأدوار والشواهد والمؤشرات الملزمة.</w:t>
      </w:r>
    </w:p>
    <w:p>
      <w:pPr>
        <w:spacing w:after="20" w:line="240" w:lineRule="auto"/>
        <w:ind w:right="113"/>
        <w:jc w:val="right"/>
        <w:bidi/>
      </w:pPr>
      <w:r>
        <w:rPr>
          <w:rFonts w:ascii="Arial" w:hAnsi="Arial" w:eastAsia="Arial" w:cs="Arial"/>
          <w:b w:val="0"/>
          <w:color w:val="000000"/>
          <w:sz w:val="17"/>
        </w:rPr>
        <w:t>□  دور اللجنة يحفظ عندما يرد في المرجع ويحدث فعليًا؛ لا يفترض أن أعضاء اللجنة قوة تنفيذ أسبوعية.</w:t>
      </w:r>
    </w:p>
    <w:p>
      <w:pPr>
        <w:spacing w:after="20" w:line="240" w:lineRule="auto"/>
        <w:ind w:right="113"/>
        <w:jc w:val="right"/>
        <w:bidi/>
      </w:pPr>
      <w:r>
        <w:rPr>
          <w:rFonts w:ascii="Arial" w:hAnsi="Arial" w:eastAsia="Arial" w:cs="Arial"/>
          <w:b w:val="0"/>
          <w:color w:val="000000"/>
          <w:sz w:val="17"/>
        </w:rPr>
        <w:t>□  لا يدمج السجل المختص في الخطة الأسبوعية. خدمة نور هي السجل الأول فيما يغطيه؛ وإن تعذر الإدخال الفوري تستخدم ورقة الالتقاط مؤقتًا، ثم يدخل السجل ويعاد فتحه للتحقق من ظهوره.</w:t>
      </w:r>
    </w:p>
    <w:p>
      <w:pPr>
        <w:spacing w:after="20" w:line="240" w:lineRule="auto"/>
        <w:ind w:right="113"/>
        <w:jc w:val="right"/>
        <w:bidi/>
      </w:pPr>
      <w:r>
        <w:rPr>
          <w:rFonts w:ascii="Arial" w:hAnsi="Arial" w:eastAsia="Arial" w:cs="Arial"/>
          <w:b w:val="0"/>
          <w:color w:val="000000"/>
          <w:sz w:val="17"/>
        </w:rPr>
        <w:t>□  تحفظ الأصول الموقعة والموافقات والتقارير الطبية في الملف المختص ولا تتلف بعد الإدخال في نور. ولا توضع أسماء الطلاب أو تفاصيل الحالات الحساسة في هذه الخطة العامة.</w:t>
      </w:r>
    </w:p>
    <w:sectPr w:rsidR="00FC693F" w:rsidRPr="0006063C" w:rsidSect="00034616">
      <w:headerReference w:type="default" r:id="rId9"/>
      <w:footerReference w:type="default" r:id="rId10"/>
      <w:pgSz w:w="11906" w:h="16838"/>
      <w:pgMar w:top="510" w:right="567" w:bottom="510" w:left="567"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line="240" w:lineRule="auto"/>
      <w:jc w:val="center"/>
      <w:bidi/>
    </w:pPr>
    <w:r>
      <w:rPr>
        <w:rFonts w:ascii="Arial" w:hAnsi="Arial" w:eastAsia="Arial" w:cs="Arial"/>
        <w:b w:val="0"/>
        <w:color w:val="000000"/>
        <w:sz w:val="15"/>
      </w:rPr>
      <w:t>قالب تشغيلي أسبوعي  |  الإصدار النهائي 1.0  |  لا يحل محل الخطة السنوية في نور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center"/>
      <w:bidi/>
    </w:pPr>
    <w:r>
      <w:rPr>
        <w:rFonts w:ascii="Arial" w:hAnsi="Arial" w:eastAsia="Arial" w:cs="Arial"/>
        <w:b/>
        <w:color w:val="0B5963"/>
        <w:sz w:val="17"/>
      </w:rPr>
      <w:t>المملكة العربية السعودية   |   وزارة التعليم   |   تعليم القصيم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الموجه الطلابي الأسبوعية التنفيذية</dc:title>
  <dc:subject>خطة أسبوعية مهيأة لتقليل التشتت والعبء التنفيذي</dc:subject>
  <dc:creator/>
  <cp:keywords>التوجيه الطلابي، خطة أسبوعية، نور، القصيم 1448</cp:keywords>
  <dc:description>generated by python-docx</dc:description>
  <cp:lastModifiedBy/>
  <cp:revision>1</cp:revision>
  <dcterms:created xsi:type="dcterms:W3CDTF">2013-12-23T23:15:00Z</dcterms:created>
  <dcterms:modified xsi:type="dcterms:W3CDTF">2013-12-23T23:15:00Z</dcterms:modified>
  <cp:category/>
</cp:coreProperties>
</file>