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8574" w14:textId="77777777" w:rsidR="00D92EF6" w:rsidRDefault="00000000">
      <w:pPr>
        <w:jc w:val="center"/>
      </w:pPr>
      <w:r>
        <w:rPr>
          <w:b/>
          <w:sz w:val="32"/>
        </w:rPr>
        <w:t>Cahier des Charges — Application Web de Simulation des Offres Télécom et Analyse BI</w:t>
      </w:r>
    </w:p>
    <w:p w14:paraId="16EF95D3" w14:textId="7B34EFEC" w:rsidR="00D92EF6" w:rsidRDefault="00D92EF6">
      <w:pPr>
        <w:jc w:val="center"/>
      </w:pPr>
    </w:p>
    <w:p w14:paraId="00537B99" w14:textId="77777777" w:rsidR="00D92EF6" w:rsidRDefault="00000000">
      <w:r>
        <w:rPr>
          <w:b/>
          <w:sz w:val="26"/>
        </w:rPr>
        <w:t>1. Introduction &amp; objectifs</w:t>
      </w:r>
    </w:p>
    <w:p w14:paraId="1DB95C0C" w14:textId="77777777" w:rsidR="00D92EF6" w:rsidRDefault="00000000">
      <w:r>
        <w:t>Ce cahier des charges définit les exigences fonctionnelles et techniques d’une application web permettant :</w:t>
      </w:r>
      <w:r>
        <w:br/>
        <w:t>• la simulation de différentes offres télécom (voix, data, SMS, packs convergents),</w:t>
      </w:r>
      <w:r>
        <w:br/>
        <w:t>• la comparaison multi-offres selon des profils clients,</w:t>
      </w:r>
      <w:r>
        <w:br/>
        <w:t>• la génération d’indicateurs pour le pilotage via Power BI (usage, coût, ARPU simulé, churn potentiel),</w:t>
      </w:r>
      <w:r>
        <w:br/>
        <w:t>• la traçabilité des scénarios et la gouvernance des données.</w:t>
      </w:r>
      <w:r>
        <w:br/>
      </w:r>
    </w:p>
    <w:p w14:paraId="6B0D0C6E" w14:textId="77777777" w:rsidR="00D92EF6" w:rsidRDefault="00000000">
      <w:r>
        <w:rPr>
          <w:b/>
        </w:rPr>
        <w:t>Objectifs opérationnels :</w:t>
      </w:r>
      <w:r>
        <w:t xml:space="preserve"> optimiser la sélection d’offres, accélérer l’analyse marketing, standardiser la modélisation tarifaire et fournir des tableaux de bord décisionnels.</w:t>
      </w:r>
    </w:p>
    <w:p w14:paraId="6EA2B88A" w14:textId="77777777" w:rsidR="00D92EF6" w:rsidRDefault="00000000">
      <w:r>
        <w:rPr>
          <w:b/>
          <w:sz w:val="26"/>
        </w:rPr>
        <w:t>2. Contexte métier (offres télécom)</w:t>
      </w:r>
    </w:p>
    <w:p w14:paraId="738E8B94" w14:textId="77777777" w:rsidR="00D92EF6" w:rsidRDefault="00000000">
      <w:r>
        <w:t>Le périmètre couvre les offres grand public et professionnelles : prépayé, postpayé, data-only, voix+data, SMS, et options (roaming, night data, social, fidélité).</w:t>
      </w:r>
      <w:r>
        <w:br/>
        <w:t>Les règles usuelles incluent : plafond de consommation, fair use, validité, tarifs hors forfait, bundles, promotions et remises (par durée d’engagement ou volume).</w:t>
      </w:r>
      <w:r>
        <w:br/>
      </w:r>
    </w:p>
    <w:p w14:paraId="3E8D99F0" w14:textId="77777777" w:rsidR="00D92EF6" w:rsidRDefault="00000000">
      <w:r>
        <w:rPr>
          <w:b/>
          <w:sz w:val="26"/>
        </w:rPr>
        <w:t>3. Fonctionnalités principales</w:t>
      </w:r>
    </w:p>
    <w:p w14:paraId="595758B0" w14:textId="77777777" w:rsidR="00D92EF6" w:rsidRDefault="00000000">
      <w:pPr>
        <w:pStyle w:val="Listepuces"/>
      </w:pPr>
      <w:r>
        <w:t>Gestion des catalogues d’offres (CRUD, versions, statut de publication)</w:t>
      </w:r>
    </w:p>
    <w:p w14:paraId="06F2433D" w14:textId="77777777" w:rsidR="00D92EF6" w:rsidRDefault="00000000">
      <w:pPr>
        <w:pStyle w:val="Listepuces"/>
      </w:pPr>
      <w:r>
        <w:t>Modélisation des paramètres tarifaires (prix, quotas, validité, dépassement, options)</w:t>
      </w:r>
    </w:p>
    <w:p w14:paraId="170A32D6" w14:textId="77777777" w:rsidR="00D92EF6" w:rsidRDefault="00000000">
      <w:pPr>
        <w:pStyle w:val="Listepuces"/>
      </w:pPr>
      <w:r>
        <w:t>Profils clients (consommation moyenne mensuelle : minutes, SMS, data ; préférences ; budget)</w:t>
      </w:r>
    </w:p>
    <w:p w14:paraId="7D4CEDA4" w14:textId="77777777" w:rsidR="00D92EF6" w:rsidRDefault="00000000">
      <w:pPr>
        <w:pStyle w:val="Listepuces"/>
      </w:pPr>
      <w:r>
        <w:t>Simulation mono- et multi-offres (coût total, coût unitaire, satisfaction)</w:t>
      </w:r>
    </w:p>
    <w:p w14:paraId="0B45ABBC" w14:textId="77777777" w:rsidR="00D92EF6" w:rsidRDefault="00000000">
      <w:pPr>
        <w:pStyle w:val="Listepuces"/>
      </w:pPr>
      <w:r>
        <w:t>Comparateur d’offres avec ranking et justification (explainability)</w:t>
      </w:r>
    </w:p>
    <w:p w14:paraId="0ADA0838" w14:textId="77777777" w:rsidR="00D92EF6" w:rsidRDefault="00000000">
      <w:pPr>
        <w:pStyle w:val="Listepuces"/>
      </w:pPr>
      <w:r>
        <w:t>Gestion des scénarios : sauvegarde, duplication, partage, export (CSV/XLSX/PDF)</w:t>
      </w:r>
    </w:p>
    <w:p w14:paraId="6979F34E" w14:textId="77777777" w:rsidR="00D92EF6" w:rsidRDefault="00000000">
      <w:pPr>
        <w:pStyle w:val="Listepuces"/>
      </w:pPr>
      <w:r>
        <w:t>Traçabilité et audit (qui, quoi, quand)</w:t>
      </w:r>
    </w:p>
    <w:p w14:paraId="0677E290" w14:textId="77777777" w:rsidR="00D92EF6" w:rsidRDefault="00000000">
      <w:pPr>
        <w:pStyle w:val="Listepuces"/>
      </w:pPr>
      <w:r>
        <w:t>Sécurité : rôles (Admin, Analyste, Invité), authentification, journalisation</w:t>
      </w:r>
    </w:p>
    <w:p w14:paraId="403B5F04" w14:textId="77777777" w:rsidR="00D92EF6" w:rsidRDefault="00000000">
      <w:pPr>
        <w:pStyle w:val="Listepuces"/>
      </w:pPr>
      <w:r>
        <w:t>Intégration BI : export vers Power BI, dataset actualisable</w:t>
      </w:r>
    </w:p>
    <w:p w14:paraId="40B8F8D7" w14:textId="77777777" w:rsidR="00D92EF6" w:rsidRDefault="00000000">
      <w:r>
        <w:rPr>
          <w:b/>
          <w:sz w:val="26"/>
        </w:rPr>
        <w:t>4. Architecture technique (React, Node.js, MySQL, Power BI)</w:t>
      </w:r>
    </w:p>
    <w:p w14:paraId="132F2886" w14:textId="77777777" w:rsidR="00D92EF6" w:rsidRDefault="00000000">
      <w:r>
        <w:t>Front-end : React (Vite), composantisation, React Router, gestion d’état (Redux/Context), tables et graphiques.</w:t>
      </w:r>
      <w:r>
        <w:br/>
        <w:t>Back-end : Node.js (Express), API RESTful, validation (Joi), sécurité (JWT, bcrypt), journaux (Winston).</w:t>
      </w:r>
      <w:r>
        <w:br/>
        <w:t>Base : MySQL (modélisation normalisée, contraintes), migrations (Sequelize/Prisma).</w:t>
      </w:r>
      <w:r>
        <w:br/>
        <w:t>BI : Power BI Desktop + Gateway (optionnel), modèle de données tabulaire, mesures DAX, rafraîchissement planifié.</w:t>
      </w:r>
      <w:r>
        <w:br/>
      </w:r>
    </w:p>
    <w:p w14:paraId="13325D0C" w14:textId="77777777" w:rsidR="00D92EF6" w:rsidRDefault="00000000">
      <w:r>
        <w:rPr>
          <w:b/>
          <w:sz w:val="26"/>
        </w:rPr>
        <w:t>5. Paramètres &amp; règles de simulation</w:t>
      </w:r>
    </w:p>
    <w:p w14:paraId="0E2849F6" w14:textId="77777777" w:rsidR="00D92EF6" w:rsidRDefault="00000000">
      <w:r>
        <w:t>Paramètres de base par offre : prix mensuel, quotas (minutes, SMS, data), validité (jours), tolérance fair use, coût dépassement (par unité), roaming, options incluses.</w:t>
      </w:r>
      <w:r>
        <w:br/>
        <w:t>Profil client : minutes_moy, sms_moy, data_moy (Go), usage nocturne (%), roaming (jours), budget max, priorité (prix/qualité).</w:t>
      </w:r>
      <w:r>
        <w:br/>
        <w:t>Règles de calcul :</w:t>
      </w:r>
      <w:r>
        <w:br/>
        <w:t>• Coût_inclus = prix</w:t>
      </w:r>
      <w:r>
        <w:br/>
        <w:t>• Dépassement_minutes = max(0, minutes_moy - quota_minutes) * coût_minute_hors_forfait</w:t>
      </w:r>
      <w:r>
        <w:br/>
        <w:t>• Dépassement_sms = max(0, sms_moy - quota_sms) * coût_sms_hors_forfait</w:t>
      </w:r>
      <w:r>
        <w:br/>
        <w:t>• Dépassement_data = max(0, data_moy - quota_data) * coût_data_hors_forfait</w:t>
      </w:r>
      <w:r>
        <w:br/>
        <w:t>• Total = Coût_inclus + Dépassements - remises</w:t>
      </w:r>
      <w:r>
        <w:br/>
        <w:t>• Score_satisfaction = f(prix, couverture, options, pénalités fair use)</w:t>
      </w:r>
      <w:r>
        <w:br/>
      </w:r>
    </w:p>
    <w:p w14:paraId="3AAA297A" w14:textId="77777777" w:rsidR="00D92EF6" w:rsidRDefault="00000000">
      <w:r>
        <w:rPr>
          <w:b/>
          <w:sz w:val="26"/>
        </w:rPr>
        <w:t>6. Exigences BI (indicateurs, rapports, dashboards)</w:t>
      </w:r>
    </w:p>
    <w:p w14:paraId="2D05EF42" w14:textId="77777777" w:rsidR="00D92EF6" w:rsidRDefault="00000000">
      <w:pPr>
        <w:pStyle w:val="Listepuces"/>
      </w:pPr>
      <w:r>
        <w:t>Indicateurs : coût total par profil, différentiel vs offre la moins chère, ARPU simulé, part d’offres recommandées, % dépassement, coût roaming, top options utilisées</w:t>
      </w:r>
    </w:p>
    <w:p w14:paraId="57B88AD2" w14:textId="77777777" w:rsidR="00D92EF6" w:rsidRDefault="00000000">
      <w:pPr>
        <w:pStyle w:val="Listepuces"/>
      </w:pPr>
      <w:r>
        <w:t>Rapports : par segment (prépayé/postpayé), par type d’offre, par budget, par usage (voix/data/SMS)</w:t>
      </w:r>
    </w:p>
    <w:p w14:paraId="5DB27DF1" w14:textId="77777777" w:rsidR="00D92EF6" w:rsidRDefault="00000000">
      <w:pPr>
        <w:pStyle w:val="Listepuces"/>
      </w:pPr>
      <w:r>
        <w:t>Dashboards :</w:t>
      </w:r>
      <w:r>
        <w:br/>
        <w:t xml:space="preserve">  - Vue Marketing : KPI de compétitivité des offres, heatmap des dépassements</w:t>
      </w:r>
      <w:r>
        <w:br/>
        <w:t xml:space="preserve">  - Vue Produit : performance par offre, effets des options</w:t>
      </w:r>
      <w:r>
        <w:br/>
        <w:t xml:space="preserve">  - Vue Direction : économies potentielles, risques de churn</w:t>
      </w:r>
    </w:p>
    <w:p w14:paraId="239676B8" w14:textId="77777777" w:rsidR="00D92EF6" w:rsidRDefault="00000000">
      <w:pPr>
        <w:pStyle w:val="Listepuces"/>
      </w:pPr>
      <w:r>
        <w:t>Gouvernance : dictionnaire de données, qualité, versionnement, conformité RGPD (anonymisation des profils).</w:t>
      </w:r>
    </w:p>
    <w:p w14:paraId="5E554776" w14:textId="77777777" w:rsidR="00D92EF6" w:rsidRDefault="00000000">
      <w:r>
        <w:rPr>
          <w:b/>
          <w:sz w:val="26"/>
        </w:rPr>
        <w:t>7. Planning &amp; livrables</w:t>
      </w:r>
    </w:p>
    <w:p w14:paraId="08A352D0" w14:textId="77777777" w:rsidR="00D92EF6" w:rsidRDefault="00000000">
      <w:r>
        <w:t>Durée : 16 semaines (PFE). Jalons :</w:t>
      </w:r>
      <w:r>
        <w:br/>
        <w:t>S1–S2 : cadrage, spécifications détaillées, conception DB et API</w:t>
      </w:r>
      <w:r>
        <w:br/>
        <w:t>S3–S6 : développement back-end + base de données, tests unitaires</w:t>
      </w:r>
      <w:r>
        <w:br/>
        <w:t>S5–S8 : développement front-end, intégration API</w:t>
      </w:r>
      <w:r>
        <w:br/>
        <w:t>S7–S9 : moteur de simulation, comparateur, export</w:t>
      </w:r>
      <w:r>
        <w:br/>
        <w:t>S9–S12 : intégration Power BI, modèle DAX, dashboards</w:t>
      </w:r>
      <w:r>
        <w:br/>
        <w:t>S13–S14 : non-fonctionnels (sécurité, perf, logs, RGPD), tests</w:t>
      </w:r>
      <w:r>
        <w:br/>
        <w:t>S15 : recette, documentation, formation</w:t>
      </w:r>
      <w:r>
        <w:br/>
        <w:t>S16 : soutenance, livraison finale</w:t>
      </w:r>
    </w:p>
    <w:p w14:paraId="7CAC99F9" w14:textId="77777777" w:rsidR="00D92EF6" w:rsidRDefault="00000000">
      <w:r>
        <w:rPr>
          <w:b/>
        </w:rPr>
        <w:t>Livrables :</w:t>
      </w:r>
      <w:r>
        <w:t xml:space="preserve"> cahier des charges, schéma ER, API docs (OpenAPI), code source, base de données initiale, scripts de migration, jeux de données fictifs, rapports Power BI, guide d’exploitation.</w:t>
      </w:r>
    </w:p>
    <w:sectPr w:rsidR="00D92E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656239">
    <w:abstractNumId w:val="8"/>
  </w:num>
  <w:num w:numId="2" w16cid:durableId="71048766">
    <w:abstractNumId w:val="6"/>
  </w:num>
  <w:num w:numId="3" w16cid:durableId="1798447671">
    <w:abstractNumId w:val="5"/>
  </w:num>
  <w:num w:numId="4" w16cid:durableId="1375423320">
    <w:abstractNumId w:val="4"/>
  </w:num>
  <w:num w:numId="5" w16cid:durableId="475949527">
    <w:abstractNumId w:val="7"/>
  </w:num>
  <w:num w:numId="6" w16cid:durableId="580338971">
    <w:abstractNumId w:val="3"/>
  </w:num>
  <w:num w:numId="7" w16cid:durableId="160122996">
    <w:abstractNumId w:val="2"/>
  </w:num>
  <w:num w:numId="8" w16cid:durableId="1839031327">
    <w:abstractNumId w:val="1"/>
  </w:num>
  <w:num w:numId="9" w16cid:durableId="139743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5DF0"/>
    <w:rsid w:val="00AA1D8D"/>
    <w:rsid w:val="00B47730"/>
    <w:rsid w:val="00CB0664"/>
    <w:rsid w:val="00D92EF6"/>
    <w:rsid w:val="00EA1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8AA696"/>
  <w14:defaultImageDpi w14:val="300"/>
  <w15:docId w15:val="{A261D79B-2901-7144-BDDA-2579C69E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656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Mourad Ben mna</cp:lastModifiedBy>
  <cp:revision>2</cp:revision>
  <dcterms:created xsi:type="dcterms:W3CDTF">2013-12-23T23:15:00Z</dcterms:created>
  <dcterms:modified xsi:type="dcterms:W3CDTF">2025-12-22T13:54:00Z</dcterms:modified>
  <cp:category/>
</cp:coreProperties>
</file>