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20"/>
      </w:pPr>
      <w:r>
        <w:rPr>
          <w:rFonts w:ascii="Arial" w:cs="Arial" w:eastAsia="Arial" w:hAnsi="Arial"/>
        </w:rPr>
        <w:t xml:space="preserve"/>
      </w:r>
    </w:p>
    <w:p>
      <w:pPr>
        <w:spacing w:after="0"/>
        <w:jc w:val="center"/>
      </w:pPr>
      <w:r>
        <w:drawing>
          <wp:inline distT="0" distB="0" distL="0" distR="0">
            <wp:extent cx="9906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90600" cy="990600"/>
                    </a:xfrm>
                    <a:prstGeom prst="rect">
                      <a:avLst/>
                    </a:prstGeom>
                  </pic:spPr>
                </pic:pic>
              </a:graphicData>
            </a:graphic>
          </wp:inline>
        </w:drawing>
      </w:r>
    </w:p>
    <w:p>
      <w:pPr>
        <w:bidi/>
        <w:spacing w:after="60" w:before="120"/>
        <w:jc w:val="center"/>
      </w:pPr>
      <w:r>
        <w:rPr>
          <w:rFonts w:ascii="Arial" w:cs="Arial" w:eastAsia="Arial" w:hAnsi="Arial"/>
          <w:b/>
          <w:bCs/>
          <w:color w:val="8A6A1F"/>
          <w:sz w:val="72"/>
          <w:szCs w:val="72"/>
          <w:rtl/>
        </w:rPr>
        <w:t xml:space="preserve">مُبين</w:t>
      </w:r>
    </w:p>
    <w:p>
      <w:pPr>
        <w:bidi/>
        <w:spacing w:after="340"/>
        <w:jc w:val="center"/>
      </w:pPr>
      <w:r>
        <w:rPr>
          <w:rFonts w:ascii="Arial" w:cs="Arial" w:eastAsia="Arial" w:hAnsi="Arial"/>
          <w:b/>
          <w:bCs/>
          <w:color w:val="1A1A22"/>
          <w:sz w:val="30"/>
          <w:szCs w:val="30"/>
          <w:rtl/>
        </w:rPr>
        <w:t xml:space="preserve">التقرير التقني</w:t>
      </w:r>
    </w:p>
    <w:p>
      <w:pPr>
        <w:bidi/>
        <w:spacing w:after="300"/>
        <w:jc w:val="center"/>
      </w:pPr>
      <w:r>
        <w:rPr>
          <w:rFonts w:ascii="Arial" w:cs="Arial" w:eastAsia="Arial" w:hAnsi="Arial"/>
          <w:color w:val="555555"/>
          <w:sz w:val="22"/>
          <w:szCs w:val="22"/>
          <w:rtl/>
        </w:rPr>
        <w:t xml:space="preserve">بنية المحرّك · القواعد · الحساب · القياس · الحدود</w:t>
      </w:r>
    </w:p>
    <w:p>
      <w:pPr>
        <w:spacing w:after="70"/>
        <w:jc w:val="center"/>
      </w:pPr>
      <w:r>
        <w:drawing>
          <wp:inline distT="0" distB="0" distL="0" distR="0">
            <wp:extent cx="9144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 cy="476250"/>
                    </a:xfrm>
                    <a:prstGeom prst="rect">
                      <a:avLst/>
                    </a:prstGeom>
                  </pic:spPr>
                </pic:pic>
              </a:graphicData>
            </a:graphic>
          </wp:inline>
        </w:drawing>
      </w:r>
      <w:r>
        <w:rPr>
          <w:rFonts w:ascii="Arial" w:cs="Arial" w:eastAsia="Arial" w:hAnsi="Arial"/>
        </w:rPr>
        <w:t xml:space="preserve">    </w:t>
      </w:r>
      <w:r>
        <w:drawing>
          <wp:inline distT="0" distB="0" distL="0" distR="0">
            <wp:extent cx="10287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28700" cy="419100"/>
                    </a:xfrm>
                    <a:prstGeom prst="rect">
                      <a:avLst/>
                    </a:prstGeom>
                  </pic:spPr>
                </pic:pic>
              </a:graphicData>
            </a:graphic>
          </wp:inline>
        </w:drawing>
      </w:r>
      <w:r>
        <w:rPr>
          <w:rFonts w:ascii="Arial" w:cs="Arial" w:eastAsia="Arial" w:hAnsi="Arial"/>
        </w:rPr>
        <w:t xml:space="preserve">    </w:t>
      </w:r>
      <w:r>
        <w:drawing>
          <wp:inline distT="0" distB="0" distL="0" distR="0">
            <wp:extent cx="13525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52550" cy="419100"/>
                    </a:xfrm>
                    <a:prstGeom prst="rect">
                      <a:avLst/>
                    </a:prstGeom>
                  </pic:spPr>
                </pic:pic>
              </a:graphicData>
            </a:graphic>
          </wp:inline>
        </w:drawing>
      </w:r>
    </w:p>
    <w:p>
      <w:pPr>
        <w:bidi/>
        <w:spacing w:after="420"/>
        <w:jc w:val="center"/>
      </w:pPr>
      <w:r>
        <w:rPr>
          <w:rFonts w:ascii="Arial" w:cs="Arial" w:eastAsia="Arial" w:hAnsi="Arial"/>
          <w:color w:val="AAAAAA"/>
          <w:sz w:val="16"/>
          <w:szCs w:val="16"/>
          <w:rtl/>
        </w:rPr>
        <w:t xml:space="preserve">[ يُدرَج شعار مدرسة السدرة الخاصة هنا ]</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2359"/>
        <w:gridCol w:w="6713"/>
      </w:tblGrid>
      <w:tr>
        <w:trPr>
          <w:tblHeader/>
        </w:trPr>
        <w:tc>
          <w:tcPr>
            <w:tcW w:type="dxa" w:w="2359"/>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البند</w:t>
            </w:r>
          </w:p>
        </w:tc>
        <w:tc>
          <w:tcPr>
            <w:tcW w:type="dxa" w:w="6713"/>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التفصيل</w:t>
            </w:r>
          </w:p>
        </w:tc>
      </w:tr>
      <w:tr>
        <w:trPr>
          <w:cantSplit/>
        </w:trPr>
        <w:tc>
          <w:tcPr>
            <w:tcW w:type="dxa" w:w="235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المشروع</w:t>
            </w:r>
          </w:p>
        </w:tc>
        <w:tc>
          <w:tcPr>
            <w:tcW w:type="dxa" w:w="671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مُبين — محرّك تشخيص لغويّ عربيّ يعمل داخل المتصفّح · «يُبيِّن لك قاعدة خطئك قبل أن يتكرّر»</w:t>
            </w:r>
          </w:p>
        </w:tc>
      </w:tr>
      <w:tr>
        <w:trPr>
          <w:cantSplit/>
        </w:trPr>
        <w:tc>
          <w:tcPr>
            <w:tcW w:type="dxa" w:w="2359"/>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الفريق</w:t>
            </w:r>
          </w:p>
        </w:tc>
        <w:tc>
          <w:tcPr>
            <w:tcW w:type="dxa" w:w="671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GEN CODE TEAM</w:t>
            </w:r>
          </w:p>
        </w:tc>
      </w:tr>
      <w:tr>
        <w:trPr>
          <w:cantSplit/>
        </w:trPr>
        <w:tc>
          <w:tcPr>
            <w:tcW w:type="dxa" w:w="235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الأعضاء</w:t>
            </w:r>
          </w:p>
        </w:tc>
        <w:tc>
          <w:tcPr>
            <w:tcW w:type="dxa" w:w="671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غيث صادق · أحمد حمد · تيم عامر</w:t>
            </w:r>
          </w:p>
        </w:tc>
      </w:tr>
      <w:tr>
        <w:trPr>
          <w:cantSplit/>
        </w:trPr>
        <w:tc>
          <w:tcPr>
            <w:tcW w:type="dxa" w:w="2359"/>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المدرسة</w:t>
            </w:r>
          </w:p>
        </w:tc>
        <w:tc>
          <w:tcPr>
            <w:tcW w:type="dxa" w:w="671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مدرسة السدرة الخاصة — كلباء، إمارة الشارقة</w:t>
            </w:r>
          </w:p>
        </w:tc>
      </w:tr>
      <w:tr>
        <w:trPr>
          <w:cantSplit/>
        </w:trPr>
        <w:tc>
          <w:tcPr>
            <w:tcW w:type="dxa" w:w="235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الحدث</w:t>
            </w:r>
          </w:p>
        </w:tc>
        <w:tc>
          <w:tcPr>
            <w:tcW w:type="dxa" w:w="671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الهاكاثون الطلابي الأول «للعربية نبتكر»</w:t>
            </w:r>
          </w:p>
        </w:tc>
      </w:tr>
      <w:tr>
        <w:trPr>
          <w:cantSplit/>
        </w:trPr>
        <w:tc>
          <w:tcPr>
            <w:tcW w:type="dxa" w:w="2359"/>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الجهة المنظّمة</w:t>
            </w:r>
          </w:p>
        </w:tc>
        <w:tc>
          <w:tcPr>
            <w:tcW w:type="dxa" w:w="671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هيئة الشارقة للتعليم الخاص · بالتعاون مع «إدو فكرة»</w:t>
            </w:r>
          </w:p>
        </w:tc>
      </w:tr>
      <w:tr>
        <w:trPr>
          <w:cantSplit/>
        </w:trPr>
        <w:tc>
          <w:tcPr>
            <w:tcW w:type="dxa" w:w="235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مكان المعرض</w:t>
            </w:r>
          </w:p>
        </w:tc>
        <w:tc>
          <w:tcPr>
            <w:tcW w:type="dxa" w:w="671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أكاديمية الشارقة للتعليم</w:t>
            </w:r>
          </w:p>
        </w:tc>
      </w:tr>
      <w:tr>
        <w:trPr>
          <w:cantSplit/>
        </w:trPr>
        <w:tc>
          <w:tcPr>
            <w:tcW w:type="dxa" w:w="2359"/>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نوع المستند</w:t>
            </w:r>
          </w:p>
        </w:tc>
        <w:tc>
          <w:tcPr>
            <w:tcW w:type="dxa" w:w="671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تقرير تقنيّ</w:t>
            </w:r>
          </w:p>
        </w:tc>
      </w:tr>
      <w:tr>
        <w:trPr>
          <w:cantSplit/>
        </w:trPr>
        <w:tc>
          <w:tcPr>
            <w:tcW w:type="dxa" w:w="235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الإصدار</w:t>
            </w:r>
          </w:p>
        </w:tc>
        <w:tc>
          <w:tcPr>
            <w:tcW w:type="dxa" w:w="671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1.0</w:t>
            </w:r>
          </w:p>
        </w:tc>
      </w:tr>
    </w:tbl>
    <w:p>
      <w:pPr>
        <w:spacing w:after="400"/>
      </w:pPr>
      <w:r>
        <w:rPr>
          <w:rFonts w:ascii="Arial" w:cs="Arial" w:eastAsia="Arial" w:hAnsi="Arial"/>
        </w:rPr>
        <w:t xml:space="preserve"/>
      </w:r>
    </w:p>
    <w:p>
      <w:pPr>
        <w:keepNext/>
        <w:keepLines/>
        <w:pBdr>
          <w:top w:val="single" w:color="FBF3E2" w:sz="2" w:space="4"/>
          <w:left w:val="single" w:color="FBF3E2" w:sz="2" w:space="4"/>
          <w:right w:val="single" w:color="9A6B16" w:sz="18" w:space="4"/>
        </w:pBdr>
        <w:shd w:fill="FBF3E2" w:val="clear"/>
        <w:bidi/>
        <w:spacing w:after="0" w:before="140" w:line="300"/>
        <w:jc w:val="right"/>
      </w:pPr>
      <w:r>
        <w:rPr>
          <w:rFonts w:ascii="Arial" w:cs="Arial" w:eastAsia="Arial" w:hAnsi="Arial"/>
          <w:b/>
          <w:bCs/>
          <w:color w:val="9A6B16"/>
          <w:sz w:val="21"/>
          <w:szCs w:val="21"/>
          <w:rtl/>
        </w:rPr>
        <w:t xml:space="preserve">تنبيه على صدق الأرقام</w:t>
      </w:r>
    </w:p>
    <w:p>
      <w:pPr>
        <w:keepLines/>
        <w:pBdr>
          <w:bottom w:val="single" w:color="FBF3E2" w:sz="2" w:space="4"/>
          <w:left w:val="single" w:color="FBF3E2" w:sz="2" w:space="4"/>
          <w:right w:val="single" w:color="9A6B16" w:sz="18" w:space="4"/>
        </w:pBdr>
        <w:shd w:fill="FBF3E2" w:val="clear"/>
        <w:bidi/>
        <w:spacing w:after="150" w:before="0" w:line="300"/>
        <w:jc w:val="both"/>
      </w:pPr>
      <w:r>
        <w:rPr>
          <w:rFonts w:ascii="Arial" w:cs="Arial" w:eastAsia="Arial" w:hAnsi="Arial"/>
          <w:color w:val="1A1A22"/>
          <w:sz w:val="20"/>
          <w:szCs w:val="20"/>
          <w:rtl/>
        </w:rPr>
        <w:t xml:space="preserve">كلّ رقم في هذا المستند إمّا مقاس فعليّاً داخل التطبيق (ويُعاد قياسه أمام اللجنة بزرّ واحد)، أو تصوّريّ مبنيّ على افتراضات معلنة صراحةً في موضعها. لم تُجرَ أيّ تجربة ميدانية على طلبة حقيقيين، ولا تحتوي بيانات النموذج على اسم طالب حقيقيّ واحد.</w:t>
      </w:r>
    </w:p>
    <w:p>
      <w:r>
        <w:br w:type="page"/>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1. المُلخَّص التنفيذيّ</w:t>
      </w:r>
    </w:p>
    <w:p>
      <w:pPr>
        <w:bidi/>
        <w:spacing w:after="140" w:line="320"/>
        <w:jc w:val="both"/>
      </w:pPr>
      <w:r>
        <w:rPr>
          <w:rFonts w:ascii="Arial" w:cs="Arial" w:eastAsia="Arial" w:hAnsi="Arial"/>
          <w:color w:val="1A1A22"/>
          <w:sz w:val="21"/>
          <w:szCs w:val="21"/>
          <w:rtl/>
        </w:rPr>
        <w:t xml:space="preserve">«مُبين» محرّك تشخيص لغويّ عربيّ يعمل بالكامل داخل متصفّح الطالب أو المعلّم: يقرأ النصّ العربيّ، يرصد عشر عائلات من الأخطاء الإملائيّة والنحويّة والأسلوبيّة وتسرّب العاميّة، ويشرح القاعدة اللغويّة وراء كلّ خطأ مع درجة ثقة، ثم يبني «بصمة لغوية» لكلّ طالب تتابع تطوّره، ويولّد له تمارين من أخطائه هو، ويمنح المعلّم خريطة حرارية للصفّ وخطّة حصّة جاهزة.</w:t>
      </w:r>
    </w:p>
    <w:p>
      <w:pPr>
        <w:bidi/>
        <w:spacing w:after="140" w:line="320"/>
        <w:jc w:val="both"/>
      </w:pPr>
      <w:r>
        <w:rPr>
          <w:rFonts w:ascii="Arial" w:cs="Arial" w:eastAsia="Arial" w:hAnsi="Arial"/>
          <w:b/>
          <w:bCs/>
          <w:sz w:val="21"/>
          <w:szCs w:val="21"/>
          <w:rtl/>
        </w:rPr>
        <w:t xml:space="preserve">الفرضيّة الجوهريّة: </w:t>
      </w:r>
      <w:r>
        <w:rPr>
          <w:rFonts w:ascii="Arial" w:cs="Arial" w:eastAsia="Arial" w:hAnsi="Arial"/>
          <w:sz w:val="21"/>
          <w:szCs w:val="21"/>
          <w:rtl/>
        </w:rPr>
        <w:t xml:space="preserve">المشكلة في تعليم العربية ليست نقص التصحيح، بل أن التصحيح لا يُعلِّم. الطالب يرى الخطّ الأحمر ولا يرى السبب، فيتكرّر الخطأ نفسه في النصّ التالي. مُبين تنتقل من «التصحيح» إلى «التشخيص والتفسير».</w:t>
      </w:r>
    </w:p>
    <w:p>
      <w:pPr>
        <w:keepNext/>
        <w:keepLines/>
        <w:pBdr>
          <w:top w:val="single" w:color="E8F5EF" w:sz="2" w:space="4"/>
          <w:left w:val="single" w:color="E8F5EF" w:sz="2" w:space="4"/>
          <w:right w:val="single" w:color="17805C" w:sz="18" w:space="4"/>
        </w:pBdr>
        <w:shd w:fill="E8F5EF" w:val="clear"/>
        <w:bidi/>
        <w:spacing w:after="0" w:before="140" w:line="300"/>
        <w:jc w:val="right"/>
      </w:pPr>
      <w:r>
        <w:rPr>
          <w:rFonts w:ascii="Arial" w:cs="Arial" w:eastAsia="Arial" w:hAnsi="Arial"/>
          <w:b/>
          <w:bCs/>
          <w:color w:val="17805C"/>
          <w:sz w:val="21"/>
          <w:szCs w:val="21"/>
          <w:rtl/>
        </w:rPr>
        <w:t xml:space="preserve">الفارق التقنيّ الذي نراهن عليه</w:t>
      </w:r>
    </w:p>
    <w:p>
      <w:pPr>
        <w:keepLines/>
        <w:pBdr>
          <w:bottom w:val="single" w:color="E8F5EF" w:sz="2" w:space="4"/>
          <w:left w:val="single" w:color="E8F5EF" w:sz="2" w:space="4"/>
          <w:right w:val="single" w:color="17805C" w:sz="18" w:space="4"/>
        </w:pBdr>
        <w:shd w:fill="E8F5EF" w:val="clear"/>
        <w:bidi/>
        <w:spacing w:after="150" w:before="0" w:line="300"/>
        <w:jc w:val="both"/>
      </w:pPr>
      <w:r>
        <w:rPr>
          <w:rFonts w:ascii="Arial" w:cs="Arial" w:eastAsia="Arial" w:hAnsi="Arial"/>
          <w:color w:val="1A1A22"/>
          <w:sz w:val="20"/>
          <w:szCs w:val="20"/>
          <w:rtl/>
        </w:rPr>
        <w:t xml:space="preserve">لا خادم، ولا حساب، ولا مفتاح واجهة برمجية، ولا مكتبة خارجية واحدة. ملفّ HTML واحد (نحو 85 كيلوبايت) يعمل بالنقر المزدوج على أيّ متصفّح وفي أيّ قاعة بلا إنترنت — وهذا ليس قيد ميزانية بل قرار تصميميّ: نصّ الطالب لا يغادر جهازه أبداً.</w:t>
      </w:r>
    </w:p>
    <w:p>
      <w:pPr>
        <w:pStyle w:val="Heading2"/>
        <w:keepNext/>
        <w:keepLines/>
        <w:bidi/>
        <w:spacing w:after="110" w:before="220"/>
        <w:jc w:val="right"/>
      </w:pPr>
      <w:r>
        <w:rPr>
          <w:rFonts w:ascii="Arial" w:cs="Arial" w:eastAsia="Arial" w:hAnsi="Arial"/>
          <w:b/>
          <w:bCs/>
          <w:color w:val="1A1A22"/>
          <w:sz w:val="24"/>
          <w:szCs w:val="24"/>
          <w:rtl/>
        </w:rPr>
        <w:t xml:space="preserve">أرقام المحرّك — مقاسة فعلياً</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3084"/>
        <w:gridCol w:w="2722"/>
        <w:gridCol w:w="3266"/>
      </w:tblGrid>
      <w:tr>
        <w:trPr>
          <w:tblHeader/>
        </w:trPr>
        <w:tc>
          <w:tcPr>
            <w:tcW w:type="dxa" w:w="3084"/>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المؤشّر</w:t>
            </w:r>
          </w:p>
        </w:tc>
        <w:tc>
          <w:tcPr>
            <w:tcW w:type="dxa" w:w="2722"/>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القيمة</w:t>
            </w:r>
          </w:p>
        </w:tc>
        <w:tc>
          <w:tcPr>
            <w:tcW w:type="dxa" w:w="3266"/>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كيف قيس</w:t>
            </w:r>
          </w:p>
        </w:tc>
      </w:tr>
      <w:tr>
        <w:trPr>
          <w:cantSplit/>
        </w:trPr>
        <w:tc>
          <w:tcPr>
            <w:tcW w:type="dxa" w:w="308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زمن التحليل</w:t>
            </w:r>
          </w:p>
        </w:tc>
        <w:tc>
          <w:tcPr>
            <w:tcW w:type="dxa" w:w="2722"/>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10.72 مللي ثانية لـ 8540 كلمة</w:t>
            </w:r>
          </w:p>
        </w:tc>
        <w:tc>
          <w:tcPr>
            <w:tcW w:type="dxa" w:w="3266"/>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متوسّط خمس تكرارات داخل التطبيق</w:t>
            </w:r>
          </w:p>
        </w:tc>
      </w:tr>
      <w:tr>
        <w:trPr>
          <w:cantSplit/>
        </w:trPr>
        <w:tc>
          <w:tcPr>
            <w:tcW w:type="dxa" w:w="308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السرعة</w:t>
            </w:r>
          </w:p>
        </w:tc>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796,642 كلمة في الثانية</w:t>
            </w:r>
          </w:p>
        </w:tc>
        <w:tc>
          <w:tcPr>
            <w:tcW w:type="dxa" w:w="3266"/>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محسوبة من الزمن أعلاه</w:t>
            </w:r>
          </w:p>
        </w:tc>
      </w:tr>
      <w:tr>
        <w:trPr>
          <w:cantSplit/>
        </w:trPr>
        <w:tc>
          <w:tcPr>
            <w:tcW w:type="dxa" w:w="308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بنوك القواعد</w:t>
            </w:r>
          </w:p>
        </w:tc>
        <w:tc>
          <w:tcPr>
            <w:tcW w:type="dxa" w:w="2722"/>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511 مدخلاً</w:t>
            </w:r>
          </w:p>
        </w:tc>
        <w:tc>
          <w:tcPr>
            <w:tcW w:type="dxa" w:w="3266"/>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إحصاء آليّ لعناصر البنوك العشرة</w:t>
            </w:r>
          </w:p>
        </w:tc>
      </w:tr>
      <w:tr>
        <w:trPr>
          <w:cantSplit/>
        </w:trPr>
        <w:tc>
          <w:tcPr>
            <w:tcW w:type="dxa" w:w="308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عائلات القواعد</w:t>
            </w:r>
          </w:p>
        </w:tc>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10 عائلات</w:t>
            </w:r>
          </w:p>
        </w:tc>
        <w:tc>
          <w:tcPr>
            <w:tcW w:type="dxa" w:w="3266"/>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مطبَّقة بالكامل في المحرّك</w:t>
            </w:r>
          </w:p>
        </w:tc>
      </w:tr>
      <w:tr>
        <w:trPr>
          <w:cantSplit/>
        </w:trPr>
        <w:tc>
          <w:tcPr>
            <w:tcW w:type="dxa" w:w="308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طلبات الشبكة أثناء التحليل</w:t>
            </w:r>
          </w:p>
        </w:tc>
        <w:tc>
          <w:tcPr>
            <w:tcW w:type="dxa" w:w="2722"/>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صفر</w:t>
            </w:r>
          </w:p>
        </w:tc>
        <w:tc>
          <w:tcPr>
            <w:tcW w:type="dxa" w:w="3266"/>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فحص شبكة في المتصفّح</w:t>
            </w:r>
          </w:p>
        </w:tc>
      </w:tr>
      <w:tr>
        <w:trPr>
          <w:cantSplit/>
        </w:trPr>
        <w:tc>
          <w:tcPr>
            <w:tcW w:type="dxa" w:w="308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المكتبات الخارجية</w:t>
            </w:r>
          </w:p>
        </w:tc>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صفر (ما عدا الخطوط)</w:t>
            </w:r>
          </w:p>
        </w:tc>
        <w:tc>
          <w:tcPr>
            <w:tcW w:type="dxa" w:w="3266"/>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مراجعة الكود</w:t>
            </w:r>
          </w:p>
        </w:tc>
      </w:tr>
      <w:tr>
        <w:trPr>
          <w:cantSplit/>
        </w:trPr>
        <w:tc>
          <w:tcPr>
            <w:tcW w:type="dxa" w:w="308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حجم الملفّ</w:t>
            </w:r>
          </w:p>
        </w:tc>
        <w:tc>
          <w:tcPr>
            <w:tcW w:type="dxa" w:w="2722"/>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نحو 85 كيلوبايت</w:t>
            </w:r>
          </w:p>
        </w:tc>
        <w:tc>
          <w:tcPr>
            <w:tcW w:type="dxa" w:w="3266"/>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ملفّ واحد مستقلّ</w:t>
            </w:r>
          </w:p>
        </w:tc>
      </w:tr>
    </w:tbl>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2. المشكلة وتحليل جذورها</w:t>
      </w:r>
    </w:p>
    <w:p>
      <w:pPr>
        <w:pStyle w:val="Heading2"/>
        <w:keepNext/>
        <w:keepLines/>
        <w:bidi/>
        <w:spacing w:after="110" w:before="220"/>
        <w:jc w:val="right"/>
      </w:pPr>
      <w:r>
        <w:rPr>
          <w:rFonts w:ascii="Arial" w:cs="Arial" w:eastAsia="Arial" w:hAnsi="Arial"/>
          <w:b/>
          <w:bCs/>
          <w:color w:val="1A1A22"/>
          <w:sz w:val="24"/>
          <w:szCs w:val="24"/>
          <w:rtl/>
        </w:rPr>
        <w:t xml:space="preserve">2.1 السياق</w:t>
      </w:r>
    </w:p>
    <w:p>
      <w:pPr>
        <w:bidi/>
        <w:spacing w:after="140" w:line="320"/>
        <w:jc w:val="both"/>
      </w:pPr>
      <w:r>
        <w:rPr>
          <w:rFonts w:ascii="Arial" w:cs="Arial" w:eastAsia="Arial" w:hAnsi="Arial"/>
          <w:color w:val="1A1A22"/>
          <w:sz w:val="21"/>
          <w:szCs w:val="21"/>
          <w:rtl/>
        </w:rPr>
        <w:t xml:space="preserve">تُظهر تقارير تفتيش المدارس الخاصة في الدولة أنّ العربية — لغةً أولى وإضافيّة — من أضعف المجالات أداءً، وأن القصور فيها رُصد في نسبة كبيرة من المدارس على مدى سنوات، وأن التحسّن فيها أبطأ من المواد الأخرى. هذا الضعف لا يُفسَّر بنقص الحصص ولا بنقص المعلّمين وحده.</w:t>
      </w:r>
    </w:p>
    <w:p>
      <w:pPr>
        <w:pStyle w:val="Heading2"/>
        <w:keepNext/>
        <w:keepLines/>
        <w:bidi/>
        <w:spacing w:after="110" w:before="220"/>
        <w:jc w:val="right"/>
      </w:pPr>
      <w:r>
        <w:rPr>
          <w:rFonts w:ascii="Arial" w:cs="Arial" w:eastAsia="Arial" w:hAnsi="Arial"/>
          <w:b/>
          <w:bCs/>
          <w:color w:val="1A1A22"/>
          <w:sz w:val="24"/>
          <w:szCs w:val="24"/>
          <w:rtl/>
        </w:rPr>
        <w:t xml:space="preserve">2.2 السبب الجذريّ الذي اخترنا معالجته</w:t>
      </w:r>
    </w:p>
    <w:p>
      <w:pPr>
        <w:bidi/>
        <w:spacing w:after="140" w:line="320"/>
        <w:jc w:val="both"/>
      </w:pPr>
      <w:r>
        <w:rPr>
          <w:rFonts w:ascii="Arial" w:cs="Arial" w:eastAsia="Arial" w:hAnsi="Arial"/>
          <w:color w:val="1A1A22"/>
          <w:sz w:val="21"/>
          <w:szCs w:val="21"/>
          <w:rtl/>
        </w:rPr>
        <w:t xml:space="preserve">حصرنا المشكلة في حلقة واحدة قابلة للمعالجة برمجيّاً: حلقة التغذية الراجعة بين الطالب وخطئه. وفي الوضع القائم تنكسر هذه الحلقة في أربع نقاط:</w:t>
      </w:r>
    </w:p>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1"/>
        <w:gridCol w:w="8641"/>
      </w:tblGrid>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زمن: التصحيح اليدويّ بطيء، فتصل الملاحظة بعد أن ينسى الطالب سياق كتابته.</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عمق: الملاحظة تقول «خطأ» ولا تقول «لماذا»، فلا تُبنى قاعدة في ذهن الطالب.</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تتبّع: لا أحد يعرف إن كان هذا الخطأ أوّل مرّة أم العاشرة، فلا تُرصد الأنماط.</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خصوصيّة: الأدوات المتاحة تطلب رفع نصّ الطالب إلى خوادم خارجية، وهذا عائق مؤسّسيّ حقيقيّ في المدارس.</w:t>
            </w:r>
          </w:p>
        </w:tc>
      </w:tr>
    </w:tbl>
    <w:p>
      <w:pPr>
        <w:spacing w:after="90"/>
      </w:pPr>
      <w:r>
        <w:rPr>
          <w:rFonts w:ascii="Arial" w:cs="Arial" w:eastAsia="Arial" w:hAnsi="Arial"/>
        </w:rPr>
        <w:t xml:space="preserve"/>
      </w:r>
    </w:p>
    <w:p>
      <w:pPr>
        <w:keepNext/>
        <w:keepLines/>
        <w:pBdr>
          <w:top w:val="single" w:color="E9F1F7" w:sz="2" w:space="4"/>
          <w:left w:val="single" w:color="E9F1F7" w:sz="2" w:space="4"/>
          <w:right w:val="single" w:color="1F5F8A" w:sz="18" w:space="4"/>
        </w:pBdr>
        <w:shd w:fill="E9F1F7" w:val="clear"/>
        <w:bidi/>
        <w:spacing w:after="0" w:before="140" w:line="300"/>
        <w:jc w:val="right"/>
      </w:pPr>
      <w:r>
        <w:rPr>
          <w:rFonts w:ascii="Arial" w:cs="Arial" w:eastAsia="Arial" w:hAnsi="Arial"/>
          <w:b/>
          <w:bCs/>
          <w:color w:val="1F5F8A"/>
          <w:sz w:val="21"/>
          <w:szCs w:val="21"/>
          <w:rtl/>
        </w:rPr>
        <w:t xml:space="preserve">قرار نطاق صريح</w:t>
      </w:r>
    </w:p>
    <w:p>
      <w:pPr>
        <w:keepLines/>
        <w:pBdr>
          <w:bottom w:val="single" w:color="E9F1F7" w:sz="2" w:space="4"/>
          <w:left w:val="single" w:color="E9F1F7" w:sz="2" w:space="4"/>
          <w:right w:val="single" w:color="1F5F8A" w:sz="18" w:space="4"/>
        </w:pBdr>
        <w:shd w:fill="E9F1F7" w:val="clear"/>
        <w:bidi/>
        <w:spacing w:after="150" w:before="0" w:line="300"/>
        <w:jc w:val="both"/>
      </w:pPr>
      <w:r>
        <w:rPr>
          <w:rFonts w:ascii="Arial" w:cs="Arial" w:eastAsia="Arial" w:hAnsi="Arial"/>
          <w:color w:val="1A1A22"/>
          <w:sz w:val="20"/>
          <w:szCs w:val="20"/>
          <w:rtl/>
        </w:rPr>
        <w:t xml:space="preserve">لم نحاول حلّ «ضعف العربية» كلّه — فهذا ادّعاء لا يصدّقه محكّم. اخترنا حلقة واحدة (تشخيص الخطأ وتفسيره وتتبّعه) وعالجناها بعمق. وهذا بعينه ما يميّز المشاريع الفائزة في مسابقات الابتكار: مشكلة واحدة واضحة تُحَلّ عميقاً، لا عشر مشكلات تُلمَس سطحيّاً.</w:t>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3. بنية المحرّك</w:t>
      </w:r>
    </w:p>
    <w:p>
      <w:pPr>
        <w:bidi/>
        <w:spacing w:after="140" w:line="320"/>
        <w:jc w:val="both"/>
      </w:pPr>
      <w:r>
        <w:rPr>
          <w:rFonts w:ascii="Arial" w:cs="Arial" w:eastAsia="Arial" w:hAnsi="Arial"/>
          <w:color w:val="1A1A22"/>
          <w:sz w:val="21"/>
          <w:szCs w:val="21"/>
          <w:rtl/>
        </w:rPr>
        <w:t xml:space="preserve">يعمل المحرّك في أربع مراحل متتابعة، كلّها محليّة ومتزامنة:</w:t>
      </w:r>
    </w:p>
    <w:p>
      <w:pPr>
        <w:keepNext/>
        <w:keepLines/>
        <w:bidi/>
        <w:spacing w:after="80" w:before="170"/>
        <w:jc w:val="right"/>
      </w:pPr>
      <w:r>
        <w:rPr>
          <w:rFonts w:ascii="Arial" w:cs="Arial" w:eastAsia="Arial" w:hAnsi="Arial"/>
          <w:b/>
          <w:bCs/>
          <w:color w:val="8A6A1F"/>
          <w:sz w:val="22"/>
          <w:szCs w:val="22"/>
          <w:rtl/>
        </w:rPr>
        <w:t xml:space="preserve">3.1 التقطيع والتجريد (Tokenization &amp; Normalization)</w:t>
      </w:r>
    </w:p>
    <w:p>
      <w:pPr>
        <w:bidi/>
        <w:spacing w:after="140" w:line="320"/>
        <w:jc w:val="both"/>
      </w:pPr>
      <w:r>
        <w:rPr>
          <w:rFonts w:ascii="Arial" w:cs="Arial" w:eastAsia="Arial" w:hAnsi="Arial"/>
          <w:color w:val="1A1A22"/>
          <w:sz w:val="21"/>
          <w:szCs w:val="21"/>
          <w:rtl/>
        </w:rPr>
        <w:t xml:space="preserve">يُقسَم النصّ بتعبير منتظم يغطّي نطاق الحروف العربية (U+0621–U+064A) والأرقام العربية والهندية، مع حفظ موقع كلّ كلمة (بدايتها ونهايتها) في النصّ الأصليّ — وهذا ما يسمح لاحقاً بتلوين الخطأ في موضعه بالضبط. ثم تُجرَّد الكلمة من التشكيل وعلامات التطويل (U+064B–U+0652 و U+0640) لتُطابَق على البنوك، بينما يُعرَض الأصل للمستخدم كما كتبه.</w:t>
      </w:r>
    </w:p>
    <w:p>
      <w:pPr>
        <w:keepNext/>
        <w:keepLines/>
        <w:bidi/>
        <w:spacing w:after="80" w:before="170"/>
        <w:jc w:val="right"/>
      </w:pPr>
      <w:r>
        <w:rPr>
          <w:rFonts w:ascii="Arial" w:cs="Arial" w:eastAsia="Arial" w:hAnsi="Arial"/>
          <w:b/>
          <w:bCs/>
          <w:color w:val="5B3FA8"/>
          <w:sz w:val="22"/>
          <w:szCs w:val="22"/>
          <w:rtl/>
        </w:rPr>
        <w:t xml:space="preserve">3.2 المطابقة على بنوك القواعد</w:t>
      </w:r>
    </w:p>
    <w:p>
      <w:pPr>
        <w:bidi/>
        <w:spacing w:after="140" w:line="320"/>
        <w:jc w:val="both"/>
      </w:pPr>
      <w:r>
        <w:rPr>
          <w:rFonts w:ascii="Arial" w:cs="Arial" w:eastAsia="Arial" w:hAnsi="Arial"/>
          <w:color w:val="1A1A22"/>
          <w:sz w:val="21"/>
          <w:szCs w:val="21"/>
          <w:rtl/>
        </w:rPr>
        <w:t xml:space="preserve">البنوك مكتوبة يدويّاً — لا مُولَّدة ولا مستوردة — ويبلغ مجموع مدخلاتها 511 مدخلاً، موزّعة على عشرة بنوك. ولكلّ بنك دالّة مطابقة خاصّة: بنك همزة الوصل يقارن الصورة المهموزة بالصورة العارية، وبنك التاء المربوطة يجرّد أداة التعريف قبل المطابقة، وبنك العاميّة يحمل مجموعة فرعيّة من الألفاظ «الرماديّة» التي ترد في الفصحى بمعنى آخر فتُرصد كتنبيه لا كخطأ مؤكّد.</w:t>
      </w:r>
    </w:p>
    <w:p>
      <w:pPr>
        <w:keepNext/>
        <w:keepLines/>
        <w:bidi/>
        <w:spacing w:after="80" w:before="170"/>
        <w:jc w:val="right"/>
      </w:pPr>
      <w:r>
        <w:rPr>
          <w:rFonts w:ascii="Arial" w:cs="Arial" w:eastAsia="Arial" w:hAnsi="Arial"/>
          <w:b/>
          <w:bCs/>
          <w:color w:val="1F5F8A"/>
          <w:sz w:val="22"/>
          <w:szCs w:val="22"/>
          <w:rtl/>
        </w:rPr>
        <w:t xml:space="preserve">3.3 الاستدلال السياقيّ</w:t>
      </w:r>
    </w:p>
    <w:p>
      <w:pPr>
        <w:bidi/>
        <w:spacing w:after="140" w:line="320"/>
        <w:jc w:val="both"/>
      </w:pPr>
      <w:r>
        <w:rPr>
          <w:rFonts w:ascii="Arial" w:cs="Arial" w:eastAsia="Arial" w:hAnsi="Arial"/>
          <w:color w:val="1A1A22"/>
          <w:sz w:val="21"/>
          <w:szCs w:val="21"/>
          <w:rtl/>
        </w:rPr>
        <w:t xml:space="preserve">أربع قواعد لا تكفيها الكلمة وحدها، فتنظر إلى جارتها:</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2722"/>
        <w:gridCol w:w="3357"/>
        <w:gridCol w:w="2994"/>
      </w:tblGrid>
      <w:tr>
        <w:trPr>
          <w:tblHeader/>
        </w:trPr>
        <w:tc>
          <w:tcPr>
            <w:tcW w:type="dxa" w:w="2722"/>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القاعدة</w:t>
            </w:r>
          </w:p>
        </w:tc>
        <w:tc>
          <w:tcPr>
            <w:tcW w:type="dxa" w:w="3357"/>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الشرط</w:t>
            </w:r>
          </w:p>
        </w:tc>
        <w:tc>
          <w:tcPr>
            <w:tcW w:type="dxa" w:w="2994"/>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المخرج</w:t>
            </w:r>
          </w:p>
        </w:tc>
      </w:tr>
      <w:tr>
        <w:trPr>
          <w:cantSplit/>
        </w:trPr>
        <w:tc>
          <w:tcPr>
            <w:tcW w:type="dxa" w:w="272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جرّ جمع المذكّر السالم</w:t>
            </w:r>
          </w:p>
        </w:tc>
        <w:tc>
          <w:tcPr>
            <w:tcW w:type="dxa" w:w="335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كلمة تنتهي بـ (ون) ويسبقها حرف جرّ</w:t>
            </w:r>
          </w:p>
        </w:tc>
        <w:tc>
          <w:tcPr>
            <w:tcW w:type="dxa" w:w="2994"/>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«من المعلّمين» لا «من المعلّمون»</w:t>
            </w:r>
          </w:p>
        </w:tc>
      </w:tr>
      <w:tr>
        <w:trPr>
          <w:cantSplit/>
        </w:trPr>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نصب إنّ وأخواتها</w:t>
            </w:r>
          </w:p>
        </w:tc>
        <w:tc>
          <w:tcPr>
            <w:tcW w:type="dxa" w:w="335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كلمة تنتهي بـ (ون) ويسبقها ناصب</w:t>
            </w:r>
          </w:p>
        </w:tc>
        <w:tc>
          <w:tcPr>
            <w:tcW w:type="dxa" w:w="2994"/>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«إنّ المجتهدين» لا «إنّ المجتهدون»</w:t>
            </w:r>
          </w:p>
        </w:tc>
      </w:tr>
      <w:tr>
        <w:trPr>
          <w:cantSplit/>
        </w:trPr>
        <w:tc>
          <w:tcPr>
            <w:tcW w:type="dxa" w:w="272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جزم الأفعال الخمسة</w:t>
            </w:r>
          </w:p>
        </w:tc>
        <w:tc>
          <w:tcPr>
            <w:tcW w:type="dxa" w:w="335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فعل مضارع متّصل بالنون يسبقه جازم</w:t>
            </w:r>
          </w:p>
        </w:tc>
        <w:tc>
          <w:tcPr>
            <w:tcW w:type="dxa" w:w="2994"/>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«لم يذهبوا» لا «لم يذهبون»</w:t>
            </w:r>
          </w:p>
        </w:tc>
      </w:tr>
      <w:tr>
        <w:trPr>
          <w:cantSplit/>
        </w:trPr>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مخالفة العدد للمعدود</w:t>
            </w:r>
          </w:p>
        </w:tc>
        <w:tc>
          <w:tcPr>
            <w:tcW w:type="dxa" w:w="335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عدد من 3 إلى 10 مع معدود مؤنّث أو مذكّر</w:t>
            </w:r>
          </w:p>
        </w:tc>
        <w:tc>
          <w:tcPr>
            <w:tcW w:type="dxa" w:w="2994"/>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«ثلاث طالبات» و«ثلاثة طلّاب»</w:t>
            </w:r>
          </w:p>
        </w:tc>
      </w:tr>
    </w:tbl>
    <w:p>
      <w:pPr>
        <w:keepNext/>
        <w:keepLines/>
        <w:bidi/>
        <w:spacing w:after="80" w:before="170"/>
        <w:jc w:val="right"/>
      </w:pPr>
      <w:r>
        <w:rPr>
          <w:rFonts w:ascii="Arial" w:cs="Arial" w:eastAsia="Arial" w:hAnsi="Arial"/>
          <w:b/>
          <w:bCs/>
          <w:color w:val="17805C"/>
          <w:sz w:val="22"/>
          <w:szCs w:val="22"/>
          <w:rtl/>
        </w:rPr>
        <w:t xml:space="preserve">3.4 الحساب وبناء المخرجات</w:t>
      </w:r>
    </w:p>
    <w:p>
      <w:pPr>
        <w:bidi/>
        <w:spacing w:after="140" w:line="320"/>
        <w:jc w:val="both"/>
      </w:pPr>
      <w:r>
        <w:rPr>
          <w:rFonts w:ascii="Arial" w:cs="Arial" w:eastAsia="Arial" w:hAnsi="Arial"/>
          <w:color w:val="1A1A22"/>
          <w:sz w:val="21"/>
          <w:szCs w:val="21"/>
          <w:rtl/>
        </w:rPr>
        <w:t xml:space="preserve">بعد الرصد تُزال الملاحظات المتداخلة (أيّ ملاحظتين تتقاطع مواقعهما في النصّ تُبقى الأسبق منهما)، ثم يُحسب مؤشّر البيان ودرجات الإتقان، وتُبنى البصمة والتمارين وخطّة الحصّة.</w:t>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4. الصيغ الرياضيّة</w:t>
      </w:r>
    </w:p>
    <w:p>
      <w:pPr>
        <w:pStyle w:val="Heading2"/>
        <w:keepNext/>
        <w:keepLines/>
        <w:bidi/>
        <w:spacing w:after="110" w:before="220"/>
        <w:jc w:val="right"/>
      </w:pPr>
      <w:r>
        <w:rPr>
          <w:rFonts w:ascii="Arial" w:cs="Arial" w:eastAsia="Arial" w:hAnsi="Arial"/>
          <w:b/>
          <w:bCs/>
          <w:color w:val="1A1A22"/>
          <w:sz w:val="24"/>
          <w:szCs w:val="24"/>
          <w:rtl/>
        </w:rPr>
        <w:t xml:space="preserve">4.1 كثافة الأخطاء الموزونة</w:t>
      </w:r>
    </w:p>
    <w:p>
      <w:pPr>
        <w:keepNext/>
        <w:keepLines/>
        <w:pBdr>
          <w:top w:val="single" w:color="EDEFF3" w:sz="2" w:space="4"/>
          <w:left w:val="single" w:color="EDEFF3" w:sz="2" w:space="4"/>
          <w:right w:val="single" w:color="1A1A22" w:sz="18" w:space="4"/>
        </w:pBdr>
        <w:shd w:fill="EDEFF3" w:val="clear"/>
        <w:bidi/>
        <w:spacing w:after="0" w:before="140" w:line="300"/>
        <w:jc w:val="right"/>
      </w:pPr>
      <w:r>
        <w:rPr>
          <w:rFonts w:ascii="Arial" w:cs="Arial" w:eastAsia="Arial" w:hAnsi="Arial"/>
          <w:b/>
          <w:bCs/>
          <w:color w:val="1A1A22"/>
          <w:sz w:val="21"/>
          <w:szCs w:val="21"/>
          <w:rtl/>
        </w:rPr>
        <w:t xml:space="preserve">الصيغة</w:t>
      </w:r>
    </w:p>
    <w:p>
      <w:pPr>
        <w:keepLines/>
        <w:pBdr>
          <w:bottom w:val="single" w:color="EDEFF3" w:sz="2" w:space="4"/>
          <w:left w:val="single" w:color="EDEFF3" w:sz="2" w:space="4"/>
          <w:right w:val="single" w:color="1A1A22" w:sz="18" w:space="4"/>
        </w:pBdr>
        <w:shd w:fill="EDEFF3" w:val="clear"/>
        <w:bidi/>
        <w:spacing w:after="150" w:before="0" w:line="300"/>
        <w:jc w:val="both"/>
      </w:pPr>
      <w:r>
        <w:rPr>
          <w:rFonts w:ascii="Arial" w:cs="Arial" w:eastAsia="Arial" w:hAnsi="Arial"/>
          <w:color w:val="1A1A22"/>
          <w:sz w:val="20"/>
          <w:szCs w:val="20"/>
          <w:rtl/>
        </w:rPr>
        <w:t xml:space="preserve">الكثافة = (مجموع [عدد أخطاء العائلة × وزن العائلة] ÷ عدد كلمات النصّ) × 100</w:t>
      </w:r>
    </w:p>
    <w:p>
      <w:pPr>
        <w:bidi/>
        <w:spacing w:after="140" w:line="320"/>
        <w:jc w:val="both"/>
      </w:pPr>
      <w:r>
        <w:rPr>
          <w:rFonts w:ascii="Arial" w:cs="Arial" w:eastAsia="Arial" w:hAnsi="Arial"/>
          <w:color w:val="1A1A22"/>
          <w:sz w:val="21"/>
          <w:szCs w:val="21"/>
          <w:rtl/>
        </w:rPr>
        <w:t xml:space="preserve">الوزن يعبّر عن خطورة الخطأ تربويّاً لا عن تكراره: الخطأ النحويّ بوزن 4 لأنّه يكسر المعنى، والترقيم بوزن 1 لأنّه لا يكسره. والأوزان كلّها قابلة للتعديل من لوحة المعايرة داخل التطبيق وتُحفظ محليّاً، لأنّ أولويّات الصفّ الرابع ليست أولويّات الصفّ العاشر.</w:t>
      </w:r>
    </w:p>
    <w:p>
      <w:pPr>
        <w:pStyle w:val="Heading2"/>
        <w:keepNext/>
        <w:keepLines/>
        <w:bidi/>
        <w:spacing w:after="110" w:before="220"/>
        <w:jc w:val="right"/>
      </w:pPr>
      <w:r>
        <w:rPr>
          <w:rFonts w:ascii="Arial" w:cs="Arial" w:eastAsia="Arial" w:hAnsi="Arial"/>
          <w:b/>
          <w:bCs/>
          <w:color w:val="1A1A22"/>
          <w:sz w:val="24"/>
          <w:szCs w:val="24"/>
          <w:rtl/>
        </w:rPr>
        <w:t xml:space="preserve">4.2 مؤشّر البيان</w:t>
      </w:r>
    </w:p>
    <w:p>
      <w:pPr>
        <w:keepNext/>
        <w:keepLines/>
        <w:pBdr>
          <w:top w:val="single" w:color="EDEFF3" w:sz="2" w:space="4"/>
          <w:left w:val="single" w:color="EDEFF3" w:sz="2" w:space="4"/>
          <w:right w:val="single" w:color="1A1A22" w:sz="18" w:space="4"/>
        </w:pBdr>
        <w:shd w:fill="EDEFF3" w:val="clear"/>
        <w:bidi/>
        <w:spacing w:after="0" w:before="140" w:line="300"/>
        <w:jc w:val="right"/>
      </w:pPr>
      <w:r>
        <w:rPr>
          <w:rFonts w:ascii="Arial" w:cs="Arial" w:eastAsia="Arial" w:hAnsi="Arial"/>
          <w:b/>
          <w:bCs/>
          <w:color w:val="1A1A22"/>
          <w:sz w:val="21"/>
          <w:szCs w:val="21"/>
          <w:rtl/>
        </w:rPr>
        <w:t xml:space="preserve">الصيغة</w:t>
      </w:r>
    </w:p>
    <w:p>
      <w:pPr>
        <w:keepLines/>
        <w:pBdr>
          <w:bottom w:val="single" w:color="EDEFF3" w:sz="2" w:space="4"/>
          <w:left w:val="single" w:color="EDEFF3" w:sz="2" w:space="4"/>
          <w:right w:val="single" w:color="1A1A22" w:sz="18" w:space="4"/>
        </w:pBdr>
        <w:shd w:fill="EDEFF3" w:val="clear"/>
        <w:bidi/>
        <w:spacing w:after="150" w:before="0" w:line="300"/>
        <w:jc w:val="both"/>
      </w:pPr>
      <w:r>
        <w:rPr>
          <w:rFonts w:ascii="Arial" w:cs="Arial" w:eastAsia="Arial" w:hAnsi="Arial"/>
          <w:color w:val="1A1A22"/>
          <w:sz w:val="20"/>
          <w:szCs w:val="20"/>
          <w:rtl/>
        </w:rPr>
        <w:t xml:space="preserve">مؤشّر البيان = 100 ÷ (1 + الكثافة ÷ 30)     ثم يُقيَّد بين 3 و100</w:t>
      </w:r>
    </w:p>
    <w:p>
      <w:pPr>
        <w:bidi/>
        <w:spacing w:after="140" w:line="320"/>
        <w:jc w:val="both"/>
      </w:pPr>
      <w:r>
        <w:rPr>
          <w:rFonts w:ascii="Arial" w:cs="Arial" w:eastAsia="Arial" w:hAnsi="Arial"/>
          <w:color w:val="1A1A22"/>
          <w:sz w:val="21"/>
          <w:szCs w:val="21"/>
          <w:rtl/>
        </w:rPr>
        <w:t xml:space="preserve">اخترنا دالّة كسريّة لا طرحاً خطيّاً عن قصد: الطرح الخطيّ (100 − الكثافة × معامل) يصفّر المؤشّر لأيّ نصّ كثير الأخطاء، فيفقد القدرة على التمييز بين «ضعيف» و«ضعيف جدّاً»، ويُحبط الطالب الذي يتحسّن فعلاً دون أن يرى رقمه يتحرّك. الدالّة الكسريّة تنحدر بسرعة في البداية ثم تتباطأ، فتبقى حسّاسة للتحسّن في كلّ المستويات.</w:t>
      </w:r>
    </w:p>
    <w:p>
      <w:pPr>
        <w:pStyle w:val="Heading2"/>
        <w:keepNext/>
        <w:keepLines/>
        <w:bidi/>
        <w:spacing w:after="110" w:before="220"/>
        <w:jc w:val="right"/>
      </w:pPr>
      <w:r>
        <w:rPr>
          <w:rFonts w:ascii="Arial" w:cs="Arial" w:eastAsia="Arial" w:hAnsi="Arial"/>
          <w:b/>
          <w:bCs/>
          <w:color w:val="1A1A22"/>
          <w:sz w:val="24"/>
          <w:szCs w:val="24"/>
          <w:rtl/>
        </w:rPr>
        <w:t xml:space="preserve">4.3 درجة الإتقان لكلّ عائلة</w:t>
      </w:r>
    </w:p>
    <w:p>
      <w:pPr>
        <w:keepNext/>
        <w:keepLines/>
        <w:pBdr>
          <w:top w:val="single" w:color="EDEFF3" w:sz="2" w:space="4"/>
          <w:left w:val="single" w:color="EDEFF3" w:sz="2" w:space="4"/>
          <w:right w:val="single" w:color="1A1A22" w:sz="18" w:space="4"/>
        </w:pBdr>
        <w:shd w:fill="EDEFF3" w:val="clear"/>
        <w:bidi/>
        <w:spacing w:after="0" w:before="140" w:line="300"/>
        <w:jc w:val="right"/>
      </w:pPr>
      <w:r>
        <w:rPr>
          <w:rFonts w:ascii="Arial" w:cs="Arial" w:eastAsia="Arial" w:hAnsi="Arial"/>
          <w:b/>
          <w:bCs/>
          <w:color w:val="1A1A22"/>
          <w:sz w:val="21"/>
          <w:szCs w:val="21"/>
          <w:rtl/>
        </w:rPr>
        <w:t xml:space="preserve">الصيغة</w:t>
      </w:r>
    </w:p>
    <w:p>
      <w:pPr>
        <w:keepLines/>
        <w:pBdr>
          <w:bottom w:val="single" w:color="EDEFF3" w:sz="2" w:space="4"/>
          <w:left w:val="single" w:color="EDEFF3" w:sz="2" w:space="4"/>
          <w:right w:val="single" w:color="1A1A22" w:sz="18" w:space="4"/>
        </w:pBdr>
        <w:shd w:fill="EDEFF3" w:val="clear"/>
        <w:bidi/>
        <w:spacing w:after="150" w:before="0" w:line="300"/>
        <w:jc w:val="both"/>
      </w:pPr>
      <w:r>
        <w:rPr>
          <w:rFonts w:ascii="Arial" w:cs="Arial" w:eastAsia="Arial" w:hAnsi="Arial"/>
          <w:color w:val="1A1A22"/>
          <w:sz w:val="20"/>
          <w:szCs w:val="20"/>
          <w:rtl/>
        </w:rPr>
        <w:t xml:space="preserve">إتقان العائلة = 100 ÷ (1 + كثافة العائلة ÷ 12)     حيث كثافة العائلة = (أخطاؤها × وزنها ÷ عدد الكلمات) × 100</w:t>
      </w:r>
    </w:p>
    <w:p>
      <w:pPr>
        <w:bidi/>
        <w:spacing w:after="140" w:line="320"/>
        <w:jc w:val="both"/>
      </w:pPr>
      <w:r>
        <w:rPr>
          <w:rFonts w:ascii="Arial" w:cs="Arial" w:eastAsia="Arial" w:hAnsi="Arial"/>
          <w:color w:val="1A1A22"/>
          <w:sz w:val="21"/>
          <w:szCs w:val="21"/>
          <w:rtl/>
        </w:rPr>
        <w:t xml:space="preserve">ثوابت المقياس (30 و12) ضُبطت تجريبيّاً على بيانات النموذج لتنتج تدرّجاً مقروءاً: نصّ سليم يقارب 100، ونصّ فيه ملاحظة واحدة لكلّ 25 كلمة يقع في نطاق «جيّد»، ونصّ عامّيّ بالكامل يقع في نطاق «أولويّة تدخّل». وهي ثوابت معايرة، لا حقائق لغوية — ونقول ذلك صراحةً.</w:t>
      </w:r>
    </w:p>
    <w:p>
      <w:pPr>
        <w:pStyle w:val="Heading2"/>
        <w:keepNext/>
        <w:keepLines/>
        <w:bidi/>
        <w:spacing w:after="110" w:before="220"/>
        <w:jc w:val="right"/>
      </w:pPr>
      <w:r>
        <w:rPr>
          <w:rFonts w:ascii="Arial" w:cs="Arial" w:eastAsia="Arial" w:hAnsi="Arial"/>
          <w:b/>
          <w:bCs/>
          <w:color w:val="1A1A22"/>
          <w:sz w:val="24"/>
          <w:szCs w:val="24"/>
          <w:rtl/>
        </w:rPr>
        <w:t xml:space="preserve">4.4 سلالم التفسير</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2177"/>
        <w:gridCol w:w="1996"/>
        <w:gridCol w:w="4899"/>
      </w:tblGrid>
      <w:tr>
        <w:trPr>
          <w:tblHeader/>
        </w:trPr>
        <w:tc>
          <w:tcPr>
            <w:tcW w:type="dxa" w:w="2177"/>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مؤشّر البيان</w:t>
            </w:r>
          </w:p>
        </w:tc>
        <w:tc>
          <w:tcPr>
            <w:tcW w:type="dxa" w:w="1996"/>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المستوى</w:t>
            </w:r>
          </w:p>
        </w:tc>
        <w:tc>
          <w:tcPr>
            <w:tcW w:type="dxa" w:w="4899"/>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القرار التربويّ</w:t>
            </w:r>
          </w:p>
        </w:tc>
      </w:tr>
      <w:tr>
        <w:trPr>
          <w:cantSplit/>
        </w:trPr>
        <w:tc>
          <w:tcPr>
            <w:tcW w:type="dxa" w:w="2177"/>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85 – 100</w:t>
            </w:r>
          </w:p>
        </w:tc>
        <w:tc>
          <w:tcPr>
            <w:tcW w:type="dxa" w:w="1996"/>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مُتمكّن</w:t>
            </w:r>
          </w:p>
        </w:tc>
        <w:tc>
          <w:tcPr>
            <w:tcW w:type="dxa" w:w="4899"/>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إثراء: نصوص أطول وتحدّيات أسلوبية</w:t>
            </w:r>
          </w:p>
        </w:tc>
      </w:tr>
      <w:tr>
        <w:trPr>
          <w:cantSplit/>
        </w:trPr>
        <w:tc>
          <w:tcPr>
            <w:tcW w:type="dxa" w:w="2177"/>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70 – 84</w:t>
            </w:r>
          </w:p>
        </w:tc>
        <w:tc>
          <w:tcPr>
            <w:tcW w:type="dxa" w:w="1996"/>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جيّد</w:t>
            </w:r>
          </w:p>
        </w:tc>
        <w:tc>
          <w:tcPr>
            <w:tcW w:type="dxa" w:w="4899"/>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صقل: عائلة واحدة أو اثنتان فقط</w:t>
            </w:r>
          </w:p>
        </w:tc>
      </w:tr>
      <w:tr>
        <w:trPr>
          <w:cantSplit/>
        </w:trPr>
        <w:tc>
          <w:tcPr>
            <w:tcW w:type="dxa" w:w="2177"/>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50 – 69</w:t>
            </w:r>
          </w:p>
        </w:tc>
        <w:tc>
          <w:tcPr>
            <w:tcW w:type="dxa" w:w="1996"/>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يحتاج تدريباً</w:t>
            </w:r>
          </w:p>
        </w:tc>
        <w:tc>
          <w:tcPr>
            <w:tcW w:type="dxa" w:w="4899"/>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تمارين مولّدة أسبوعيّة من أضعف ثلاث عائلات</w:t>
            </w:r>
          </w:p>
        </w:tc>
      </w:tr>
      <w:tr>
        <w:trPr>
          <w:cantSplit/>
        </w:trPr>
        <w:tc>
          <w:tcPr>
            <w:tcW w:type="dxa" w:w="2177"/>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أقل من 50</w:t>
            </w:r>
          </w:p>
        </w:tc>
        <w:tc>
          <w:tcPr>
            <w:tcW w:type="dxa" w:w="1996"/>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أولويّة تدخّل</w:t>
            </w:r>
          </w:p>
        </w:tc>
        <w:tc>
          <w:tcPr>
            <w:tcW w:type="dxa" w:w="4899"/>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خطّة فرديّة + إشراك الأسرة بتقرير مفهوم</w:t>
            </w:r>
          </w:p>
        </w:tc>
      </w:tr>
    </w:tbl>
    <w:p>
      <w:r>
        <w:br w:type="page"/>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5. عائلات القواعد العشر</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1724"/>
        <w:gridCol w:w="907"/>
        <w:gridCol w:w="635"/>
        <w:gridCol w:w="3810"/>
        <w:gridCol w:w="1996"/>
      </w:tblGrid>
      <w:tr>
        <w:trPr>
          <w:tblHeader/>
        </w:trPr>
        <w:tc>
          <w:tcPr>
            <w:tcW w:type="dxa" w:w="1724"/>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العائلة</w:t>
            </w:r>
          </w:p>
        </w:tc>
        <w:tc>
          <w:tcPr>
            <w:tcW w:type="dxa" w:w="907"/>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الرمز</w:t>
            </w:r>
          </w:p>
        </w:tc>
        <w:tc>
          <w:tcPr>
            <w:tcW w:type="dxa" w:w="635"/>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الوزن</w:t>
            </w:r>
          </w:p>
        </w:tc>
        <w:tc>
          <w:tcPr>
            <w:tcW w:type="dxa" w:w="3810"/>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القاعدة المرجعيّة</w:t>
            </w:r>
          </w:p>
        </w:tc>
        <w:tc>
          <w:tcPr>
            <w:tcW w:type="dxa" w:w="1996"/>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نوع المطابقة</w:t>
            </w:r>
          </w:p>
        </w:tc>
      </w:tr>
      <w:tr>
        <w:trPr>
          <w:cantSplit/>
        </w:trPr>
        <w:tc>
          <w:tcPr>
            <w:tcW w:type="dxa" w:w="172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همزة القطع والوصل</w:t>
            </w:r>
          </w:p>
        </w:tc>
        <w:tc>
          <w:tcPr>
            <w:tcW w:type="dxa" w:w="90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أ / إ / ا</w:t>
            </w:r>
          </w:p>
        </w:tc>
        <w:tc>
          <w:tcPr>
            <w:tcW w:type="dxa" w:w="635"/>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3</w:t>
            </w:r>
          </w:p>
        </w:tc>
        <w:tc>
          <w:tcPr>
            <w:tcW w:type="dxa" w:w="381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مصدر الخماسيّ والسداسيّ وماضيهما، و(ابن، اسم، امرؤ، اثنان) بهمزة وصل؛ الأسماء والحروف وماضي الرباعيّ بهمزة قطع</w:t>
            </w:r>
          </w:p>
        </w:tc>
        <w:tc>
          <w:tcPr>
            <w:tcW w:type="dxa" w:w="1996"/>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مُعجميّة</w:t>
            </w:r>
          </w:p>
        </w:tc>
      </w:tr>
      <w:tr>
        <w:trPr>
          <w:cantSplit/>
        </w:trPr>
        <w:tc>
          <w:tcPr>
            <w:tcW w:type="dxa" w:w="172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التاء المربوطة والهاء</w:t>
            </w:r>
          </w:p>
        </w:tc>
        <w:tc>
          <w:tcPr>
            <w:tcW w:type="dxa" w:w="90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ة / ه</w:t>
            </w:r>
          </w:p>
        </w:tc>
        <w:tc>
          <w:tcPr>
            <w:tcW w:type="dxa" w:w="635"/>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3</w:t>
            </w:r>
          </w:p>
        </w:tc>
        <w:tc>
          <w:tcPr>
            <w:tcW w:type="dxa" w:w="381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اختبار التنوين: إن نُطقت تاءً عند التحريك فهي (ة)</w:t>
            </w:r>
          </w:p>
        </w:tc>
        <w:tc>
          <w:tcPr>
            <w:tcW w:type="dxa" w:w="1996"/>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مُعجميّة + تجريد أداة التعريف</w:t>
            </w:r>
          </w:p>
        </w:tc>
      </w:tr>
      <w:tr>
        <w:trPr>
          <w:cantSplit/>
        </w:trPr>
        <w:tc>
          <w:tcPr>
            <w:tcW w:type="dxa" w:w="172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الألف اللينة</w:t>
            </w:r>
          </w:p>
        </w:tc>
        <w:tc>
          <w:tcPr>
            <w:tcW w:type="dxa" w:w="90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ى / ي</w:t>
            </w:r>
          </w:p>
        </w:tc>
        <w:tc>
          <w:tcPr>
            <w:tcW w:type="dxa" w:w="635"/>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2.5</w:t>
            </w:r>
          </w:p>
        </w:tc>
        <w:tc>
          <w:tcPr>
            <w:tcW w:type="dxa" w:w="381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(إلى، على، حتى، متى، لدى) بالألف المقصورة دائماً؛ والياء المتطرّفة في (في، الذي، التي) مُنقَّطة</w:t>
            </w:r>
          </w:p>
        </w:tc>
        <w:tc>
          <w:tcPr>
            <w:tcW w:type="dxa" w:w="1996"/>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مُعجميّة</w:t>
            </w:r>
          </w:p>
        </w:tc>
      </w:tr>
      <w:tr>
        <w:trPr>
          <w:cantSplit/>
        </w:trPr>
        <w:tc>
          <w:tcPr>
            <w:tcW w:type="dxa" w:w="172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الضاد والظاء</w:t>
            </w:r>
          </w:p>
        </w:tc>
        <w:tc>
          <w:tcPr>
            <w:tcW w:type="dxa" w:w="90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ض / ظ</w:t>
            </w:r>
          </w:p>
        </w:tc>
        <w:tc>
          <w:tcPr>
            <w:tcW w:type="dxa" w:w="635"/>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3</w:t>
            </w:r>
          </w:p>
        </w:tc>
        <w:tc>
          <w:tcPr>
            <w:tcW w:type="dxa" w:w="381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حرفان مختلفان مخرجاً وصفةً، والخلط بينهما من أكثر الأخطاء شيوعاً</w:t>
            </w:r>
          </w:p>
        </w:tc>
        <w:tc>
          <w:tcPr>
            <w:tcW w:type="dxa" w:w="1996"/>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مُعجميّة</w:t>
            </w:r>
          </w:p>
        </w:tc>
      </w:tr>
      <w:tr>
        <w:trPr>
          <w:cantSplit/>
        </w:trPr>
        <w:tc>
          <w:tcPr>
            <w:tcW w:type="dxa" w:w="172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الهمزة المتوسطة والمتطرّفة</w:t>
            </w:r>
          </w:p>
        </w:tc>
        <w:tc>
          <w:tcPr>
            <w:tcW w:type="dxa" w:w="90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ئ ؤ أ ء</w:t>
            </w:r>
          </w:p>
        </w:tc>
        <w:tc>
          <w:tcPr>
            <w:tcW w:type="dxa" w:w="635"/>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3</w:t>
            </w:r>
          </w:p>
        </w:tc>
        <w:tc>
          <w:tcPr>
            <w:tcW w:type="dxa" w:w="381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تُرسم على ما يناسب أقوى الحركتين: الكسرة ثم الضمة ثم الفتحة ثم السكون</w:t>
            </w:r>
          </w:p>
        </w:tc>
        <w:tc>
          <w:tcPr>
            <w:tcW w:type="dxa" w:w="1996"/>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مُعجميّة</w:t>
            </w:r>
          </w:p>
        </w:tc>
      </w:tr>
      <w:tr>
        <w:trPr>
          <w:cantSplit/>
        </w:trPr>
        <w:tc>
          <w:tcPr>
            <w:tcW w:type="dxa" w:w="172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الإملاء الشائع</w:t>
            </w:r>
          </w:p>
        </w:tc>
        <w:tc>
          <w:tcPr>
            <w:tcW w:type="dxa" w:w="90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هاذا ← هذا</w:t>
            </w:r>
          </w:p>
        </w:tc>
        <w:tc>
          <w:tcPr>
            <w:tcW w:type="dxa" w:w="635"/>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2.5</w:t>
            </w:r>
          </w:p>
        </w:tc>
        <w:tc>
          <w:tcPr>
            <w:tcW w:type="dxa" w:w="381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صور خطأ متكرّرة في كتابات الطلبة تُحفظ صورتها الصحيحة</w:t>
            </w:r>
          </w:p>
        </w:tc>
        <w:tc>
          <w:tcPr>
            <w:tcW w:type="dxa" w:w="1996"/>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مُعجميّة</w:t>
            </w:r>
          </w:p>
        </w:tc>
      </w:tr>
      <w:tr>
        <w:trPr>
          <w:cantSplit/>
        </w:trPr>
        <w:tc>
          <w:tcPr>
            <w:tcW w:type="dxa" w:w="172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النحو والإعراب</w:t>
            </w:r>
          </w:p>
        </w:tc>
        <w:tc>
          <w:tcPr>
            <w:tcW w:type="dxa" w:w="90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جرّ · نصب · جزم · العدد</w:t>
            </w:r>
          </w:p>
        </w:tc>
        <w:tc>
          <w:tcPr>
            <w:tcW w:type="dxa" w:w="635"/>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4</w:t>
            </w:r>
          </w:p>
        </w:tc>
        <w:tc>
          <w:tcPr>
            <w:tcW w:type="dxa" w:w="381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جرّ جمع المذكّر السالم بالياء، نصب إنّ وأخواتها، جزم الأفعال الخمسة بحذف النون، مخالفة العدد للمعدود من 3 إلى 10</w:t>
            </w:r>
          </w:p>
        </w:tc>
        <w:tc>
          <w:tcPr>
            <w:tcW w:type="dxa" w:w="1996"/>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سياقيّة (تنظر ما قبل الكلمة وما بعدها)</w:t>
            </w:r>
          </w:p>
        </w:tc>
      </w:tr>
      <w:tr>
        <w:trPr>
          <w:cantSplit/>
        </w:trPr>
        <w:tc>
          <w:tcPr>
            <w:tcW w:type="dxa" w:w="172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العاميّة</w:t>
            </w:r>
          </w:p>
        </w:tc>
        <w:tc>
          <w:tcPr>
            <w:tcW w:type="dxa" w:w="90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بدي ← أريد</w:t>
            </w:r>
          </w:p>
        </w:tc>
        <w:tc>
          <w:tcPr>
            <w:tcW w:type="dxa" w:w="635"/>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2</w:t>
            </w:r>
          </w:p>
        </w:tc>
        <w:tc>
          <w:tcPr>
            <w:tcW w:type="dxa" w:w="381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تسرّب العاميّة الشاميّة والخليجيّة والمصريّة إلى الكتابة المدرسيّة</w:t>
            </w:r>
          </w:p>
        </w:tc>
        <w:tc>
          <w:tcPr>
            <w:tcW w:type="dxa" w:w="1996"/>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مُعجميّة + درجة ثقة</w:t>
            </w:r>
          </w:p>
        </w:tc>
      </w:tr>
      <w:tr>
        <w:trPr>
          <w:cantSplit/>
        </w:trPr>
        <w:tc>
          <w:tcPr>
            <w:tcW w:type="dxa" w:w="172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الترقيم</w:t>
            </w:r>
          </w:p>
        </w:tc>
        <w:tc>
          <w:tcPr>
            <w:tcW w:type="dxa" w:w="90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 ؛ ؟ .</w:t>
            </w:r>
          </w:p>
        </w:tc>
        <w:tc>
          <w:tcPr>
            <w:tcW w:type="dxa" w:w="635"/>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1</w:t>
            </w:r>
          </w:p>
        </w:tc>
        <w:tc>
          <w:tcPr>
            <w:tcW w:type="dxa" w:w="381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الفاصلة العربية (،) وعلامة الاستفهام (؟)، والتصاق العلامة بما قبلها</w:t>
            </w:r>
          </w:p>
        </w:tc>
        <w:tc>
          <w:tcPr>
            <w:tcW w:type="dxa" w:w="1996"/>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نمطيّة (تعبير منتظم)</w:t>
            </w:r>
          </w:p>
        </w:tc>
      </w:tr>
      <w:tr>
        <w:trPr>
          <w:cantSplit/>
        </w:trPr>
        <w:tc>
          <w:tcPr>
            <w:tcW w:type="dxa" w:w="172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الأسلوب</w:t>
            </w:r>
          </w:p>
        </w:tc>
        <w:tc>
          <w:tcPr>
            <w:tcW w:type="dxa" w:w="90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طول الجملة · التكرار</w:t>
            </w:r>
          </w:p>
        </w:tc>
        <w:tc>
          <w:tcPr>
            <w:tcW w:type="dxa" w:w="635"/>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1</w:t>
            </w:r>
          </w:p>
        </w:tc>
        <w:tc>
          <w:tcPr>
            <w:tcW w:type="dxa" w:w="381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الجملة العربية الواضحة غالباً بين 10 و20 كلمة</w:t>
            </w:r>
          </w:p>
        </w:tc>
        <w:tc>
          <w:tcPr>
            <w:tcW w:type="dxa" w:w="1996"/>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إحصائيّة</w:t>
            </w:r>
          </w:p>
        </w:tc>
      </w:tr>
    </w:tbl>
    <w:p>
      <w:pPr>
        <w:spacing w:after="160"/>
      </w:pPr>
      <w:r>
        <w:rPr>
          <w:rFonts w:ascii="Arial" w:cs="Arial" w:eastAsia="Arial" w:hAnsi="Arial"/>
        </w:rPr>
        <w:t xml:space="preserve"/>
      </w:r>
    </w:p>
    <w:p>
      <w:pPr>
        <w:bidi/>
        <w:spacing w:after="140" w:line="320"/>
        <w:jc w:val="both"/>
      </w:pPr>
      <w:r>
        <w:rPr>
          <w:rFonts w:ascii="Arial" w:cs="Arial" w:eastAsia="Arial" w:hAnsi="Arial"/>
          <w:color w:val="1A1A22"/>
          <w:sz w:val="21"/>
          <w:szCs w:val="21"/>
          <w:rtl/>
        </w:rPr>
        <w:t xml:space="preserve">تُعرَض لكلّ ملاحظة أربعة عناصر في الواجهة: عنوان الخطأ، الصورة الخطأ والصورة الصحيحة، نصّ القاعدة اللغويّة، ودرجة ثقة (مؤكّد / مرجّح). والقواعد التي قد تُنتج إنذاراً كاذباً — مثل «عليّ» الاسم في مقابل «على» الحرف — تُعلَّم «مرجّح» بدل «مؤكّد»، لأنّ الأداة التي تخطئ وتصمت أسوأ من الأداة التي تخطئ وتُعلن احتمال خطئها.</w:t>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6. بيانات النموذج ومخرجاته</w:t>
      </w:r>
    </w:p>
    <w:p>
      <w:pPr>
        <w:bidi/>
        <w:spacing w:after="140" w:line="320"/>
        <w:jc w:val="both"/>
      </w:pPr>
      <w:r>
        <w:rPr>
          <w:rFonts w:ascii="Arial" w:cs="Arial" w:eastAsia="Arial" w:hAnsi="Arial"/>
          <w:color w:val="1A1A22"/>
          <w:sz w:val="21"/>
          <w:szCs w:val="21"/>
          <w:rtl/>
        </w:rPr>
        <w:t xml:space="preserve">يحمل النموذج 12 طالباً في 3 صفوف، ولكلّ طالب نصّان من تأليف الفريق تُحاكي مستويات كتابيّة حقيقيّة. ومجموع ما يحلّله النموذج 427 كلمة، رُصد فيها 90 ملاحظة. وكلّ رقم في الجداول الآتية يُحتسب لحظيّاً من المحرّك عند فتح الملفّ، ولا يوجد في الكود رقم واحد مكتوب يدويّاً.</w:t>
      </w:r>
    </w:p>
    <w:p>
      <w:pPr>
        <w:pStyle w:val="Heading2"/>
        <w:keepNext/>
        <w:keepLines/>
        <w:bidi/>
        <w:spacing w:after="110" w:before="220"/>
        <w:jc w:val="right"/>
      </w:pPr>
      <w:r>
        <w:rPr>
          <w:rFonts w:ascii="Arial" w:cs="Arial" w:eastAsia="Arial" w:hAnsi="Arial"/>
          <w:b/>
          <w:bCs/>
          <w:color w:val="1A1A22"/>
          <w:sz w:val="24"/>
          <w:szCs w:val="24"/>
          <w:rtl/>
        </w:rPr>
        <w:t xml:space="preserve">6.1 نتائج الصفوف</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1814"/>
        <w:gridCol w:w="1814"/>
        <w:gridCol w:w="1814"/>
        <w:gridCol w:w="1814"/>
        <w:gridCol w:w="1814"/>
      </w:tblGrid>
      <w:tr>
        <w:trPr>
          <w:tblHeader/>
        </w:trPr>
        <w:tc>
          <w:tcPr>
            <w:tcW w:type="dxa" w:w="1814"/>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الصفّ</w:t>
            </w:r>
          </w:p>
        </w:tc>
        <w:tc>
          <w:tcPr>
            <w:tcW w:type="dxa" w:w="1814"/>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عدد الطلبة</w:t>
            </w:r>
          </w:p>
        </w:tc>
        <w:tc>
          <w:tcPr>
            <w:tcW w:type="dxa" w:w="1814"/>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الكلمات</w:t>
            </w:r>
          </w:p>
        </w:tc>
        <w:tc>
          <w:tcPr>
            <w:tcW w:type="dxa" w:w="1814"/>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الملاحظات</w:t>
            </w:r>
          </w:p>
        </w:tc>
        <w:tc>
          <w:tcPr>
            <w:tcW w:type="dxa" w:w="1814"/>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متوسّط المؤشّر</w:t>
            </w:r>
          </w:p>
        </w:tc>
      </w:tr>
      <w:tr>
        <w:trPr>
          <w:cantSplit/>
        </w:trPr>
        <w:tc>
          <w:tcPr>
            <w:tcW w:type="dxa" w:w="181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8-أ</w:t>
            </w:r>
          </w:p>
        </w:tc>
        <w:tc>
          <w:tcPr>
            <w:tcW w:type="dxa" w:w="1814"/>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4</w:t>
            </w:r>
          </w:p>
        </w:tc>
        <w:tc>
          <w:tcPr>
            <w:tcW w:type="dxa" w:w="1814"/>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140</w:t>
            </w:r>
          </w:p>
        </w:tc>
        <w:tc>
          <w:tcPr>
            <w:tcW w:type="dxa" w:w="1814"/>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45</w:t>
            </w:r>
          </w:p>
        </w:tc>
        <w:tc>
          <w:tcPr>
            <w:tcW w:type="dxa" w:w="1814"/>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29</w:t>
            </w:r>
          </w:p>
        </w:tc>
      </w:tr>
      <w:tr>
        <w:trPr>
          <w:cantSplit/>
        </w:trPr>
        <w:tc>
          <w:tcPr>
            <w:tcW w:type="dxa" w:w="181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9-ب</w:t>
            </w:r>
          </w:p>
        </w:tc>
        <w:tc>
          <w:tcPr>
            <w:tcW w:type="dxa" w:w="1814"/>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4</w:t>
            </w:r>
          </w:p>
        </w:tc>
        <w:tc>
          <w:tcPr>
            <w:tcW w:type="dxa" w:w="1814"/>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139</w:t>
            </w:r>
          </w:p>
        </w:tc>
        <w:tc>
          <w:tcPr>
            <w:tcW w:type="dxa" w:w="1814"/>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24</w:t>
            </w:r>
          </w:p>
        </w:tc>
        <w:tc>
          <w:tcPr>
            <w:tcW w:type="dxa" w:w="1814"/>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50</w:t>
            </w:r>
          </w:p>
        </w:tc>
      </w:tr>
      <w:tr>
        <w:trPr>
          <w:cantSplit/>
        </w:trPr>
        <w:tc>
          <w:tcPr>
            <w:tcW w:type="dxa" w:w="181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10-أ</w:t>
            </w:r>
          </w:p>
        </w:tc>
        <w:tc>
          <w:tcPr>
            <w:tcW w:type="dxa" w:w="1814"/>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4</w:t>
            </w:r>
          </w:p>
        </w:tc>
        <w:tc>
          <w:tcPr>
            <w:tcW w:type="dxa" w:w="1814"/>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148</w:t>
            </w:r>
          </w:p>
        </w:tc>
        <w:tc>
          <w:tcPr>
            <w:tcW w:type="dxa" w:w="1814"/>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21</w:t>
            </w:r>
          </w:p>
        </w:tc>
        <w:tc>
          <w:tcPr>
            <w:tcW w:type="dxa" w:w="1814"/>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59</w:t>
            </w:r>
          </w:p>
        </w:tc>
      </w:tr>
    </w:tbl>
    <w:p>
      <w:pPr>
        <w:pStyle w:val="Heading2"/>
        <w:keepNext/>
        <w:keepLines/>
        <w:bidi/>
        <w:spacing w:after="110" w:before="220"/>
        <w:jc w:val="right"/>
      </w:pPr>
      <w:r>
        <w:rPr>
          <w:rFonts w:ascii="Arial" w:cs="Arial" w:eastAsia="Arial" w:hAnsi="Arial"/>
          <w:b/>
          <w:bCs/>
          <w:color w:val="1A1A22"/>
          <w:sz w:val="24"/>
          <w:szCs w:val="24"/>
          <w:rtl/>
        </w:rPr>
        <w:t xml:space="preserve">6.2 نتائج الطلبة</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1814"/>
        <w:gridCol w:w="907"/>
        <w:gridCol w:w="998"/>
        <w:gridCol w:w="1089"/>
        <w:gridCol w:w="1270"/>
        <w:gridCol w:w="907"/>
        <w:gridCol w:w="2087"/>
      </w:tblGrid>
      <w:tr>
        <w:trPr>
          <w:tblHeader/>
        </w:trPr>
        <w:tc>
          <w:tcPr>
            <w:tcW w:type="dxa" w:w="1814"/>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الطالب</w:t>
            </w:r>
          </w:p>
        </w:tc>
        <w:tc>
          <w:tcPr>
            <w:tcW w:type="dxa" w:w="907"/>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الصفّ</w:t>
            </w:r>
          </w:p>
        </w:tc>
        <w:tc>
          <w:tcPr>
            <w:tcW w:type="dxa" w:w="998"/>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الكلمات</w:t>
            </w:r>
          </w:p>
        </w:tc>
        <w:tc>
          <w:tcPr>
            <w:tcW w:type="dxa" w:w="1089"/>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الملاحظات</w:t>
            </w:r>
          </w:p>
        </w:tc>
        <w:tc>
          <w:tcPr>
            <w:tcW w:type="dxa" w:w="1270"/>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لكلّ 100 كلمة</w:t>
            </w:r>
          </w:p>
        </w:tc>
        <w:tc>
          <w:tcPr>
            <w:tcW w:type="dxa" w:w="907"/>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المؤشّر</w:t>
            </w:r>
          </w:p>
        </w:tc>
        <w:tc>
          <w:tcPr>
            <w:tcW w:type="dxa" w:w="2087"/>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أضعف عائلة</w:t>
            </w:r>
          </w:p>
        </w:tc>
      </w:tr>
      <w:tr>
        <w:trPr>
          <w:cantSplit/>
        </w:trPr>
        <w:tc>
          <w:tcPr>
            <w:tcW w:type="dxa" w:w="181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سلمى الحوسني</w:t>
            </w:r>
          </w:p>
        </w:tc>
        <w:tc>
          <w:tcPr>
            <w:tcW w:type="dxa" w:w="90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8-أ</w:t>
            </w:r>
          </w:p>
        </w:tc>
        <w:tc>
          <w:tcPr>
            <w:tcW w:type="dxa" w:w="998"/>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38</w:t>
            </w:r>
          </w:p>
        </w:tc>
        <w:tc>
          <w:tcPr>
            <w:tcW w:type="dxa" w:w="108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12</w:t>
            </w:r>
          </w:p>
        </w:tc>
        <w:tc>
          <w:tcPr>
            <w:tcW w:type="dxa" w:w="1270"/>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31.6</w:t>
            </w:r>
          </w:p>
        </w:tc>
        <w:tc>
          <w:tcPr>
            <w:tcW w:type="dxa" w:w="90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28</w:t>
            </w:r>
          </w:p>
        </w:tc>
        <w:tc>
          <w:tcPr>
            <w:tcW w:type="dxa" w:w="208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التاء المربوطة والهاء</w:t>
            </w:r>
          </w:p>
        </w:tc>
      </w:tr>
      <w:tr>
        <w:trPr>
          <w:cantSplit/>
        </w:trPr>
        <w:tc>
          <w:tcPr>
            <w:tcW w:type="dxa" w:w="181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راشد المرزوقي</w:t>
            </w:r>
          </w:p>
        </w:tc>
        <w:tc>
          <w:tcPr>
            <w:tcW w:type="dxa" w:w="90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8-أ</w:t>
            </w:r>
          </w:p>
        </w:tc>
        <w:tc>
          <w:tcPr>
            <w:tcW w:type="dxa" w:w="998"/>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35</w:t>
            </w:r>
          </w:p>
        </w:tc>
        <w:tc>
          <w:tcPr>
            <w:tcW w:type="dxa" w:w="108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12</w:t>
            </w:r>
          </w:p>
        </w:tc>
        <w:tc>
          <w:tcPr>
            <w:tcW w:type="dxa" w:w="1270"/>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34.3</w:t>
            </w:r>
          </w:p>
        </w:tc>
        <w:tc>
          <w:tcPr>
            <w:tcW w:type="dxa" w:w="90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25</w:t>
            </w:r>
          </w:p>
        </w:tc>
        <w:tc>
          <w:tcPr>
            <w:tcW w:type="dxa" w:w="208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التاء المربوطة والهاء</w:t>
            </w:r>
          </w:p>
        </w:tc>
      </w:tr>
      <w:tr>
        <w:trPr>
          <w:cantSplit/>
        </w:trPr>
        <w:tc>
          <w:tcPr>
            <w:tcW w:type="dxa" w:w="181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جنى عبدالله</w:t>
            </w:r>
          </w:p>
        </w:tc>
        <w:tc>
          <w:tcPr>
            <w:tcW w:type="dxa" w:w="90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8-أ</w:t>
            </w:r>
          </w:p>
        </w:tc>
        <w:tc>
          <w:tcPr>
            <w:tcW w:type="dxa" w:w="998"/>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33</w:t>
            </w:r>
          </w:p>
        </w:tc>
        <w:tc>
          <w:tcPr>
            <w:tcW w:type="dxa" w:w="108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6</w:t>
            </w:r>
          </w:p>
        </w:tc>
        <w:tc>
          <w:tcPr>
            <w:tcW w:type="dxa" w:w="1270"/>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18.2</w:t>
            </w:r>
          </w:p>
        </w:tc>
        <w:tc>
          <w:tcPr>
            <w:tcW w:type="dxa" w:w="90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42</w:t>
            </w:r>
          </w:p>
        </w:tc>
        <w:tc>
          <w:tcPr>
            <w:tcW w:type="dxa" w:w="208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التاء المربوطة والهاء</w:t>
            </w:r>
          </w:p>
        </w:tc>
      </w:tr>
      <w:tr>
        <w:trPr>
          <w:cantSplit/>
        </w:trPr>
        <w:tc>
          <w:tcPr>
            <w:tcW w:type="dxa" w:w="181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عمر الكعبي</w:t>
            </w:r>
          </w:p>
        </w:tc>
        <w:tc>
          <w:tcPr>
            <w:tcW w:type="dxa" w:w="90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8-أ</w:t>
            </w:r>
          </w:p>
        </w:tc>
        <w:tc>
          <w:tcPr>
            <w:tcW w:type="dxa" w:w="998"/>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34</w:t>
            </w:r>
          </w:p>
        </w:tc>
        <w:tc>
          <w:tcPr>
            <w:tcW w:type="dxa" w:w="108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15</w:t>
            </w:r>
          </w:p>
        </w:tc>
        <w:tc>
          <w:tcPr>
            <w:tcW w:type="dxa" w:w="1270"/>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44.1</w:t>
            </w:r>
          </w:p>
        </w:tc>
        <w:tc>
          <w:tcPr>
            <w:tcW w:type="dxa" w:w="90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22</w:t>
            </w:r>
          </w:p>
        </w:tc>
        <w:tc>
          <w:tcPr>
            <w:tcW w:type="dxa" w:w="208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التاء المربوطة والهاء</w:t>
            </w:r>
          </w:p>
        </w:tc>
      </w:tr>
      <w:tr>
        <w:trPr>
          <w:cantSplit/>
        </w:trPr>
        <w:tc>
          <w:tcPr>
            <w:tcW w:type="dxa" w:w="181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ليان خالد</w:t>
            </w:r>
          </w:p>
        </w:tc>
        <w:tc>
          <w:tcPr>
            <w:tcW w:type="dxa" w:w="90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9-ب</w:t>
            </w:r>
          </w:p>
        </w:tc>
        <w:tc>
          <w:tcPr>
            <w:tcW w:type="dxa" w:w="998"/>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36</w:t>
            </w:r>
          </w:p>
        </w:tc>
        <w:tc>
          <w:tcPr>
            <w:tcW w:type="dxa" w:w="108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4</w:t>
            </w:r>
          </w:p>
        </w:tc>
        <w:tc>
          <w:tcPr>
            <w:tcW w:type="dxa" w:w="1270"/>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11.1</w:t>
            </w:r>
          </w:p>
        </w:tc>
        <w:tc>
          <w:tcPr>
            <w:tcW w:type="dxa" w:w="90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73</w:t>
            </w:r>
          </w:p>
        </w:tc>
        <w:tc>
          <w:tcPr>
            <w:tcW w:type="dxa" w:w="208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الترقيم</w:t>
            </w:r>
          </w:p>
        </w:tc>
      </w:tr>
      <w:tr>
        <w:trPr>
          <w:cantSplit/>
        </w:trPr>
        <w:tc>
          <w:tcPr>
            <w:tcW w:type="dxa" w:w="181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حمدان الكعبي</w:t>
            </w:r>
          </w:p>
        </w:tc>
        <w:tc>
          <w:tcPr>
            <w:tcW w:type="dxa" w:w="90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9-ب</w:t>
            </w:r>
          </w:p>
        </w:tc>
        <w:tc>
          <w:tcPr>
            <w:tcW w:type="dxa" w:w="998"/>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34</w:t>
            </w:r>
          </w:p>
        </w:tc>
        <w:tc>
          <w:tcPr>
            <w:tcW w:type="dxa" w:w="108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6</w:t>
            </w:r>
          </w:p>
        </w:tc>
        <w:tc>
          <w:tcPr>
            <w:tcW w:type="dxa" w:w="1270"/>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17.6</w:t>
            </w:r>
          </w:p>
        </w:tc>
        <w:tc>
          <w:tcPr>
            <w:tcW w:type="dxa" w:w="90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44</w:t>
            </w:r>
          </w:p>
        </w:tc>
        <w:tc>
          <w:tcPr>
            <w:tcW w:type="dxa" w:w="208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التاء المربوطة والهاء</w:t>
            </w:r>
          </w:p>
        </w:tc>
      </w:tr>
      <w:tr>
        <w:trPr>
          <w:cantSplit/>
        </w:trPr>
        <w:tc>
          <w:tcPr>
            <w:tcW w:type="dxa" w:w="181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مريم الزعابي</w:t>
            </w:r>
          </w:p>
        </w:tc>
        <w:tc>
          <w:tcPr>
            <w:tcW w:type="dxa" w:w="90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9-ب</w:t>
            </w:r>
          </w:p>
        </w:tc>
        <w:tc>
          <w:tcPr>
            <w:tcW w:type="dxa" w:w="998"/>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34</w:t>
            </w:r>
          </w:p>
        </w:tc>
        <w:tc>
          <w:tcPr>
            <w:tcW w:type="dxa" w:w="108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8</w:t>
            </w:r>
          </w:p>
        </w:tc>
        <w:tc>
          <w:tcPr>
            <w:tcW w:type="dxa" w:w="1270"/>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23.5</w:t>
            </w:r>
          </w:p>
        </w:tc>
        <w:tc>
          <w:tcPr>
            <w:tcW w:type="dxa" w:w="90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36</w:t>
            </w:r>
          </w:p>
        </w:tc>
        <w:tc>
          <w:tcPr>
            <w:tcW w:type="dxa" w:w="208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التاء المربوطة والهاء</w:t>
            </w:r>
          </w:p>
        </w:tc>
      </w:tr>
      <w:tr>
        <w:trPr>
          <w:cantSplit/>
        </w:trPr>
        <w:tc>
          <w:tcPr>
            <w:tcW w:type="dxa" w:w="181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يوسف النقبي</w:t>
            </w:r>
          </w:p>
        </w:tc>
        <w:tc>
          <w:tcPr>
            <w:tcW w:type="dxa" w:w="90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9-ب</w:t>
            </w:r>
          </w:p>
        </w:tc>
        <w:tc>
          <w:tcPr>
            <w:tcW w:type="dxa" w:w="998"/>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35</w:t>
            </w:r>
          </w:p>
        </w:tc>
        <w:tc>
          <w:tcPr>
            <w:tcW w:type="dxa" w:w="108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6</w:t>
            </w:r>
          </w:p>
        </w:tc>
        <w:tc>
          <w:tcPr>
            <w:tcW w:type="dxa" w:w="1270"/>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17.1</w:t>
            </w:r>
          </w:p>
        </w:tc>
        <w:tc>
          <w:tcPr>
            <w:tcW w:type="dxa" w:w="90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48</w:t>
            </w:r>
          </w:p>
        </w:tc>
        <w:tc>
          <w:tcPr>
            <w:tcW w:type="dxa" w:w="208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العاميّة</w:t>
            </w:r>
          </w:p>
        </w:tc>
      </w:tr>
      <w:tr>
        <w:trPr>
          <w:cantSplit/>
        </w:trPr>
        <w:tc>
          <w:tcPr>
            <w:tcW w:type="dxa" w:w="181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سالم الظنهاني</w:t>
            </w:r>
          </w:p>
        </w:tc>
        <w:tc>
          <w:tcPr>
            <w:tcW w:type="dxa" w:w="90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10-أ</w:t>
            </w:r>
          </w:p>
        </w:tc>
        <w:tc>
          <w:tcPr>
            <w:tcW w:type="dxa" w:w="998"/>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41</w:t>
            </w:r>
          </w:p>
        </w:tc>
        <w:tc>
          <w:tcPr>
            <w:tcW w:type="dxa" w:w="108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2</w:t>
            </w:r>
          </w:p>
        </w:tc>
        <w:tc>
          <w:tcPr>
            <w:tcW w:type="dxa" w:w="1270"/>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4.9</w:t>
            </w:r>
          </w:p>
        </w:tc>
        <w:tc>
          <w:tcPr>
            <w:tcW w:type="dxa" w:w="90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86</w:t>
            </w:r>
          </w:p>
        </w:tc>
        <w:tc>
          <w:tcPr>
            <w:tcW w:type="dxa" w:w="208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الترقيم</w:t>
            </w:r>
          </w:p>
        </w:tc>
      </w:tr>
      <w:tr>
        <w:trPr>
          <w:cantSplit/>
        </w:trPr>
        <w:tc>
          <w:tcPr>
            <w:tcW w:type="dxa" w:w="181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عبدالله الشامسي</w:t>
            </w:r>
          </w:p>
        </w:tc>
        <w:tc>
          <w:tcPr>
            <w:tcW w:type="dxa" w:w="90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10-أ</w:t>
            </w:r>
          </w:p>
        </w:tc>
        <w:tc>
          <w:tcPr>
            <w:tcW w:type="dxa" w:w="998"/>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32</w:t>
            </w:r>
          </w:p>
        </w:tc>
        <w:tc>
          <w:tcPr>
            <w:tcW w:type="dxa" w:w="108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5</w:t>
            </w:r>
          </w:p>
        </w:tc>
        <w:tc>
          <w:tcPr>
            <w:tcW w:type="dxa" w:w="1270"/>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15.6</w:t>
            </w:r>
          </w:p>
        </w:tc>
        <w:tc>
          <w:tcPr>
            <w:tcW w:type="dxa" w:w="90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50</w:t>
            </w:r>
          </w:p>
        </w:tc>
        <w:tc>
          <w:tcPr>
            <w:tcW w:type="dxa" w:w="208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الألف اللينة (ى/ي)</w:t>
            </w:r>
          </w:p>
        </w:tc>
      </w:tr>
      <w:tr>
        <w:trPr>
          <w:cantSplit/>
        </w:trPr>
        <w:tc>
          <w:tcPr>
            <w:tcW w:type="dxa" w:w="181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نورة السويدي</w:t>
            </w:r>
          </w:p>
        </w:tc>
        <w:tc>
          <w:tcPr>
            <w:tcW w:type="dxa" w:w="90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10-أ</w:t>
            </w:r>
          </w:p>
        </w:tc>
        <w:tc>
          <w:tcPr>
            <w:tcW w:type="dxa" w:w="998"/>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42</w:t>
            </w:r>
          </w:p>
        </w:tc>
        <w:tc>
          <w:tcPr>
            <w:tcW w:type="dxa" w:w="108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4</w:t>
            </w:r>
          </w:p>
        </w:tc>
        <w:tc>
          <w:tcPr>
            <w:tcW w:type="dxa" w:w="1270"/>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9.5</w:t>
            </w:r>
          </w:p>
        </w:tc>
        <w:tc>
          <w:tcPr>
            <w:tcW w:type="dxa" w:w="90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69</w:t>
            </w:r>
          </w:p>
        </w:tc>
        <w:tc>
          <w:tcPr>
            <w:tcW w:type="dxa" w:w="2087"/>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التاء المربوطة والهاء</w:t>
            </w:r>
          </w:p>
        </w:tc>
      </w:tr>
      <w:tr>
        <w:trPr>
          <w:cantSplit/>
        </w:trPr>
        <w:tc>
          <w:tcPr>
            <w:tcW w:type="dxa" w:w="181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طلال اليماحي</w:t>
            </w:r>
          </w:p>
        </w:tc>
        <w:tc>
          <w:tcPr>
            <w:tcW w:type="dxa" w:w="90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10-أ</w:t>
            </w:r>
          </w:p>
        </w:tc>
        <w:tc>
          <w:tcPr>
            <w:tcW w:type="dxa" w:w="998"/>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33</w:t>
            </w:r>
          </w:p>
        </w:tc>
        <w:tc>
          <w:tcPr>
            <w:tcW w:type="dxa" w:w="108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10</w:t>
            </w:r>
          </w:p>
        </w:tc>
        <w:tc>
          <w:tcPr>
            <w:tcW w:type="dxa" w:w="1270"/>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30.3</w:t>
            </w:r>
          </w:p>
        </w:tc>
        <w:tc>
          <w:tcPr>
            <w:tcW w:type="dxa" w:w="90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30</w:t>
            </w:r>
          </w:p>
        </w:tc>
        <w:tc>
          <w:tcPr>
            <w:tcW w:type="dxa" w:w="2087"/>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الألف اللينة (ى/ي)</w:t>
            </w:r>
          </w:p>
        </w:tc>
      </w:tr>
    </w:tbl>
    <w:p>
      <w:pPr>
        <w:pStyle w:val="Heading2"/>
        <w:keepNext/>
        <w:keepLines/>
        <w:bidi/>
        <w:spacing w:after="110" w:before="220"/>
        <w:jc w:val="right"/>
      </w:pPr>
      <w:r>
        <w:rPr>
          <w:rFonts w:ascii="Arial" w:cs="Arial" w:eastAsia="Arial" w:hAnsi="Arial"/>
          <w:b/>
          <w:bCs/>
          <w:color w:val="1A1A22"/>
          <w:sz w:val="24"/>
          <w:szCs w:val="24"/>
          <w:rtl/>
        </w:rPr>
        <w:t xml:space="preserve">6.3 توزيع الأخطاء وإتقان المدرسة</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4173"/>
        <w:gridCol w:w="2449"/>
        <w:gridCol w:w="2449"/>
      </w:tblGrid>
      <w:tr>
        <w:trPr>
          <w:tblHeader/>
        </w:trPr>
        <w:tc>
          <w:tcPr>
            <w:tcW w:type="dxa" w:w="4173"/>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العائلة</w:t>
            </w:r>
          </w:p>
        </w:tc>
        <w:tc>
          <w:tcPr>
            <w:tcW w:type="dxa" w:w="2449"/>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عدد الأخطاء</w:t>
            </w:r>
          </w:p>
        </w:tc>
        <w:tc>
          <w:tcPr>
            <w:tcW w:type="dxa" w:w="2449"/>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درجة إتقان المدرسة</w:t>
            </w:r>
          </w:p>
        </w:tc>
      </w:tr>
      <w:tr>
        <w:trPr>
          <w:cantSplit/>
        </w:trPr>
        <w:tc>
          <w:tcPr>
            <w:tcW w:type="dxa" w:w="4173"/>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الترقيم</w:t>
            </w:r>
          </w:p>
        </w:tc>
        <w:tc>
          <w:tcPr>
            <w:tcW w:type="dxa" w:w="244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27</w:t>
            </w:r>
          </w:p>
        </w:tc>
        <w:tc>
          <w:tcPr>
            <w:tcW w:type="dxa" w:w="244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65</w:t>
            </w:r>
          </w:p>
        </w:tc>
      </w:tr>
      <w:tr>
        <w:trPr>
          <w:cantSplit/>
        </w:trPr>
        <w:tc>
          <w:tcPr>
            <w:tcW w:type="dxa" w:w="4173"/>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التاء المربوطة والهاء</w:t>
            </w:r>
          </w:p>
        </w:tc>
        <w:tc>
          <w:tcPr>
            <w:tcW w:type="dxa" w:w="244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25</w:t>
            </w:r>
          </w:p>
        </w:tc>
        <w:tc>
          <w:tcPr>
            <w:tcW w:type="dxa" w:w="244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41</w:t>
            </w:r>
          </w:p>
        </w:tc>
      </w:tr>
      <w:tr>
        <w:trPr>
          <w:cantSplit/>
        </w:trPr>
        <w:tc>
          <w:tcPr>
            <w:tcW w:type="dxa" w:w="4173"/>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العاميّة</w:t>
            </w:r>
          </w:p>
        </w:tc>
        <w:tc>
          <w:tcPr>
            <w:tcW w:type="dxa" w:w="244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10</w:t>
            </w:r>
          </w:p>
        </w:tc>
        <w:tc>
          <w:tcPr>
            <w:tcW w:type="dxa" w:w="244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72</w:t>
            </w:r>
          </w:p>
        </w:tc>
      </w:tr>
      <w:tr>
        <w:trPr>
          <w:cantSplit/>
        </w:trPr>
        <w:tc>
          <w:tcPr>
            <w:tcW w:type="dxa" w:w="4173"/>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همزة القطع والوصل</w:t>
            </w:r>
          </w:p>
        </w:tc>
        <w:tc>
          <w:tcPr>
            <w:tcW w:type="dxa" w:w="244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9</w:t>
            </w:r>
          </w:p>
        </w:tc>
        <w:tc>
          <w:tcPr>
            <w:tcW w:type="dxa" w:w="244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65</w:t>
            </w:r>
          </w:p>
        </w:tc>
      </w:tr>
      <w:tr>
        <w:trPr>
          <w:cantSplit/>
        </w:trPr>
        <w:tc>
          <w:tcPr>
            <w:tcW w:type="dxa" w:w="4173"/>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الألف اللينة (ى/ي)</w:t>
            </w:r>
          </w:p>
        </w:tc>
        <w:tc>
          <w:tcPr>
            <w:tcW w:type="dxa" w:w="244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8</w:t>
            </w:r>
          </w:p>
        </w:tc>
        <w:tc>
          <w:tcPr>
            <w:tcW w:type="dxa" w:w="244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72</w:t>
            </w:r>
          </w:p>
        </w:tc>
      </w:tr>
      <w:tr>
        <w:trPr>
          <w:cantSplit/>
        </w:trPr>
        <w:tc>
          <w:tcPr>
            <w:tcW w:type="dxa" w:w="4173"/>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إملاء شائع</w:t>
            </w:r>
          </w:p>
        </w:tc>
        <w:tc>
          <w:tcPr>
            <w:tcW w:type="dxa" w:w="244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6</w:t>
            </w:r>
          </w:p>
        </w:tc>
        <w:tc>
          <w:tcPr>
            <w:tcW w:type="dxa" w:w="244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77</w:t>
            </w:r>
          </w:p>
        </w:tc>
      </w:tr>
      <w:tr>
        <w:trPr>
          <w:cantSplit/>
        </w:trPr>
        <w:tc>
          <w:tcPr>
            <w:tcW w:type="dxa" w:w="4173"/>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النحو والإعراب</w:t>
            </w:r>
          </w:p>
        </w:tc>
        <w:tc>
          <w:tcPr>
            <w:tcW w:type="dxa" w:w="244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3</w:t>
            </w:r>
          </w:p>
        </w:tc>
        <w:tc>
          <w:tcPr>
            <w:tcW w:type="dxa" w:w="244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81</w:t>
            </w:r>
          </w:p>
        </w:tc>
      </w:tr>
      <w:tr>
        <w:trPr>
          <w:cantSplit/>
        </w:trPr>
        <w:tc>
          <w:tcPr>
            <w:tcW w:type="dxa" w:w="4173"/>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الهمزة المتوسطة والمتطرفة</w:t>
            </w:r>
          </w:p>
        </w:tc>
        <w:tc>
          <w:tcPr>
            <w:tcW w:type="dxa" w:w="244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2</w:t>
            </w:r>
          </w:p>
        </w:tc>
        <w:tc>
          <w:tcPr>
            <w:tcW w:type="dxa" w:w="244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90</w:t>
            </w:r>
          </w:p>
        </w:tc>
      </w:tr>
      <w:tr>
        <w:trPr>
          <w:cantSplit/>
        </w:trPr>
        <w:tc>
          <w:tcPr>
            <w:tcW w:type="dxa" w:w="4173"/>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الضاد والظاء</w:t>
            </w:r>
          </w:p>
        </w:tc>
        <w:tc>
          <w:tcPr>
            <w:tcW w:type="dxa" w:w="244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0</w:t>
            </w:r>
          </w:p>
        </w:tc>
        <w:tc>
          <w:tcPr>
            <w:tcW w:type="dxa" w:w="2449"/>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100</w:t>
            </w:r>
          </w:p>
        </w:tc>
      </w:tr>
      <w:tr>
        <w:trPr>
          <w:cantSplit/>
        </w:trPr>
        <w:tc>
          <w:tcPr>
            <w:tcW w:type="dxa" w:w="4173"/>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الأسلوب</w:t>
            </w:r>
          </w:p>
        </w:tc>
        <w:tc>
          <w:tcPr>
            <w:tcW w:type="dxa" w:w="244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0</w:t>
            </w:r>
          </w:p>
        </w:tc>
        <w:tc>
          <w:tcPr>
            <w:tcW w:type="dxa" w:w="2449"/>
            <w:shd w:fill="FAFAFA" w:val="clear"/>
            <w:tcMar>
              <w:top w:type="dxa" w:w="70"/>
              <w:left w:type="dxa" w:w="90"/>
              <w:bottom w:type="dxa" w:w="70"/>
              <w:right w:type="dxa" w:w="90"/>
            </w:tcMar>
          </w:tcPr>
          <w:p>
            <w:pPr>
              <w:bidi/>
              <w:spacing w:after="0" w:line="280"/>
              <w:jc w:val="center"/>
            </w:pPr>
            <w:r>
              <w:rPr>
                <w:rFonts w:ascii="Arial" w:cs="Arial" w:eastAsia="Arial" w:hAnsi="Arial"/>
                <w:b w:val="false"/>
                <w:bCs w:val="false"/>
                <w:color w:val="1A1A22"/>
                <w:sz w:val="19"/>
                <w:szCs w:val="19"/>
                <w:rtl/>
              </w:rPr>
              <w:t xml:space="preserve">100</w:t>
            </w:r>
          </w:p>
        </w:tc>
      </w:tr>
    </w:tbl>
    <w:p>
      <w:pPr>
        <w:spacing w:after="140"/>
      </w:pPr>
      <w:r>
        <w:rPr>
          <w:rFonts w:ascii="Arial" w:cs="Arial" w:eastAsia="Arial" w:hAnsi="Arial"/>
        </w:rPr>
        <w:t xml:space="preserve"/>
      </w:r>
    </w:p>
    <w:p>
      <w:pPr>
        <w:bidi/>
        <w:spacing w:after="140" w:line="320"/>
        <w:jc w:val="both"/>
      </w:pPr>
      <w:r>
        <w:rPr>
          <w:rFonts w:ascii="Arial" w:cs="Arial" w:eastAsia="Arial" w:hAnsi="Arial"/>
          <w:b/>
          <w:bCs/>
          <w:sz w:val="21"/>
          <w:szCs w:val="21"/>
          <w:rtl/>
        </w:rPr>
        <w:t xml:space="preserve">القراءة التربويّة: </w:t>
      </w:r>
      <w:r>
        <w:rPr>
          <w:rFonts w:ascii="Arial" w:cs="Arial" w:eastAsia="Arial" w:hAnsi="Arial"/>
          <w:sz w:val="21"/>
          <w:szCs w:val="21"/>
          <w:rtl/>
        </w:rPr>
        <w:t xml:space="preserve">أضعف ثلاث عائلات على مستوى المدرسة في النموذج هي التاء المربوطة والهاء، همزة القطع والوصل، الترقيم. والعمود المرتفع في الخريطة الحرارية — لا الصفّ المرتفع — هو ما يستدعي شرحاً للصفّ كاملاً، وعليه تُبنى خطّة الحصّة المولَّدة تلقائياً.</w:t>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7. الشاشات والأدوار</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1452"/>
        <w:gridCol w:w="3357"/>
        <w:gridCol w:w="4264"/>
      </w:tblGrid>
      <w:tr>
        <w:trPr>
          <w:tblHeader/>
        </w:trPr>
        <w:tc>
          <w:tcPr>
            <w:tcW w:type="dxa" w:w="1452"/>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الدور</w:t>
            </w:r>
          </w:p>
        </w:tc>
        <w:tc>
          <w:tcPr>
            <w:tcW w:type="dxa" w:w="3357"/>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الشاشات</w:t>
            </w:r>
          </w:p>
        </w:tc>
        <w:tc>
          <w:tcPr>
            <w:tcW w:type="dxa" w:w="4264"/>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ما يراه ولا يراه</w:t>
            </w:r>
          </w:p>
        </w:tc>
      </w:tr>
      <w:tr>
        <w:trPr>
          <w:cantSplit/>
        </w:trPr>
        <w:tc>
          <w:tcPr>
            <w:tcW w:type="dxa" w:w="145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الطالب</w:t>
            </w:r>
          </w:p>
        </w:tc>
        <w:tc>
          <w:tcPr>
            <w:tcW w:type="dxa" w:w="335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المحلِّل · بصمتي اللغوية · تدريبي · جسر الفصحى</w:t>
            </w:r>
          </w:p>
        </w:tc>
        <w:tc>
          <w:tcPr>
            <w:tcW w:type="dxa" w:w="4264"/>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يرى تشخيصه وتطوّره وتمارينه. لا يرى بيانات زملائه ولا أيّ ترتيب تنافسيّ</w:t>
            </w:r>
          </w:p>
        </w:tc>
      </w:tr>
      <w:tr>
        <w:trPr>
          <w:cantSplit/>
        </w:trPr>
        <w:tc>
          <w:tcPr>
            <w:tcW w:type="dxa" w:w="145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المعلّم</w:t>
            </w:r>
          </w:p>
        </w:tc>
        <w:tc>
          <w:tcPr>
            <w:tcW w:type="dxa" w:w="335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المحلِّل · لوحة الصفّ · الدرس المُولَّد · جسر الفصحى</w:t>
            </w:r>
          </w:p>
        </w:tc>
        <w:tc>
          <w:tcPr>
            <w:tcW w:type="dxa" w:w="4264"/>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يرى الخريطة الحرارية لصفّه وخطّة حصّة جاهزة للتصدير</w:t>
            </w:r>
          </w:p>
        </w:tc>
      </w:tr>
      <w:tr>
        <w:trPr>
          <w:cantSplit/>
        </w:trPr>
        <w:tc>
          <w:tcPr>
            <w:tcW w:type="dxa" w:w="145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القيادة</w:t>
            </w:r>
          </w:p>
        </w:tc>
        <w:tc>
          <w:tcPr>
            <w:tcW w:type="dxa" w:w="335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نظرة المدرسة · الأثر والأرقام · النطاق والحدود</w:t>
            </w:r>
          </w:p>
        </w:tc>
        <w:tc>
          <w:tcPr>
            <w:tcW w:type="dxa" w:w="4264"/>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يرى إتقان المدرسة والاتّساق مع المرجعيّات، لا نصوص الطلبة</w:t>
            </w:r>
          </w:p>
        </w:tc>
      </w:tr>
      <w:tr>
        <w:trPr>
          <w:cantSplit/>
        </w:trPr>
        <w:tc>
          <w:tcPr>
            <w:tcW w:type="dxa" w:w="145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وضع المعرض</w:t>
            </w:r>
          </w:p>
        </w:tc>
        <w:tc>
          <w:tcPr>
            <w:tcW w:type="dxa" w:w="335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مسرح المعرض</w:t>
            </w:r>
          </w:p>
        </w:tc>
        <w:tc>
          <w:tcPr>
            <w:tcW w:type="dxa" w:w="4264"/>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شاشة واحدة يكتب فيها الزائر جملته ويرى تشخيصها فوراً</w:t>
            </w:r>
          </w:p>
        </w:tc>
      </w:tr>
    </w:tbl>
    <w:p>
      <w:pPr>
        <w:pStyle w:val="Heading2"/>
        <w:keepNext/>
        <w:keepLines/>
        <w:bidi/>
        <w:spacing w:after="110" w:before="220"/>
        <w:jc w:val="right"/>
      </w:pPr>
      <w:r>
        <w:rPr>
          <w:rFonts w:ascii="Arial" w:cs="Arial" w:eastAsia="Arial" w:hAnsi="Arial"/>
          <w:b/>
          <w:bCs/>
          <w:color w:val="1A1A22"/>
          <w:sz w:val="24"/>
          <w:szCs w:val="24"/>
          <w:rtl/>
        </w:rPr>
        <w:t xml:space="preserve">7.1 لوحة العرض أمام اللجنة</w:t>
      </w:r>
    </w:p>
    <w:p>
      <w:pPr>
        <w:bidi/>
        <w:spacing w:after="140" w:line="320"/>
        <w:jc w:val="both"/>
      </w:pPr>
      <w:r>
        <w:rPr>
          <w:rFonts w:ascii="Arial" w:cs="Arial" w:eastAsia="Arial" w:hAnsi="Arial"/>
          <w:color w:val="1A1A22"/>
          <w:sz w:val="21"/>
          <w:szCs w:val="21"/>
          <w:rtl/>
        </w:rPr>
        <w:t xml:space="preserve">أُضيفت داخل التطبيق لوحة تحكّم للعرض: تكبير حجم العرض من 100% إلى 150% للصفوف الخلفيّة، ووضع عرض نظيف يُخفي أدوات التحرير أثناء التحكيم، وإعادة ضبط البيانات التجريبيّة لتبدأ من صفحة نظيفة بين محكّم وآخر، واختصارات لوحة مفاتيح للتنقّل بين الأقسام، وورقة طباعة A4 مضبوطة لتحويل أيّ شاشة إلى PDF بضغطة واحدة.</w:t>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8. طبقة مايكروسوفت</w:t>
      </w:r>
    </w:p>
    <w:p>
      <w:pPr>
        <w:bidi/>
        <w:spacing w:after="140" w:line="320"/>
        <w:jc w:val="both"/>
      </w:pPr>
      <w:r>
        <w:rPr>
          <w:rFonts w:ascii="Arial" w:cs="Arial" w:eastAsia="Arial" w:hAnsi="Arial"/>
          <w:color w:val="1A1A22"/>
          <w:sz w:val="21"/>
          <w:szCs w:val="21"/>
          <w:rtl/>
        </w:rPr>
        <w:t xml:space="preserve">بيئة المدارس في الدولة بيئة Microsoft في الغالب: Windows و Edge و Office و Teams. وقد بنينا مُبين لتدخل هذه البيئة كما هي، دون أن نفقد ميزة العمل بلا إنترنت.</w:t>
      </w:r>
    </w:p>
    <w:p>
      <w:pPr>
        <w:pStyle w:val="Heading2"/>
        <w:keepNext/>
        <w:keepLines/>
        <w:bidi/>
        <w:spacing w:after="110" w:before="220"/>
        <w:jc w:val="right"/>
      </w:pPr>
      <w:r>
        <w:rPr>
          <w:rFonts w:ascii="Arial" w:cs="Arial" w:eastAsia="Arial" w:hAnsi="Arial"/>
          <w:b/>
          <w:bCs/>
          <w:color w:val="1A1A22"/>
          <w:sz w:val="24"/>
          <w:szCs w:val="24"/>
          <w:rtl/>
        </w:rPr>
        <w:t xml:space="preserve">8.1 جاهز اليوم</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1814"/>
        <w:gridCol w:w="5625"/>
        <w:gridCol w:w="1633"/>
      </w:tblGrid>
      <w:tr>
        <w:trPr>
          <w:tblHeader/>
        </w:trPr>
        <w:tc>
          <w:tcPr>
            <w:tcW w:type="dxa" w:w="1814"/>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المكوّن</w:t>
            </w:r>
          </w:p>
        </w:tc>
        <w:tc>
          <w:tcPr>
            <w:tcW w:type="dxa" w:w="5625"/>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التنفيذ</w:t>
            </w:r>
          </w:p>
        </w:tc>
        <w:tc>
          <w:tcPr>
            <w:tcW w:type="dxa" w:w="1633"/>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الحالة</w:t>
            </w:r>
          </w:p>
        </w:tc>
      </w:tr>
      <w:tr>
        <w:trPr>
          <w:cantSplit/>
        </w:trPr>
        <w:tc>
          <w:tcPr>
            <w:tcW w:type="dxa" w:w="181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Microsoft Word</w:t>
            </w:r>
          </w:p>
        </w:tc>
        <w:tc>
          <w:tcPr>
            <w:tcW w:type="dxa" w:w="5625"/>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تقرير الطالب وخطّة الحصّة يُصدَّران بتنسيق يفتحه Word مباشرةً، بترويسة عربيّة من اليمين لليسار وورقة A4 جاهزة للطباعة</w:t>
            </w:r>
          </w:p>
        </w:tc>
        <w:tc>
          <w:tcPr>
            <w:tcW w:type="dxa" w:w="163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مُنجَز</w:t>
            </w:r>
          </w:p>
        </w:tc>
      </w:tr>
      <w:tr>
        <w:trPr>
          <w:cantSplit/>
        </w:trPr>
        <w:tc>
          <w:tcPr>
            <w:tcW w:type="dxa" w:w="181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Microsoft Excel</w:t>
            </w:r>
          </w:p>
        </w:tc>
        <w:tc>
          <w:tcPr>
            <w:tcW w:type="dxa" w:w="5625"/>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بيانات الصفوف والخريطة الحرارية تُصدَّر بترميز UTF-8 BOM فتظهر العربية سليمة في Excel دون تشويه</w:t>
            </w:r>
          </w:p>
        </w:tc>
        <w:tc>
          <w:tcPr>
            <w:tcW w:type="dxa" w:w="163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مُنجَز</w:t>
            </w:r>
          </w:p>
        </w:tc>
      </w:tr>
      <w:tr>
        <w:trPr>
          <w:cantSplit/>
        </w:trPr>
        <w:tc>
          <w:tcPr>
            <w:tcW w:type="dxa" w:w="181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Microsoft Edge</w:t>
            </w:r>
          </w:p>
        </w:tc>
        <w:tc>
          <w:tcPr>
            <w:tcW w:type="dxa" w:w="5625"/>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يعمل بالنقر المزدوج دون تثبيت ودون صلاحيات مسؤول</w:t>
            </w:r>
          </w:p>
        </w:tc>
        <w:tc>
          <w:tcPr>
            <w:tcW w:type="dxa" w:w="163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مُنجَز</w:t>
            </w:r>
          </w:p>
        </w:tc>
      </w:tr>
      <w:tr>
        <w:trPr>
          <w:cantSplit/>
        </w:trPr>
        <w:tc>
          <w:tcPr>
            <w:tcW w:type="dxa" w:w="181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خطوط Windows</w:t>
            </w:r>
          </w:p>
        </w:tc>
        <w:tc>
          <w:tcPr>
            <w:tcW w:type="dxa" w:w="5625"/>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تدرّج خطوط احتياطيّ: Dubai ثم Segoe UI ثم Traditional Arabic ثم Tahoma — فلا يتعطّل الرسم العربيّ إن انقطع الإنترنت عن خطوط الويب</w:t>
            </w:r>
          </w:p>
        </w:tc>
        <w:tc>
          <w:tcPr>
            <w:tcW w:type="dxa" w:w="163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مُنجَز</w:t>
            </w:r>
          </w:p>
        </w:tc>
      </w:tr>
      <w:tr>
        <w:trPr>
          <w:cantSplit/>
        </w:trPr>
        <w:tc>
          <w:tcPr>
            <w:tcW w:type="dxa" w:w="181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PowerPoint</w:t>
            </w:r>
          </w:p>
        </w:tc>
        <w:tc>
          <w:tcPr>
            <w:tcW w:type="dxa" w:w="5625"/>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عرض تقديميّ من 16 شريحة مرفق مع الحزمة بصيغة pptx أصليّة</w:t>
            </w:r>
          </w:p>
        </w:tc>
        <w:tc>
          <w:tcPr>
            <w:tcW w:type="dxa" w:w="163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مُنجَز</w:t>
            </w:r>
          </w:p>
        </w:tc>
      </w:tr>
    </w:tbl>
    <w:p>
      <w:pPr>
        <w:pStyle w:val="Heading2"/>
        <w:keepNext/>
        <w:keepLines/>
        <w:bidi/>
        <w:spacing w:after="110" w:before="220"/>
        <w:jc w:val="right"/>
      </w:pPr>
      <w:r>
        <w:rPr>
          <w:rFonts w:ascii="Arial" w:cs="Arial" w:eastAsia="Arial" w:hAnsi="Arial"/>
          <w:b/>
          <w:bCs/>
          <w:color w:val="1A1A22"/>
          <w:sz w:val="24"/>
          <w:szCs w:val="24"/>
          <w:rtl/>
        </w:rPr>
        <w:t xml:space="preserve">8.2 خطّة الربط — لم تُبنَ بعد</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1996"/>
        <w:gridCol w:w="4355"/>
        <w:gridCol w:w="2722"/>
      </w:tblGrid>
      <w:tr>
        <w:trPr>
          <w:tblHeader/>
        </w:trPr>
        <w:tc>
          <w:tcPr>
            <w:tcW w:type="dxa" w:w="1996"/>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الطبقة</w:t>
            </w:r>
          </w:p>
        </w:tc>
        <w:tc>
          <w:tcPr>
            <w:tcW w:type="dxa" w:w="4355"/>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التقنيّة المقترحة</w:t>
            </w:r>
          </w:p>
        </w:tc>
        <w:tc>
          <w:tcPr>
            <w:tcW w:type="dxa" w:w="2722"/>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الشرط</w:t>
            </w:r>
          </w:p>
        </w:tc>
      </w:tr>
      <w:tr>
        <w:trPr>
          <w:cantSplit/>
        </w:trPr>
        <w:tc>
          <w:tcPr>
            <w:tcW w:type="dxa" w:w="1996"/>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تسجيل الدخول</w:t>
            </w:r>
          </w:p>
        </w:tc>
        <w:tc>
          <w:tcPr>
            <w:tcW w:type="dxa" w:w="4355"/>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Microsoft Entra ID بحساب المدرسة</w:t>
            </w:r>
          </w:p>
        </w:tc>
        <w:tc>
          <w:tcPr>
            <w:tcW w:type="dxa" w:w="2722"/>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موافقة قسم تقنية المعلومات</w:t>
            </w:r>
          </w:p>
        </w:tc>
      </w:tr>
      <w:tr>
        <w:trPr>
          <w:cantSplit/>
        </w:trPr>
        <w:tc>
          <w:tcPr>
            <w:tcW w:type="dxa" w:w="1996"/>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الواجهة البرمجيّة</w:t>
            </w:r>
          </w:p>
        </w:tc>
        <w:tc>
          <w:tcPr>
            <w:tcW w:type="dxa" w:w="4355"/>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Microsoft Graph API</w:t>
            </w:r>
          </w:p>
        </w:tc>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تسجيل تطبيق في مستأجر المدرسة</w:t>
            </w:r>
          </w:p>
        </w:tc>
      </w:tr>
      <w:tr>
        <w:trPr>
          <w:cantSplit/>
        </w:trPr>
        <w:tc>
          <w:tcPr>
            <w:tcW w:type="dxa" w:w="1996"/>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الاستخدام</w:t>
            </w:r>
          </w:p>
        </w:tc>
        <w:tc>
          <w:tcPr>
            <w:tcW w:type="dxa" w:w="4355"/>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سحب واجبات Teams Assignments وإرجاع تقرير التشخيص إليها</w:t>
            </w:r>
          </w:p>
        </w:tc>
        <w:tc>
          <w:tcPr>
            <w:tcW w:type="dxa" w:w="2722"/>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سياسة بيانات الطلبة</w:t>
            </w:r>
          </w:p>
        </w:tc>
      </w:tr>
      <w:tr>
        <w:trPr>
          <w:cantSplit/>
        </w:trPr>
        <w:tc>
          <w:tcPr>
            <w:tcW w:type="dxa" w:w="1996"/>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التخزين</w:t>
            </w:r>
          </w:p>
        </w:tc>
        <w:tc>
          <w:tcPr>
            <w:tcW w:type="dxa" w:w="4355"/>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OneDrive للمدرسة</w:t>
            </w:r>
          </w:p>
        </w:tc>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موافقة خطّية من الإدارة</w:t>
            </w:r>
          </w:p>
        </w:tc>
      </w:tr>
    </w:tbl>
    <w:p>
      <w:pPr>
        <w:keepNext/>
        <w:keepLines/>
        <w:pBdr>
          <w:top w:val="single" w:color="FBF3E2" w:sz="2" w:space="4"/>
          <w:left w:val="single" w:color="FBF3E2" w:sz="2" w:space="4"/>
          <w:right w:val="single" w:color="9A6B16" w:sz="18" w:space="4"/>
        </w:pBdr>
        <w:shd w:fill="FBF3E2" w:val="clear"/>
        <w:bidi/>
        <w:spacing w:after="0" w:before="140" w:line="300"/>
        <w:jc w:val="right"/>
      </w:pPr>
      <w:r>
        <w:rPr>
          <w:rFonts w:ascii="Arial" w:cs="Arial" w:eastAsia="Arial" w:hAnsi="Arial"/>
          <w:b/>
          <w:bCs/>
          <w:color w:val="9A6B16"/>
          <w:sz w:val="21"/>
          <w:szCs w:val="21"/>
          <w:rtl/>
        </w:rPr>
        <w:t xml:space="preserve">موقفنا الصريح</w:t>
      </w:r>
    </w:p>
    <w:p>
      <w:pPr>
        <w:keepLines/>
        <w:pBdr>
          <w:bottom w:val="single" w:color="FBF3E2" w:sz="2" w:space="4"/>
          <w:left w:val="single" w:color="FBF3E2" w:sz="2" w:space="4"/>
          <w:right w:val="single" w:color="9A6B16" w:sz="18" w:space="4"/>
        </w:pBdr>
        <w:shd w:fill="FBF3E2" w:val="clear"/>
        <w:bidi/>
        <w:spacing w:after="150" w:before="0" w:line="300"/>
        <w:jc w:val="both"/>
      </w:pPr>
      <w:r>
        <w:rPr>
          <w:rFonts w:ascii="Arial" w:cs="Arial" w:eastAsia="Arial" w:hAnsi="Arial"/>
          <w:color w:val="1A1A22"/>
          <w:sz w:val="20"/>
          <w:szCs w:val="20"/>
          <w:rtl/>
        </w:rPr>
        <w:t xml:space="preserve">لن ندّعي ربطاً لم نبنِه. ما في هذه الحزمة من تكامل مع مايكروسوفت هو تصدير المخرجات وتشغيل كامل على Edge و Windows — وهذا مُنجَز ويمكن تجريبه الآن. أمّا Graph و Entra و Teams فخطّة معلنة للمرحلة الثانية. والوضع الافتراضيّ لمُبين سيبقى محليّاً بالكامل في كلّ الأحوال، والربط خيار إضافيّ تفعّله المدرسة إن أرادت.</w:t>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9. الأثر — نمذجة بافتراضات معلنة</w:t>
      </w:r>
    </w:p>
    <w:p>
      <w:pPr>
        <w:keepNext/>
        <w:keepLines/>
        <w:pBdr>
          <w:top w:val="single" w:color="FBECEE" w:sz="2" w:space="4"/>
          <w:left w:val="single" w:color="FBECEE" w:sz="2" w:space="4"/>
          <w:right w:val="single" w:color="B3303B" w:sz="18" w:space="4"/>
        </w:pBdr>
        <w:shd w:fill="FBECEE" w:val="clear"/>
        <w:bidi/>
        <w:spacing w:after="0" w:before="140" w:line="300"/>
        <w:jc w:val="right"/>
      </w:pPr>
      <w:r>
        <w:rPr>
          <w:rFonts w:ascii="Arial" w:cs="Arial" w:eastAsia="Arial" w:hAnsi="Arial"/>
          <w:b/>
          <w:bCs/>
          <w:color w:val="B3303B"/>
          <w:sz w:val="21"/>
          <w:szCs w:val="21"/>
          <w:rtl/>
        </w:rPr>
        <w:t xml:space="preserve">قبل أيّ رقم</w:t>
      </w:r>
    </w:p>
    <w:p>
      <w:pPr>
        <w:keepLines/>
        <w:pBdr>
          <w:bottom w:val="single" w:color="FBECEE" w:sz="2" w:space="4"/>
          <w:left w:val="single" w:color="FBECEE" w:sz="2" w:space="4"/>
          <w:right w:val="single" w:color="B3303B" w:sz="18" w:space="4"/>
        </w:pBdr>
        <w:shd w:fill="FBECEE" w:val="clear"/>
        <w:bidi/>
        <w:spacing w:after="150" w:before="0" w:line="300"/>
        <w:jc w:val="both"/>
      </w:pPr>
      <w:r>
        <w:rPr>
          <w:rFonts w:ascii="Arial" w:cs="Arial" w:eastAsia="Arial" w:hAnsi="Arial"/>
          <w:color w:val="1A1A22"/>
          <w:sz w:val="20"/>
          <w:szCs w:val="20"/>
          <w:rtl/>
        </w:rPr>
        <w:t xml:space="preserve">ما يلي نمذجة حسابيّة، لا نتيجة تجربة. لم نُجرِ قياساً ميدانيّاً على طلبة حقيقيين، ولن نقول أمام أيّ لجنة إنّنا فعلنا. الافتراضات كلّها منشورة أدناه ليتمكّن القارئ من تعديلها بنفسه.</w:t>
      </w:r>
    </w:p>
    <w:p>
      <w:pPr>
        <w:pStyle w:val="Heading2"/>
        <w:keepNext/>
        <w:keepLines/>
        <w:bidi/>
        <w:spacing w:after="110" w:before="220"/>
        <w:jc w:val="right"/>
      </w:pPr>
      <w:r>
        <w:rPr>
          <w:rFonts w:ascii="Arial" w:cs="Arial" w:eastAsia="Arial" w:hAnsi="Arial"/>
          <w:b/>
          <w:bCs/>
          <w:color w:val="1A1A22"/>
          <w:sz w:val="24"/>
          <w:szCs w:val="24"/>
          <w:rtl/>
        </w:rPr>
        <w:t xml:space="preserve">9.1 الافتراضات</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4536"/>
        <w:gridCol w:w="1814"/>
        <w:gridCol w:w="2722"/>
      </w:tblGrid>
      <w:tr>
        <w:trPr>
          <w:tblHeader/>
        </w:trPr>
        <w:tc>
          <w:tcPr>
            <w:tcW w:type="dxa" w:w="4536"/>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الافتراض</w:t>
            </w:r>
          </w:p>
        </w:tc>
        <w:tc>
          <w:tcPr>
            <w:tcW w:type="dxa" w:w="1814"/>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القيمة</w:t>
            </w:r>
          </w:p>
        </w:tc>
        <w:tc>
          <w:tcPr>
            <w:tcW w:type="dxa" w:w="2722"/>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مصدره</w:t>
            </w:r>
          </w:p>
        </w:tc>
      </w:tr>
      <w:tr>
        <w:trPr>
          <w:cantSplit/>
        </w:trPr>
        <w:tc>
          <w:tcPr>
            <w:tcW w:type="dxa" w:w="4536"/>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عدد معلّمي اللغة العربية في المدرسة</w:t>
            </w:r>
          </w:p>
        </w:tc>
        <w:tc>
          <w:tcPr>
            <w:tcW w:type="dxa" w:w="1814"/>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12</w:t>
            </w:r>
          </w:p>
        </w:tc>
        <w:tc>
          <w:tcPr>
            <w:tcW w:type="dxa" w:w="2722"/>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تقدير لمدرسة متوسّطة الحجم</w:t>
            </w:r>
          </w:p>
        </w:tc>
      </w:tr>
      <w:tr>
        <w:trPr>
          <w:cantSplit/>
        </w:trPr>
        <w:tc>
          <w:tcPr>
            <w:tcW w:type="dxa" w:w="4536"/>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عدد الشعب لكلّ معلّم</w:t>
            </w:r>
          </w:p>
        </w:tc>
        <w:tc>
          <w:tcPr>
            <w:tcW w:type="dxa" w:w="1814"/>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5</w:t>
            </w:r>
          </w:p>
        </w:tc>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تقدير</w:t>
            </w:r>
          </w:p>
        </w:tc>
      </w:tr>
      <w:tr>
        <w:trPr>
          <w:cantSplit/>
        </w:trPr>
        <w:tc>
          <w:tcPr>
            <w:tcW w:type="dxa" w:w="4536"/>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عدد الطلبة في الشعبة</w:t>
            </w:r>
          </w:p>
        </w:tc>
        <w:tc>
          <w:tcPr>
            <w:tcW w:type="dxa" w:w="1814"/>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25</w:t>
            </w:r>
          </w:p>
        </w:tc>
        <w:tc>
          <w:tcPr>
            <w:tcW w:type="dxa" w:w="2722"/>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تقدير</w:t>
            </w:r>
          </w:p>
        </w:tc>
      </w:tr>
      <w:tr>
        <w:trPr>
          <w:cantSplit/>
        </w:trPr>
        <w:tc>
          <w:tcPr>
            <w:tcW w:type="dxa" w:w="4536"/>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عدد النصوص الكتابيّة شهريّاً لكلّ طالب</w:t>
            </w:r>
          </w:p>
        </w:tc>
        <w:tc>
          <w:tcPr>
            <w:tcW w:type="dxa" w:w="1814"/>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2</w:t>
            </w:r>
          </w:p>
        </w:tc>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تقدير</w:t>
            </w:r>
          </w:p>
        </w:tc>
      </w:tr>
      <w:tr>
        <w:trPr>
          <w:cantSplit/>
        </w:trPr>
        <w:tc>
          <w:tcPr>
            <w:tcW w:type="dxa" w:w="4536"/>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زمن تصحيح النصّ الواحد يدويّاً</w:t>
            </w:r>
          </w:p>
        </w:tc>
        <w:tc>
          <w:tcPr>
            <w:tcW w:type="dxa" w:w="1814"/>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4 دقائق</w:t>
            </w:r>
          </w:p>
        </w:tc>
        <w:tc>
          <w:tcPr>
            <w:tcW w:type="dxa" w:w="2722"/>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تقدير معلن — غير مقاس</w:t>
            </w:r>
          </w:p>
        </w:tc>
      </w:tr>
      <w:tr>
        <w:trPr>
          <w:cantSplit/>
        </w:trPr>
        <w:tc>
          <w:tcPr>
            <w:tcW w:type="dxa" w:w="4536"/>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نسبة اختصار زمن الفرز</w:t>
            </w:r>
          </w:p>
        </w:tc>
        <w:tc>
          <w:tcPr>
            <w:tcW w:type="dxa" w:w="1814"/>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55%</w:t>
            </w:r>
          </w:p>
        </w:tc>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تقدير معلن — غير مقاس</w:t>
            </w:r>
          </w:p>
        </w:tc>
      </w:tr>
      <w:tr>
        <w:trPr>
          <w:cantSplit/>
        </w:trPr>
        <w:tc>
          <w:tcPr>
            <w:tcW w:type="dxa" w:w="4536"/>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عدد الأشهر الدراسيّة</w:t>
            </w:r>
          </w:p>
        </w:tc>
        <w:tc>
          <w:tcPr>
            <w:tcW w:type="dxa" w:w="1814"/>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9</w:t>
            </w:r>
          </w:p>
        </w:tc>
        <w:tc>
          <w:tcPr>
            <w:tcW w:type="dxa" w:w="2722"/>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التقويم المدرسيّ</w:t>
            </w:r>
          </w:p>
        </w:tc>
      </w:tr>
      <w:tr>
        <w:trPr>
          <w:cantSplit/>
        </w:trPr>
        <w:tc>
          <w:tcPr>
            <w:tcW w:type="dxa" w:w="4536"/>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تكلفة ساعة المعلّم</w:t>
            </w:r>
          </w:p>
        </w:tc>
        <w:tc>
          <w:tcPr>
            <w:tcW w:type="dxa" w:w="1814"/>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60 د.إ</w:t>
            </w:r>
          </w:p>
        </w:tc>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افتراض تقديريّ</w:t>
            </w:r>
          </w:p>
        </w:tc>
      </w:tr>
    </w:tbl>
    <w:p>
      <w:pPr>
        <w:pStyle w:val="Heading2"/>
        <w:keepNext/>
        <w:keepLines/>
        <w:bidi/>
        <w:spacing w:after="110" w:before="220"/>
        <w:jc w:val="right"/>
      </w:pPr>
      <w:r>
        <w:rPr>
          <w:rFonts w:ascii="Arial" w:cs="Arial" w:eastAsia="Arial" w:hAnsi="Arial"/>
          <w:b/>
          <w:bCs/>
          <w:color w:val="1A1A22"/>
          <w:sz w:val="24"/>
          <w:szCs w:val="24"/>
          <w:rtl/>
        </w:rPr>
        <w:t xml:space="preserve">9.2 الحساب</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2722"/>
        <w:gridCol w:w="3447"/>
        <w:gridCol w:w="2903"/>
      </w:tblGrid>
      <w:tr>
        <w:trPr>
          <w:tblHeader/>
        </w:trPr>
        <w:tc>
          <w:tcPr>
            <w:tcW w:type="dxa" w:w="2722"/>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الخطوة</w:t>
            </w:r>
          </w:p>
        </w:tc>
        <w:tc>
          <w:tcPr>
            <w:tcW w:type="dxa" w:w="3447"/>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الحساب</w:t>
            </w:r>
          </w:p>
        </w:tc>
        <w:tc>
          <w:tcPr>
            <w:tcW w:type="dxa" w:w="2903"/>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الناتج</w:t>
            </w:r>
          </w:p>
        </w:tc>
      </w:tr>
      <w:tr>
        <w:trPr>
          <w:cantSplit/>
        </w:trPr>
        <w:tc>
          <w:tcPr>
            <w:tcW w:type="dxa" w:w="272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النصوص شهرياً لكلّ معلّم</w:t>
            </w:r>
          </w:p>
        </w:tc>
        <w:tc>
          <w:tcPr>
            <w:tcW w:type="dxa" w:w="344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5 شعب × 25 طالباً × 2 نصّ</w:t>
            </w:r>
          </w:p>
        </w:tc>
        <w:tc>
          <w:tcPr>
            <w:tcW w:type="dxa" w:w="290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250 نصّاً</w:t>
            </w:r>
          </w:p>
        </w:tc>
      </w:tr>
      <w:tr>
        <w:trPr>
          <w:cantSplit/>
        </w:trPr>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دقائق التصحيح شهرياً</w:t>
            </w:r>
          </w:p>
        </w:tc>
        <w:tc>
          <w:tcPr>
            <w:tcW w:type="dxa" w:w="344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250 × 4 دقائق</w:t>
            </w:r>
          </w:p>
        </w:tc>
        <w:tc>
          <w:tcPr>
            <w:tcW w:type="dxa" w:w="290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1000 دقيقة</w:t>
            </w:r>
          </w:p>
        </w:tc>
      </w:tr>
      <w:tr>
        <w:trPr>
          <w:cantSplit/>
        </w:trPr>
        <w:tc>
          <w:tcPr>
            <w:tcW w:type="dxa" w:w="272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الموفَّر شهرياً لكلّ معلّم</w:t>
            </w:r>
          </w:p>
        </w:tc>
        <w:tc>
          <w:tcPr>
            <w:tcW w:type="dxa" w:w="344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1000 × 55% ÷ 60</w:t>
            </w:r>
          </w:p>
        </w:tc>
        <w:tc>
          <w:tcPr>
            <w:tcW w:type="dxa" w:w="290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9.2 ساعة</w:t>
            </w:r>
          </w:p>
        </w:tc>
      </w:tr>
      <w:tr>
        <w:trPr>
          <w:cantSplit/>
        </w:trPr>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الموفَّر سنويّاً للمدرسة</w:t>
            </w:r>
          </w:p>
        </w:tc>
        <w:tc>
          <w:tcPr>
            <w:tcW w:type="dxa" w:w="344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9.2 × 12 معلّماً × 9 أشهر</w:t>
            </w:r>
          </w:p>
        </w:tc>
        <w:tc>
          <w:tcPr>
            <w:tcW w:type="dxa" w:w="290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992 ساعة</w:t>
            </w:r>
          </w:p>
        </w:tc>
      </w:tr>
      <w:tr>
        <w:trPr>
          <w:cantSplit/>
        </w:trPr>
        <w:tc>
          <w:tcPr>
            <w:tcW w:type="dxa" w:w="272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القيمة الزمنيّة المستردّة</w:t>
            </w:r>
          </w:p>
        </w:tc>
        <w:tc>
          <w:tcPr>
            <w:tcW w:type="dxa" w:w="344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992 ساعة × 60 د.إ</w:t>
            </w:r>
          </w:p>
        </w:tc>
        <w:tc>
          <w:tcPr>
            <w:tcW w:type="dxa" w:w="290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59,520 د.إ</w:t>
            </w:r>
          </w:p>
        </w:tc>
      </w:tr>
    </w:tbl>
    <w:p>
      <w:pPr>
        <w:pStyle w:val="Heading2"/>
        <w:keepNext/>
        <w:keepLines/>
        <w:bidi/>
        <w:spacing w:after="110" w:before="220"/>
        <w:jc w:val="right"/>
      </w:pPr>
      <w:r>
        <w:rPr>
          <w:rFonts w:ascii="Arial" w:cs="Arial" w:eastAsia="Arial" w:hAnsi="Arial"/>
          <w:b/>
          <w:bCs/>
          <w:color w:val="1A1A22"/>
          <w:sz w:val="24"/>
          <w:szCs w:val="24"/>
          <w:rtl/>
        </w:rPr>
        <w:t xml:space="preserve">9.3 التكاليف</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5625"/>
        <w:gridCol w:w="3447"/>
      </w:tblGrid>
      <w:tr>
        <w:trPr>
          <w:tblHeader/>
        </w:trPr>
        <w:tc>
          <w:tcPr>
            <w:tcW w:type="dxa" w:w="5625"/>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البند</w:t>
            </w:r>
          </w:p>
        </w:tc>
        <w:tc>
          <w:tcPr>
            <w:tcW w:type="dxa" w:w="3447"/>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التكلفة السنويّة</w:t>
            </w:r>
          </w:p>
        </w:tc>
      </w:tr>
      <w:tr>
        <w:trPr>
          <w:cantSplit/>
        </w:trPr>
        <w:tc>
          <w:tcPr>
            <w:tcW w:type="dxa" w:w="5625"/>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خوادم أو استضافة</w:t>
            </w:r>
          </w:p>
        </w:tc>
        <w:tc>
          <w:tcPr>
            <w:tcW w:type="dxa" w:w="344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0 د.إ</w:t>
            </w:r>
          </w:p>
        </w:tc>
      </w:tr>
      <w:tr>
        <w:trPr>
          <w:cantSplit/>
        </w:trPr>
        <w:tc>
          <w:tcPr>
            <w:tcW w:type="dxa" w:w="5625"/>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اشتراكات أو مفاتيح واجهات برمجية</w:t>
            </w:r>
          </w:p>
        </w:tc>
        <w:tc>
          <w:tcPr>
            <w:tcW w:type="dxa" w:w="344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0 د.إ</w:t>
            </w:r>
          </w:p>
        </w:tc>
      </w:tr>
      <w:tr>
        <w:trPr>
          <w:cantSplit/>
        </w:trPr>
        <w:tc>
          <w:tcPr>
            <w:tcW w:type="dxa" w:w="5625"/>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أجهزة إضافيّة</w:t>
            </w:r>
          </w:p>
        </w:tc>
        <w:tc>
          <w:tcPr>
            <w:tcW w:type="dxa" w:w="344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0 د.إ — يعمل على أجهزة المدرسة الحالية</w:t>
            </w:r>
          </w:p>
        </w:tc>
      </w:tr>
      <w:tr>
        <w:trPr>
          <w:cantSplit/>
        </w:trPr>
        <w:tc>
          <w:tcPr>
            <w:tcW w:type="dxa" w:w="5625"/>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تراخيص برمجيّة</w:t>
            </w:r>
          </w:p>
        </w:tc>
        <w:tc>
          <w:tcPr>
            <w:tcW w:type="dxa" w:w="344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0 د.إ</w:t>
            </w:r>
          </w:p>
        </w:tc>
      </w:tr>
      <w:tr>
        <w:trPr>
          <w:cantSplit/>
        </w:trPr>
        <w:tc>
          <w:tcPr>
            <w:tcW w:type="dxa" w:w="5625"/>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الإجمالي</w:t>
            </w:r>
          </w:p>
        </w:tc>
        <w:tc>
          <w:tcPr>
            <w:tcW w:type="dxa" w:w="344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0 د.إ</w:t>
            </w:r>
          </w:p>
        </w:tc>
      </w:tr>
    </w:tbl>
    <w:p>
      <w:pPr>
        <w:pStyle w:val="Heading2"/>
        <w:keepNext/>
        <w:keepLines/>
        <w:bidi/>
        <w:spacing w:after="110" w:before="220"/>
        <w:jc w:val="right"/>
      </w:pPr>
      <w:r>
        <w:rPr>
          <w:rFonts w:ascii="Arial" w:cs="Arial" w:eastAsia="Arial" w:hAnsi="Arial"/>
          <w:b/>
          <w:bCs/>
          <w:color w:val="1A1A22"/>
          <w:sz w:val="24"/>
          <w:szCs w:val="24"/>
          <w:rtl/>
        </w:rPr>
        <w:t xml:space="preserve">9.4 ما سنقيسه فعلاً في المرحلة الثانية</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3810"/>
        <w:gridCol w:w="5262"/>
      </w:tblGrid>
      <w:tr>
        <w:trPr>
          <w:tblHeader/>
        </w:trPr>
        <w:tc>
          <w:tcPr>
            <w:tcW w:type="dxa" w:w="3810"/>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المؤشّر</w:t>
            </w:r>
          </w:p>
        </w:tc>
        <w:tc>
          <w:tcPr>
            <w:tcW w:type="dxa" w:w="5262"/>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طريقة القياس</w:t>
            </w:r>
          </w:p>
        </w:tc>
      </w:tr>
      <w:tr>
        <w:trPr>
          <w:cantSplit/>
        </w:trPr>
        <w:tc>
          <w:tcPr>
            <w:tcW w:type="dxa" w:w="3810"/>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عدد الأخطاء لكلّ 100 كلمة</w:t>
            </w:r>
          </w:p>
        </w:tc>
        <w:tc>
          <w:tcPr>
            <w:tcW w:type="dxa" w:w="5262"/>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قياس قبليّ وبعديّ على مدى ستّة أسابيع</w:t>
            </w:r>
          </w:p>
        </w:tc>
      </w:tr>
      <w:tr>
        <w:trPr>
          <w:cantSplit/>
        </w:trPr>
        <w:tc>
          <w:tcPr>
            <w:tcW w:type="dxa" w:w="3810"/>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نسبة تسرّب العاميّة</w:t>
            </w:r>
          </w:p>
        </w:tc>
        <w:tc>
          <w:tcPr>
            <w:tcW w:type="dxa" w:w="5262"/>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عدّاد جسر الفصحى على نصوص الصفّ</w:t>
            </w:r>
          </w:p>
        </w:tc>
      </w:tr>
      <w:tr>
        <w:trPr>
          <w:cantSplit/>
        </w:trPr>
        <w:tc>
          <w:tcPr>
            <w:tcW w:type="dxa" w:w="3810"/>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زمن التصحيح الفعليّ</w:t>
            </w:r>
          </w:p>
        </w:tc>
        <w:tc>
          <w:tcPr>
            <w:tcW w:type="dxa" w:w="5262"/>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قياس زمنيّ موثّق للمعلّم</w:t>
            </w:r>
          </w:p>
        </w:tc>
      </w:tr>
      <w:tr>
        <w:trPr>
          <w:cantSplit/>
        </w:trPr>
        <w:tc>
          <w:tcPr>
            <w:tcW w:type="dxa" w:w="3810"/>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تكرار الخطأ نفسه</w:t>
            </w:r>
          </w:p>
        </w:tc>
        <w:tc>
          <w:tcPr>
            <w:tcW w:type="dxa" w:w="5262"/>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مقارنة بصمة الطالب عبر الزمن</w:t>
            </w:r>
          </w:p>
        </w:tc>
      </w:tr>
      <w:tr>
        <w:trPr>
          <w:cantSplit/>
        </w:trPr>
        <w:tc>
          <w:tcPr>
            <w:tcW w:type="dxa" w:w="3810"/>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رضا المعلّم</w:t>
            </w:r>
          </w:p>
        </w:tc>
        <w:tc>
          <w:tcPr>
            <w:tcW w:type="dxa" w:w="5262"/>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استبانة قصيرة بعد التجربة</w:t>
            </w:r>
          </w:p>
        </w:tc>
      </w:tr>
    </w:tbl>
    <w:p>
      <w:pPr>
        <w:keepNext/>
        <w:keepLines/>
        <w:pBdr>
          <w:top w:val="single" w:color="E8F5EF" w:sz="2" w:space="4"/>
          <w:left w:val="single" w:color="E8F5EF" w:sz="2" w:space="4"/>
          <w:right w:val="single" w:color="17805C" w:sz="18" w:space="4"/>
        </w:pBdr>
        <w:shd w:fill="E8F5EF" w:val="clear"/>
        <w:bidi/>
        <w:spacing w:after="0" w:before="140" w:line="300"/>
        <w:jc w:val="right"/>
      </w:pPr>
      <w:r>
        <w:rPr>
          <w:rFonts w:ascii="Arial" w:cs="Arial" w:eastAsia="Arial" w:hAnsi="Arial"/>
          <w:b/>
          <w:bCs/>
          <w:color w:val="17805C"/>
          <w:sz w:val="21"/>
          <w:szCs w:val="21"/>
          <w:rtl/>
        </w:rPr>
        <w:t xml:space="preserve">شرط أخلاقيّ نلتزم به</w:t>
      </w:r>
    </w:p>
    <w:p>
      <w:pPr>
        <w:keepLines/>
        <w:pBdr>
          <w:bottom w:val="single" w:color="E8F5EF" w:sz="2" w:space="4"/>
          <w:left w:val="single" w:color="E8F5EF" w:sz="2" w:space="4"/>
          <w:right w:val="single" w:color="17805C" w:sz="18" w:space="4"/>
        </w:pBdr>
        <w:shd w:fill="E8F5EF" w:val="clear"/>
        <w:bidi/>
        <w:spacing w:after="150" w:before="0" w:line="300"/>
        <w:jc w:val="both"/>
      </w:pPr>
      <w:r>
        <w:rPr>
          <w:rFonts w:ascii="Arial" w:cs="Arial" w:eastAsia="Arial" w:hAnsi="Arial"/>
          <w:color w:val="1A1A22"/>
          <w:sz w:val="20"/>
          <w:szCs w:val="20"/>
          <w:rtl/>
        </w:rPr>
        <w:t xml:space="preserve">لا تجربة على طلبة حقيقيين ولا جمع أيّ بيانات شخصيّة قبل موافقة رسميّة من إدارة المدرسة وأولياء الأمور. وبيانات النموذج الحاليّة من تأليف الفريق ولا تخصّ طالباً حقيقيّاً واحداً.</w:t>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10. الخصوصيّة والأمن</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3447"/>
        <w:gridCol w:w="5625"/>
      </w:tblGrid>
      <w:tr>
        <w:trPr>
          <w:tblHeader/>
        </w:trPr>
        <w:tc>
          <w:tcPr>
            <w:tcW w:type="dxa" w:w="3447"/>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السؤال</w:t>
            </w:r>
          </w:p>
        </w:tc>
        <w:tc>
          <w:tcPr>
            <w:tcW w:type="dxa" w:w="5625"/>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الجواب</w:t>
            </w:r>
          </w:p>
        </w:tc>
      </w:tr>
      <w:tr>
        <w:trPr>
          <w:cantSplit/>
        </w:trPr>
        <w:tc>
          <w:tcPr>
            <w:tcW w:type="dxa" w:w="3447"/>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أين يُعالَج النصّ؟</w:t>
            </w:r>
          </w:p>
        </w:tc>
        <w:tc>
          <w:tcPr>
            <w:tcW w:type="dxa" w:w="5625"/>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في ذاكرة المتصفّح على الجهاز نفسه — ولا يُرسَل إلى أيّ جهة</w:t>
            </w:r>
          </w:p>
        </w:tc>
      </w:tr>
      <w:tr>
        <w:trPr>
          <w:cantSplit/>
        </w:trPr>
        <w:tc>
          <w:tcPr>
            <w:tcW w:type="dxa" w:w="3447"/>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هل هناك خادم؟</w:t>
            </w:r>
          </w:p>
        </w:tc>
        <w:tc>
          <w:tcPr>
            <w:tcW w:type="dxa" w:w="5625"/>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لا. لا يوجد خادم ولا قاعدة بيانات مركزيّة</w:t>
            </w:r>
          </w:p>
        </w:tc>
      </w:tr>
      <w:tr>
        <w:trPr>
          <w:cantSplit/>
        </w:trPr>
        <w:tc>
          <w:tcPr>
            <w:tcW w:type="dxa" w:w="3447"/>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هل هناك حساب أو تسجيل دخول؟</w:t>
            </w:r>
          </w:p>
        </w:tc>
        <w:tc>
          <w:tcPr>
            <w:tcW w:type="dxa" w:w="5625"/>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لا</w:t>
            </w:r>
          </w:p>
        </w:tc>
      </w:tr>
      <w:tr>
        <w:trPr>
          <w:cantSplit/>
        </w:trPr>
        <w:tc>
          <w:tcPr>
            <w:tcW w:type="dxa" w:w="3447"/>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هل هناك مفتاح واجهة برمجية في الملفّ؟</w:t>
            </w:r>
          </w:p>
        </w:tc>
        <w:tc>
          <w:tcPr>
            <w:tcW w:type="dxa" w:w="5625"/>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لا — ولهذا لا يمكن أن يتعطّل التطبيق بانتهاء اشتراك</w:t>
            </w:r>
          </w:p>
        </w:tc>
      </w:tr>
      <w:tr>
        <w:trPr>
          <w:cantSplit/>
        </w:trPr>
        <w:tc>
          <w:tcPr>
            <w:tcW w:type="dxa" w:w="3447"/>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ما الذي يُحفَظ محليّاً؟</w:t>
            </w:r>
          </w:p>
        </w:tc>
        <w:tc>
          <w:tcPr>
            <w:tcW w:type="dxa" w:w="5625"/>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إعدادات الأوزان ولوحة المعرض فقط، في localStorage على الجهاز، وتُمسح بمسح بيانات المتصفّح</w:t>
            </w:r>
          </w:p>
        </w:tc>
      </w:tr>
      <w:tr>
        <w:trPr>
          <w:cantSplit/>
        </w:trPr>
        <w:tc>
          <w:tcPr>
            <w:tcW w:type="dxa" w:w="3447"/>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ماذا يحدث عند إغلاق الصفحة؟</w:t>
            </w:r>
          </w:p>
        </w:tc>
        <w:tc>
          <w:tcPr>
            <w:tcW w:type="dxa" w:w="5625"/>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تنتهي كلّ نصوص التحليل — لا أرشيف ولا نسخة احتياطيّة</w:t>
            </w:r>
          </w:p>
        </w:tc>
      </w:tr>
    </w:tbl>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11. الحدود — ما لا يفعله مُبين</w:t>
      </w:r>
    </w:p>
    <w:p>
      <w:pPr>
        <w:bidi/>
        <w:spacing w:after="140" w:line="320"/>
        <w:jc w:val="both"/>
      </w:pPr>
      <w:r>
        <w:rPr>
          <w:rFonts w:ascii="Arial" w:cs="Arial" w:eastAsia="Arial" w:hAnsi="Arial"/>
          <w:color w:val="1A1A22"/>
          <w:sz w:val="21"/>
          <w:szCs w:val="21"/>
          <w:rtl/>
        </w:rPr>
        <w:t xml:space="preserve">نُدرج هذا القسم عن قصد، لأنّ المشروع الذي لا يعرف حدوده يسقط في أوّل سؤال دقيق من المحكّم.</w:t>
      </w:r>
    </w:p>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1"/>
        <w:gridCol w:w="8641"/>
      </w:tblGrid>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b/>
                <w:bCs/>
                <w:sz w:val="21"/>
                <w:szCs w:val="21"/>
                <w:rtl/>
              </w:rPr>
              <w:t xml:space="preserve">لا يفهم المعنى: </w:t>
            </w:r>
            <w:r>
              <w:rPr>
                <w:rFonts w:ascii="Arial" w:cs="Arial" w:eastAsia="Arial" w:hAnsi="Arial"/>
                <w:sz w:val="21"/>
                <w:szCs w:val="21"/>
                <w:rtl/>
              </w:rPr>
              <w:t xml:space="preserve">قد يمرّ خطأ نحويّ يعتمد على سياق دلاليّ عميق لا تكشفه القواعد الصريحة.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b/>
                <w:bCs/>
                <w:sz w:val="21"/>
                <w:szCs w:val="21"/>
                <w:rtl/>
              </w:rPr>
              <w:t xml:space="preserve">لا يشكّل النصّ آلياً </w:t>
            </w:r>
            <w:r>
              <w:rPr>
                <w:rFonts w:ascii="Arial" w:cs="Arial" w:eastAsia="Arial" w:hAnsi="Arial"/>
                <w:sz w:val="21"/>
                <w:szCs w:val="21"/>
                <w:rtl/>
              </w:rPr>
              <w:t xml:space="preserve">في هذه النسخة؛ التشكيل الآليّ مُدرَج في المرحلة الثانية.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b/>
                <w:bCs/>
                <w:sz w:val="21"/>
                <w:szCs w:val="21"/>
                <w:rtl/>
              </w:rPr>
              <w:t xml:space="preserve">لا يقيّم جودة الفكرة </w:t>
            </w:r>
            <w:r>
              <w:rPr>
                <w:rFonts w:ascii="Arial" w:cs="Arial" w:eastAsia="Arial" w:hAnsi="Arial"/>
                <w:sz w:val="21"/>
                <w:szCs w:val="21"/>
                <w:rtl/>
              </w:rPr>
              <w:t xml:space="preserve">ولا الأسلوب الأدبيّ ولا تماسك الحجّة — يقيس الصحّة اللغوية لا البلاغة.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b/>
                <w:bCs/>
                <w:sz w:val="21"/>
                <w:szCs w:val="21"/>
                <w:rtl/>
              </w:rPr>
              <w:t xml:space="preserve">معجمه محدود </w:t>
            </w:r>
            <w:r>
              <w:rPr>
                <w:rFonts w:ascii="Arial" w:cs="Arial" w:eastAsia="Arial" w:hAnsi="Arial"/>
                <w:sz w:val="21"/>
                <w:szCs w:val="21"/>
                <w:rtl/>
              </w:rPr>
              <w:t xml:space="preserve">بما بنيناه (511 مدخلاً) وليس معجماً شاملاً للعربية.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b/>
                <w:bCs/>
                <w:sz w:val="21"/>
                <w:szCs w:val="21"/>
                <w:rtl/>
              </w:rPr>
              <w:t xml:space="preserve">لا يستبدل المعلّم: </w:t>
            </w:r>
            <w:r>
              <w:rPr>
                <w:rFonts w:ascii="Arial" w:cs="Arial" w:eastAsia="Arial" w:hAnsi="Arial"/>
                <w:sz w:val="21"/>
                <w:szCs w:val="21"/>
                <w:rtl/>
              </w:rPr>
              <w:t xml:space="preserve">هو أداة فرز أوّليّ، والحكم النهائيّ للمعلّم دائماً.</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b/>
                <w:bCs/>
                <w:sz w:val="21"/>
                <w:szCs w:val="21"/>
                <w:rtl/>
              </w:rPr>
              <w:t xml:space="preserve">قد يُنتج إنذاراً كاذباً </w:t>
            </w:r>
            <w:r>
              <w:rPr>
                <w:rFonts w:ascii="Arial" w:cs="Arial" w:eastAsia="Arial" w:hAnsi="Arial"/>
                <w:sz w:val="21"/>
                <w:szCs w:val="21"/>
                <w:rtl/>
              </w:rPr>
              <w:t xml:space="preserve">في الحالات الملتبسة، ولهذا نُظهر درجة ثقة بدل الجزم.</w:t>
            </w:r>
          </w:p>
        </w:tc>
      </w:tr>
    </w:tbl>
    <w:p>
      <w:pPr>
        <w:spacing w:after="90"/>
      </w:pPr>
      <w:r>
        <w:rPr>
          <w:rFonts w:ascii="Arial" w:cs="Arial" w:eastAsia="Arial" w:hAnsi="Arial"/>
        </w:rPr>
        <w:t xml:space="preserve"/>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12. خريطة التطوير</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998"/>
        <w:gridCol w:w="1089"/>
        <w:gridCol w:w="5625"/>
        <w:gridCol w:w="1361"/>
      </w:tblGrid>
      <w:tr>
        <w:trPr>
          <w:tblHeader/>
        </w:trPr>
        <w:tc>
          <w:tcPr>
            <w:tcW w:type="dxa" w:w="998"/>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المرحلة</w:t>
            </w:r>
          </w:p>
        </w:tc>
        <w:tc>
          <w:tcPr>
            <w:tcW w:type="dxa" w:w="1089"/>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المدى</w:t>
            </w:r>
          </w:p>
        </w:tc>
        <w:tc>
          <w:tcPr>
            <w:tcW w:type="dxa" w:w="5625"/>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المحتوى</w:t>
            </w:r>
          </w:p>
        </w:tc>
        <w:tc>
          <w:tcPr>
            <w:tcW w:type="dxa" w:w="1361"/>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الحالة</w:t>
            </w:r>
          </w:p>
        </w:tc>
      </w:tr>
      <w:tr>
        <w:trPr>
          <w:cantSplit/>
        </w:trPr>
        <w:tc>
          <w:tcPr>
            <w:tcW w:type="dxa" w:w="998"/>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الأولى</w:t>
            </w:r>
          </w:p>
        </w:tc>
        <w:tc>
          <w:tcPr>
            <w:tcW w:type="dxa" w:w="1089"/>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مُنجَزة</w:t>
            </w:r>
          </w:p>
        </w:tc>
        <w:tc>
          <w:tcPr>
            <w:tcW w:type="dxa" w:w="5625"/>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محرّك عامل بعشر عائلات و511 مدخلاً · بصمة لغوية · تمارين مولّدة · جسر الفصحى · لوحة صفّ وخريطة حرارية · خطّة حصّة · وضع معرض · تصدير Word و Excel · عمل دون اتصال</w:t>
            </w:r>
          </w:p>
        </w:tc>
        <w:tc>
          <w:tcPr>
            <w:tcW w:type="dxa" w:w="1361"/>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مُنجَزة</w:t>
            </w:r>
          </w:p>
        </w:tc>
      </w:tr>
      <w:tr>
        <w:trPr>
          <w:cantSplit/>
        </w:trPr>
        <w:tc>
          <w:tcPr>
            <w:tcW w:type="dxa" w:w="998"/>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الثانية</w:t>
            </w:r>
          </w:p>
        </w:tc>
        <w:tc>
          <w:tcPr>
            <w:tcW w:type="dxa" w:w="1089"/>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ثلاثة أشهر</w:t>
            </w:r>
          </w:p>
        </w:tc>
        <w:tc>
          <w:tcPr>
            <w:tcW w:type="dxa" w:w="5625"/>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توسيع المعجم أربعة أضعاف · التشكيل الآليّ · أربع عائلات قواعد إضافيّة · حزمة اختبارات تلقائيّة · تجربة مُحكَّمة في صفّ واحد بموافقة رسميّة وتقرير قياس</w:t>
            </w:r>
          </w:p>
        </w:tc>
        <w:tc>
          <w:tcPr>
            <w:tcW w:type="dxa" w:w="1361"/>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خطّة معلنة</w:t>
            </w:r>
          </w:p>
        </w:tc>
      </w:tr>
      <w:tr>
        <w:trPr>
          <w:cantSplit/>
        </w:trPr>
        <w:tc>
          <w:tcPr>
            <w:tcW w:type="dxa" w:w="998"/>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الثالثة</w:t>
            </w:r>
          </w:p>
        </w:tc>
        <w:tc>
          <w:tcPr>
            <w:tcW w:type="dxa" w:w="1089"/>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سنة</w:t>
            </w:r>
          </w:p>
        </w:tc>
        <w:tc>
          <w:tcPr>
            <w:tcW w:type="dxa" w:w="5625"/>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نموذج لغويّ عربيّ صغير يعمل داخل المتصفّح عبر WebGPU لفهم السياق · ربط اختياريّ بـ Teams Assignments و Entra ID · لوحة إدارة تعليمية</w:t>
            </w:r>
          </w:p>
        </w:tc>
        <w:tc>
          <w:tcPr>
            <w:tcW w:type="dxa" w:w="1361"/>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خطّة معلنة</w:t>
            </w:r>
          </w:p>
        </w:tc>
      </w:tr>
    </w:tbl>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13. الاتّساق مع المرجعيّات</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3629"/>
        <w:gridCol w:w="5443"/>
      </w:tblGrid>
      <w:tr>
        <w:trPr>
          <w:tblHeader/>
        </w:trPr>
        <w:tc>
          <w:tcPr>
            <w:tcW w:type="dxa" w:w="3629"/>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المرجعيّة</w:t>
            </w:r>
          </w:p>
        </w:tc>
        <w:tc>
          <w:tcPr>
            <w:tcW w:type="dxa" w:w="5443"/>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وجه الاتّساق</w:t>
            </w:r>
          </w:p>
        </w:tc>
      </w:tr>
      <w:tr>
        <w:trPr>
          <w:cantSplit/>
        </w:trPr>
        <w:tc>
          <w:tcPr>
            <w:tcW w:type="dxa" w:w="362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ميثاق «عهدُ العربية» — هيئة الشارقة للتعليم الخاص</w:t>
            </w:r>
          </w:p>
        </w:tc>
        <w:tc>
          <w:tcPr>
            <w:tcW w:type="dxa" w:w="544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قياس رقميّ فعليّ لالتزام الطلبة بالفصحى عبر جسر الفصحى، بدل الالتزام المعنويّ فقط</w:t>
            </w:r>
          </w:p>
        </w:tc>
      </w:tr>
      <w:tr>
        <w:trPr>
          <w:cantSplit/>
        </w:trPr>
        <w:tc>
          <w:tcPr>
            <w:tcW w:type="dxa" w:w="3629"/>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الاختبارات المعياريّة للعربية للناطقين بها</w:t>
            </w:r>
          </w:p>
        </w:tc>
        <w:tc>
          <w:tcPr>
            <w:tcW w:type="dxa" w:w="544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بيانات تشخيصيّة مستمرّة على مدار العام بدل لقطة اختبار واحدة</w:t>
            </w:r>
          </w:p>
        </w:tc>
      </w:tr>
      <w:tr>
        <w:trPr>
          <w:cantSplit/>
        </w:trPr>
        <w:tc>
          <w:tcPr>
            <w:tcW w:type="dxa" w:w="362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أجندة التعليم الوطنيّة — رفع التحصيل</w:t>
            </w:r>
          </w:p>
        </w:tc>
        <w:tc>
          <w:tcPr>
            <w:tcW w:type="dxa" w:w="544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مؤشّر كمّيّ قابل للتتبّع لكلّ طالب وصفّ ومدرسة</w:t>
            </w:r>
          </w:p>
        </w:tc>
      </w:tr>
      <w:tr>
        <w:trPr>
          <w:cantSplit/>
        </w:trPr>
        <w:tc>
          <w:tcPr>
            <w:tcW w:type="dxa" w:w="3629"/>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رؤية الإمارات 2071 — مجتمع المعرفة</w:t>
            </w:r>
          </w:p>
        </w:tc>
        <w:tc>
          <w:tcPr>
            <w:tcW w:type="dxa" w:w="544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أداة لغوية عربية مبنيّة محليّاً بأيدي طلبة الدولة</w:t>
            </w:r>
          </w:p>
        </w:tc>
      </w:tr>
      <w:tr>
        <w:trPr>
          <w:cantSplit/>
        </w:trPr>
        <w:tc>
          <w:tcPr>
            <w:tcW w:type="dxa" w:w="362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عام الأسرة 2026</w:t>
            </w:r>
          </w:p>
        </w:tc>
        <w:tc>
          <w:tcPr>
            <w:tcW w:type="dxa" w:w="544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تقرير Word يصل الأسرة بلغة مفهومة لا بعلامة مجرّدة</w:t>
            </w:r>
          </w:p>
        </w:tc>
      </w:tr>
      <w:tr>
        <w:trPr>
          <w:cantSplit/>
        </w:trPr>
        <w:tc>
          <w:tcPr>
            <w:tcW w:type="dxa" w:w="3629"/>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سياسات خصوصيّة بيانات الطلبة</w:t>
            </w:r>
          </w:p>
        </w:tc>
        <w:tc>
          <w:tcPr>
            <w:tcW w:type="dxa" w:w="544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معالجة محليّة بالكامل: لا رفع ولا خادم ولا مفتاح</w:t>
            </w:r>
          </w:p>
        </w:tc>
      </w:tr>
    </w:tbl>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14. الفريق</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2722"/>
        <w:gridCol w:w="6350"/>
      </w:tblGrid>
      <w:tr>
        <w:trPr>
          <w:tblHeader/>
        </w:trPr>
        <w:tc>
          <w:tcPr>
            <w:tcW w:type="dxa" w:w="2722"/>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العضو</w:t>
            </w:r>
          </w:p>
        </w:tc>
        <w:tc>
          <w:tcPr>
            <w:tcW w:type="dxa" w:w="6350"/>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الدور</w:t>
            </w:r>
          </w:p>
        </w:tc>
      </w:tr>
      <w:tr>
        <w:trPr>
          <w:cantSplit/>
        </w:trPr>
        <w:tc>
          <w:tcPr>
            <w:tcW w:type="dxa" w:w="272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غيث صادق</w:t>
            </w:r>
          </w:p>
        </w:tc>
        <w:tc>
          <w:tcPr>
            <w:tcW w:type="dxa" w:w="635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قيادة المشروع · تصميم المحرّك والصيغ الرياضيّة</w:t>
            </w:r>
          </w:p>
        </w:tc>
      </w:tr>
      <w:tr>
        <w:trPr>
          <w:cantSplit/>
        </w:trPr>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أحمد حمد</w:t>
            </w:r>
          </w:p>
        </w:tc>
        <w:tc>
          <w:tcPr>
            <w:tcW w:type="dxa" w:w="635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هندسة الواجهات ولوحات البيانات والاختبار</w:t>
            </w:r>
          </w:p>
        </w:tc>
      </w:tr>
      <w:tr>
        <w:trPr>
          <w:cantSplit/>
        </w:trPr>
        <w:tc>
          <w:tcPr>
            <w:tcW w:type="dxa" w:w="272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تيم عامر</w:t>
            </w:r>
          </w:p>
        </w:tc>
        <w:tc>
          <w:tcPr>
            <w:tcW w:type="dxa" w:w="635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المحتوى اللغويّ وبناء بنوك القواعد</w:t>
            </w:r>
          </w:p>
        </w:tc>
      </w:tr>
    </w:tbl>
    <w:p>
      <w:pPr>
        <w:spacing w:after="200"/>
      </w:pPr>
      <w:r>
        <w:rPr>
          <w:rFonts w:ascii="Arial" w:cs="Arial" w:eastAsia="Arial" w:hAnsi="Arial"/>
        </w:rPr>
        <w:t xml:space="preserve"/>
      </w:r>
    </w:p>
    <w:p>
      <w:pPr>
        <w:bidi/>
        <w:spacing w:after="140" w:line="320"/>
        <w:jc w:val="center"/>
      </w:pPr>
      <w:r>
        <w:rPr>
          <w:rFonts w:ascii="Arial" w:cs="Arial" w:eastAsia="Arial" w:hAnsi="Arial"/>
          <w:color w:val="555555"/>
          <w:sz w:val="19"/>
          <w:szCs w:val="19"/>
          <w:rtl/>
        </w:rPr>
        <w:t xml:space="preserve">مدرسة السدرة الخاصة — كلباء، إمارة الشارقة · GEN CODE TEAM</w:t>
      </w:r>
    </w:p>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55555"/>
        <w:sz w:val="16"/>
        <w:szCs w:val="16"/>
        <w:rtl/>
      </w:rPr>
      <w:t xml:space="preserve">GEN CODE TEAM · مدرسة السدرة الخاصة — كلباء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bidi/>
      <w:spacing w:after="0"/>
      <w:jc w:val="right"/>
    </w:pPr>
    <w:r>
      <w:rPr>
        <w:rFonts w:ascii="Arial" w:cs="Arial" w:eastAsia="Arial" w:hAnsi="Arial"/>
        <w:color w:val="555555"/>
        <w:sz w:val="16"/>
        <w:szCs w:val="16"/>
        <w:rtl/>
      </w:rPr>
      <w:t xml:space="preserve">مُبين — التقرير التقني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431" w:hanging="259"/>
      </w:pPr>
    </w:lvl>
  </w:abstractNum>
  <w:abstractNum w:abstractNumId="3" w15:restartNumberingAfterBreak="0">
    <w:multiLevelType w:val="hybridMultilevel"/>
    <w:lvl w:ilvl="0" w15:tentative="1">
      <w:start w:val="1"/>
      <w:numFmt w:val="decimal"/>
      <w:lvlText w:val="%1."/>
      <w:lvlJc w:val="right"/>
      <w:pPr>
        <w:ind w:start="460" w:hanging="288"/>
      </w:pPr>
    </w:lvl>
  </w:abstractNum>
  <w:abstractNum w:abstractNumId="4" w15:restartNumberingAfterBreak="0">
    <w:multiLevelType w:val="hybridMultilevel"/>
    <w:lvl w:ilvl="0" w15:tentative="1">
      <w:start w:val="1"/>
      <w:numFmt w:val="bullet"/>
      <w:lvlText w:val="☐"/>
      <w:lvlJc w:val="right"/>
      <w:pPr>
        <w:ind w:start="431"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a0d8968d0f1369b5c19d21b60092f7ae980d87.png"/><Relationship Id="rId10" Type="http://schemas.openxmlformats.org/officeDocument/2006/relationships/image" Target="media/b14c1a17fc7895584bc35f5b3f3181de08eb11c8.png"/><Relationship Id="rId11" Type="http://schemas.openxmlformats.org/officeDocument/2006/relationships/image" Target="media/dbddb53ce1a3834d498aa40c1347f109cb7d62b9.png"/><Relationship Id="rId12" Type="http://schemas.openxmlformats.org/officeDocument/2006/relationships/image" Target="media/4714d0813c935295c5209a195c55e0481616caa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مُبين — التقرير التقني</dc:title>
  <dc:creator>GEN CODE TEAM</dc:creator>
  <dc:description>محرّك تشخيص لغويّ عربيّ</dc:description>
  <cp:lastModifiedBy>Un-named</cp:lastModifiedBy>
  <cp:revision>1</cp:revision>
  <dcterms:created xsi:type="dcterms:W3CDTF">2026-10-08T06:26:33.798Z</dcterms:created>
  <dcterms:modified xsi:type="dcterms:W3CDTF">2026-10-08T06:26:33.798Z</dcterms:modified>
</cp:coreProperties>
</file>

<file path=docProps/custom.xml><?xml version="1.0" encoding="utf-8"?>
<Properties xmlns="http://schemas.openxmlformats.org/officeDocument/2006/custom-properties" xmlns:vt="http://schemas.openxmlformats.org/officeDocument/2006/docPropsVTypes"/>
</file>