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4580" w14:textId="54867479" w:rsidR="007D0225" w:rsidRDefault="00203F94" w:rsidP="00203F94">
      <w:r w:rsidRPr="00203F94">
        <w:rPr>
          <w:rtl/>
        </w:rPr>
        <w:t>اگر مستأجر پس از پایان مدت زمان قرارداد، از تخلیه ملک خودداری کند، موجر (مالک) برای دریافت حکم تخلیه فوری و همچنین مطالبه خسارت یا اجرت‌المثل ایام تصرف، دقیقاً چه مراحل قانونی را باید طی کند؟</w:t>
      </w:r>
    </w:p>
    <w:sectPr w:rsidR="007D0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25"/>
    <w:rsid w:val="00203F94"/>
    <w:rsid w:val="007D0225"/>
    <w:rsid w:val="009B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85B39-1127-4C7D-A0C2-7A484B3B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2</cp:revision>
  <dcterms:created xsi:type="dcterms:W3CDTF">2026-05-04T14:44:00Z</dcterms:created>
  <dcterms:modified xsi:type="dcterms:W3CDTF">2026-05-04T14:44:00Z</dcterms:modified>
</cp:coreProperties>
</file>