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drawing>
          <wp:inline distT="0" distB="0" distL="0" distR="0">
            <wp:extent cx="2476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428625"/>
                    </a:xfrm>
                    <a:prstGeom prst="rect">
                      <a:avLst/>
                    </a:prstGeom>
                  </pic:spPr>
                </pic:pic>
              </a:graphicData>
            </a:graphic>
          </wp:inline>
        </w:drawing>
      </w:r>
    </w:p>
    <w:p>
      <w:pPr>
        <w:spacing w:after="120"/>
      </w:pPr>
      <w:r>
        <w:rPr>
          <w:rFonts w:ascii="Calibri" w:cs="Calibri" w:eastAsia="Calibri" w:hAnsi="Calibri"/>
          <w:b/>
          <w:bCs/>
          <w:color w:val="F2AF11"/>
          <w:spacing w:val="40"/>
          <w:sz w:val="22"/>
          <w:szCs w:val="22"/>
        </w:rPr>
        <w:t xml:space="preserve">SEO &amp; AEO GROWTH PLAN</w:t>
      </w:r>
    </w:p>
    <w:p>
      <w:pPr>
        <w:spacing w:after="240" w:line="240"/>
      </w:pPr>
      <w:r>
        <w:rPr>
          <w:rFonts w:ascii="Calibri" w:cs="Calibri" w:eastAsia="Calibri" w:hAnsi="Calibri"/>
          <w:b/>
          <w:bCs/>
          <w:color w:val="193153"/>
          <w:sz w:val="56"/>
          <w:szCs w:val="56"/>
        </w:rPr>
        <w:t xml:space="preserve">Goals for the next 6 to 12 months</w:t>
      </w:r>
    </w:p>
    <w:p>
      <w:pPr>
        <w:pBdr>
          <w:left w:val="single" w:color="F2AF11" w:sz="24" w:space="12"/>
        </w:pBdr>
        <w:spacing w:after="1600" w:line="300"/>
        <w:ind w:left="240"/>
      </w:pPr>
      <w:r>
        <w:rPr>
          <w:rFonts w:ascii="Calibri" w:cs="Calibri" w:eastAsia="Calibri" w:hAnsi="Calibri"/>
          <w:color w:val="5F5F5F"/>
          <w:sz w:val="24"/>
          <w:szCs w:val="24"/>
        </w:rPr>
        <w:t xml:space="preserve">How we will get Premier found on Google and named in AI answers, from ChatGPT to Google AI Overviews, by the families who are planning a succession, and how we will report progress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val="off"/>
        </w:trPr>
        <w:tc>
          <w:tcPr>
            <w:tcW w:type="dxa" w:w="26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Prepared for</w:t>
            </w:r>
          </w:p>
        </w:tc>
        <w:tc>
          <w:tcPr>
            <w:tcW w:type="dxa" w:w="64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Jon Ramos, CEO, Premier Family Business Consulting, Inc.</w:t>
            </w:r>
          </w:p>
        </w:tc>
      </w:tr>
      <w:tr>
        <w:trPr>
          <w:cantSplit/>
          <w:tblHeader w:val="off"/>
        </w:trPr>
        <w:tc>
          <w:tcPr>
            <w:tcW w:type="dxa" w:w="26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Prepared by</w:t>
            </w:r>
          </w:p>
        </w:tc>
        <w:tc>
          <w:tcPr>
            <w:tcW w:type="dxa" w:w="64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[Your name / agency]</w:t>
            </w:r>
          </w:p>
        </w:tc>
      </w:tr>
      <w:tr>
        <w:trPr>
          <w:cantSplit/>
          <w:tblHeader w:val="off"/>
        </w:trPr>
        <w:tc>
          <w:tcPr>
            <w:tcW w:type="dxa" w:w="26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Date</w:t>
            </w:r>
          </w:p>
        </w:tc>
        <w:tc>
          <w:tcPr>
            <w:tcW w:type="dxa" w:w="64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[Date]</w:t>
            </w:r>
          </w:p>
        </w:tc>
      </w:tr>
      <w:tr>
        <w:trPr>
          <w:cantSplit/>
          <w:tblHeader w:val="off"/>
        </w:trPr>
        <w:tc>
          <w:tcPr>
            <w:tcW w:type="dxa" w:w="26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Retainer period</w:t>
            </w:r>
          </w:p>
        </w:tc>
        <w:tc>
          <w:tcPr>
            <w:tcW w:type="dxa" w:w="64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[Start month] to [end month]</w:t>
            </w:r>
            <w:r>
              <w:rPr>
                <w:rFonts w:ascii="Calibri" w:cs="Calibri" w:eastAsia="Calibri" w:hAnsi="Calibri"/>
                <w:color w:val="333333"/>
                <w:sz w:val="19"/>
                <w:szCs w:val="19"/>
              </w:rPr>
              <w:t xml:space="preserve"> (6-month core, optional 6-month extension)</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F2AF11" w:sz="12" w:space="6"/>
        </w:pBdr>
        <w:spacing w:after="160" w:before="360"/>
      </w:pPr>
      <w:r>
        <w:rPr>
          <w:rFonts w:ascii="Calibri" w:cs="Calibri" w:eastAsia="Calibri" w:hAnsi="Calibri"/>
          <w:b/>
          <w:bCs/>
          <w:color w:val="193153"/>
          <w:sz w:val="32"/>
          <w:szCs w:val="32"/>
        </w:rPr>
        <w:t xml:space="preserve">1. The short version</w:t>
      </w:r>
    </w:p>
    <w:p>
      <w:pPr>
        <w:spacing w:after="120" w:line="290"/>
      </w:pPr>
      <w:r>
        <w:rPr>
          <w:rFonts w:ascii="Calibri" w:cs="Calibri" w:eastAsia="Calibri" w:hAnsi="Calibri"/>
          <w:color w:val="333333"/>
          <w:sz w:val="21"/>
          <w:szCs w:val="21"/>
        </w:rPr>
        <w:t xml:space="preserve">Families looking for help with succession, governance or next-generation leadership now search in two places: Google, and AI assistants such as ChatGPT, Gemini, Perplexity and Google’s AI Overviews. Premier has something most firms cannot match: an FFI Fellow as CEO, a published book, a podcast, a regional Roadshow and more than a decade of work with Filipino family businesses. The new website gives us the platform. This plan makes sure the right people find it.</w:t>
      </w:r>
    </w:p>
    <w:p>
      <w:pPr>
        <w:spacing w:after="120" w:line="290"/>
      </w:pPr>
      <w:r>
        <w:rPr>
          <w:rFonts w:ascii="Calibri" w:cs="Calibri" w:eastAsia="Calibri" w:hAnsi="Calibri"/>
          <w:b/>
          <w:bCs/>
          <w:color w:val="222222"/>
          <w:sz w:val="21"/>
          <w:szCs w:val="21"/>
        </w:rPr>
        <w:t xml:space="preserve">SEO </w:t>
      </w:r>
      <w:r>
        <w:rPr>
          <w:rFonts w:ascii="Calibri" w:cs="Calibri" w:eastAsia="Calibri" w:hAnsi="Calibri"/>
          <w:color w:val="333333"/>
          <w:sz w:val="21"/>
          <w:szCs w:val="21"/>
        </w:rPr>
        <w:t xml:space="preserve">means ranking on Google and Bing for the searches that bring in clients. </w:t>
      </w:r>
      <w:r>
        <w:rPr>
          <w:rFonts w:ascii="Calibri" w:cs="Calibri" w:eastAsia="Calibri" w:hAnsi="Calibri"/>
          <w:b/>
          <w:bCs/>
          <w:color w:val="222222"/>
          <w:sz w:val="21"/>
          <w:szCs w:val="21"/>
        </w:rPr>
        <w:t xml:space="preserve">AEO </w:t>
      </w:r>
      <w:r>
        <w:rPr>
          <w:rFonts w:ascii="Calibri" w:cs="Calibri" w:eastAsia="Calibri" w:hAnsi="Calibri"/>
          <w:color w:val="333333"/>
          <w:sz w:val="21"/>
          <w:szCs w:val="21"/>
        </w:rPr>
        <w:t xml:space="preserve">(answer engine optimisation) means being named, cited and described correctly when someone asks an AI assistant the same question.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F2AF11" w:sz="24"/>
              <w:bottom w:val="none" w:color="FFFFFF" w:sz="0"/>
              <w:right w:val="none" w:color="FFFFFF" w:sz="0"/>
            </w:tcBorders>
            <w:shd w:fill="FFF4D6" w:color="auto" w:val="clear"/>
            <w:tcMar>
              <w:top w:type="dxa" w:w="140"/>
              <w:left w:type="dxa" w:w="200"/>
              <w:bottom w:type="dxa" w:w="140"/>
              <w:right w:type="dxa" w:w="200"/>
            </w:tcMar>
          </w:tcPr>
          <w:p>
            <w:pPr>
              <w:spacing w:after="0" w:line="280"/>
            </w:pPr>
            <w:r>
              <w:rPr>
                <w:rFonts w:ascii="Calibri" w:cs="Calibri" w:eastAsia="Calibri" w:hAnsi="Calibri"/>
                <w:b/>
                <w:bCs/>
                <w:color w:val="193153"/>
                <w:sz w:val="22"/>
                <w:szCs w:val="22"/>
              </w:rPr>
              <w:t xml:space="preserve">Our headline goal: </w:t>
            </w:r>
            <w:r>
              <w:rPr>
                <w:rFonts w:ascii="Calibri" w:cs="Calibri" w:eastAsia="Calibri" w:hAnsi="Calibri"/>
                <w:color w:val="193153"/>
                <w:sz w:val="22"/>
                <w:szCs w:val="22"/>
              </w:rPr>
              <w:t xml:space="preserve">a steady, measurable flow of exploratory meetings booked by families who found Premier through Google or an AI assistant, starting with succession planning.</w:t>
            </w:r>
          </w:p>
        </w:tc>
      </w:tr>
    </w:tbl>
    <w:p>
      <w:pPr>
        <w:pStyle w:val="Heading1"/>
        <w:pBdr>
          <w:bottom w:val="single" w:color="F2AF11" w:sz="12" w:space="6"/>
        </w:pBdr>
        <w:spacing w:after="160" w:before="360"/>
      </w:pPr>
      <w:r>
        <w:rPr>
          <w:rFonts w:ascii="Calibri" w:cs="Calibri" w:eastAsia="Calibri" w:hAnsi="Calibri"/>
          <w:b/>
          <w:bCs/>
          <w:color w:val="193153"/>
          <w:sz w:val="32"/>
          <w:szCs w:val="32"/>
        </w:rPr>
        <w:t xml:space="preserve">2. Where we are starting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cantSplit/>
          <w:tblHeader/>
        </w:trPr>
        <w:tc>
          <w:tcPr>
            <w:tcW w:type="dxa" w:w="25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Area</w:t>
            </w:r>
          </w:p>
        </w:tc>
        <w:tc>
          <w:tcPr>
            <w:tcW w:type="dxa" w:w="6526"/>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Today</w:t>
            </w:r>
          </w:p>
        </w:tc>
      </w:tr>
      <w:tr>
        <w:trPr>
          <w:cantSplit/>
          <w:tblHeader w:val="off"/>
        </w:trPr>
        <w:tc>
          <w:tcPr>
            <w:tcW w:type="dxa" w:w="25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Website</w:t>
            </w:r>
          </w:p>
        </w:tc>
        <w:tc>
          <w:tcPr>
            <w:tcW w:type="dxa" w:w="65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The previous site was showing a critical error. The new site replaces it with a clearer structure and new page addresses, so old links need to be redirected carefully.</w:t>
            </w:r>
          </w:p>
        </w:tc>
      </w:tr>
      <w:tr>
        <w:trPr>
          <w:cantSplit/>
          <w:tblHeader w:val="off"/>
        </w:trPr>
        <w:tc>
          <w:tcPr>
            <w:tcW w:type="dxa" w:w="25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How people search</w:t>
            </w:r>
          </w:p>
        </w:tc>
        <w:tc>
          <w:tcPr>
            <w:tcW w:type="dxa" w:w="65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Program names such as “Organizational Systems Effectiveness” or “Premier IDEA” are not what families type. They search for “succession planning”, “family constitution” and “family business consultant Philippines”.</w:t>
            </w:r>
          </w:p>
        </w:tc>
      </w:tr>
      <w:tr>
        <w:trPr>
          <w:cantSplit/>
          <w:tblHeader w:val="off"/>
        </w:trPr>
        <w:tc>
          <w:tcPr>
            <w:tcW w:type="dxa" w:w="25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Strengths to build on</w:t>
            </w:r>
          </w:p>
        </w:tc>
        <w:tc>
          <w:tcPr>
            <w:tcW w:type="dxa" w:w="65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FFI Fellowship and FFI Board seat, FFI-certified consultants, partners (FFI, FBN Asia, UA&amp;P), the Legacy in Action book and podcast, and the Family Enterprise Roadshow.</w:t>
            </w:r>
          </w:p>
        </w:tc>
      </w:tr>
      <w:tr>
        <w:trPr>
          <w:cantSplit/>
          <w:tblHeader w:val="off"/>
        </w:trPr>
        <w:tc>
          <w:tcPr>
            <w:tcW w:type="dxa" w:w="25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Measurement</w:t>
            </w:r>
          </w:p>
        </w:tc>
        <w:tc>
          <w:tcPr>
            <w:tcW w:type="dxa" w:w="65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There is no reliable history to measure from yet. Month 1 sets the baseline, and the numeric targets below are confirmed against it.</w:t>
            </w:r>
          </w:p>
        </w:tc>
      </w:tr>
    </w:tbl>
    <w:p>
      <w:pPr>
        <w:pStyle w:val="Heading1"/>
        <w:pBdr>
          <w:bottom w:val="single" w:color="F2AF11" w:sz="12" w:space="6"/>
        </w:pBdr>
        <w:spacing w:after="160" w:before="360"/>
      </w:pPr>
      <w:r>
        <w:rPr>
          <w:rFonts w:ascii="Calibri" w:cs="Calibri" w:eastAsia="Calibri" w:hAnsi="Calibri"/>
          <w:b/>
          <w:bCs/>
          <w:color w:val="193153"/>
          <w:sz w:val="32"/>
          <w:szCs w:val="32"/>
        </w:rPr>
        <w:t xml:space="preserve">3. What we will achieve</w:t>
      </w:r>
    </w:p>
    <w:p>
      <w:pPr>
        <w:spacing w:after="120" w:line="290"/>
      </w:pPr>
      <w:r>
        <w:rPr>
          <w:rFonts w:ascii="Calibri" w:cs="Calibri" w:eastAsia="Calibri" w:hAnsi="Calibri"/>
          <w:color w:val="333333"/>
          <w:sz w:val="21"/>
          <w:szCs w:val="21"/>
        </w:rPr>
        <w:t xml:space="preserve">Five goals, with a milestone at Month 6 and a goal for Month 12. Figures in yellow are confirmed in the Month 1 baseline report and then fixed for the year.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50"/>
        <w:gridCol w:w="2388"/>
        <w:gridCol w:w="2388"/>
      </w:tblGrid>
      <w:tr>
        <w:trPr>
          <w:cantSplit/>
          <w:tblHeader/>
        </w:trPr>
        <w:tc>
          <w:tcPr>
            <w:tcW w:type="dxa" w:w="19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Goal</w:t>
            </w:r>
          </w:p>
        </w:tc>
        <w:tc>
          <w:tcPr>
            <w:tcW w:type="dxa" w:w="235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How we measure it</w:t>
            </w:r>
          </w:p>
        </w:tc>
        <w:tc>
          <w:tcPr>
            <w:tcW w:type="dxa" w:w="2388"/>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By Month 6</w:t>
            </w:r>
          </w:p>
        </w:tc>
        <w:tc>
          <w:tcPr>
            <w:tcW w:type="dxa" w:w="2388"/>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By Month 12</w:t>
            </w:r>
          </w:p>
        </w:tc>
      </w:tr>
      <w:tr>
        <w:trPr>
          <w:cantSplit/>
          <w:tblHeader w:val="off"/>
        </w:trPr>
        <w:tc>
          <w:tcPr>
            <w:tcW w:type="dxa" w:w="19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1. More client conversations</w:t>
            </w:r>
          </w:p>
        </w:tc>
        <w:tc>
          <w:tcPr>
            <w:tcW w:type="dxa" w:w="235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Exploratory meetings booked and enquiries from Google and AI assistants</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Every booking tracked to its source; first organic bookings. Target: </w:t>
            </w:r>
            <w:r>
              <w:rPr>
                <w:rFonts w:ascii="Calibri" w:cs="Calibri" w:eastAsia="Calibri" w:hAnsi="Calibri"/>
                <w:color w:val="B7791F"/>
                <w:sz w:val="21"/>
                <w:szCs w:val="21"/>
                <w:highlight w:val="yellow"/>
              </w:rPr>
              <w:t xml:space="preserve">[__]/month</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Steady monthly flow. Target: </w:t>
            </w:r>
            <w:r>
              <w:rPr>
                <w:rFonts w:ascii="Calibri" w:cs="Calibri" w:eastAsia="Calibri" w:hAnsi="Calibri"/>
                <w:color w:val="B7791F"/>
                <w:sz w:val="21"/>
                <w:szCs w:val="21"/>
                <w:highlight w:val="yellow"/>
              </w:rPr>
              <w:t xml:space="preserve">[__]/month</w:t>
            </w:r>
          </w:p>
        </w:tc>
      </w:tr>
      <w:tr>
        <w:trPr>
          <w:cantSplit/>
          <w:tblHeader w:val="off"/>
        </w:trPr>
        <w:tc>
          <w:tcPr>
            <w:tcW w:type="dxa" w:w="19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2. Found for succession and governance</w:t>
            </w:r>
          </w:p>
        </w:tc>
        <w:tc>
          <w:tcPr>
            <w:tcW w:type="dxa" w:w="235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Non-branded Google clicks; priority keywords on page 1</w:t>
            </w:r>
          </w:p>
        </w:tc>
        <w:tc>
          <w:tcPr>
            <w:tcW w:type="dxa" w:w="2388"/>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Page 1 for long-tail questions, e.g. “succession vs estate planning Philippines”. Target: </w:t>
            </w:r>
            <w:r>
              <w:rPr>
                <w:rFonts w:ascii="Calibri" w:cs="Calibri" w:eastAsia="Calibri" w:hAnsi="Calibri"/>
                <w:color w:val="B7791F"/>
                <w:sz w:val="21"/>
                <w:szCs w:val="21"/>
                <w:highlight w:val="yellow"/>
              </w:rPr>
              <w:t xml:space="preserve">[__] keywords</w:t>
            </w:r>
          </w:p>
        </w:tc>
        <w:tc>
          <w:tcPr>
            <w:tcW w:type="dxa" w:w="2388"/>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Page 1 for core terms, e.g. “family business succession planning Philippines”. Target: </w:t>
            </w:r>
            <w:r>
              <w:rPr>
                <w:rFonts w:ascii="Calibri" w:cs="Calibri" w:eastAsia="Calibri" w:hAnsi="Calibri"/>
                <w:color w:val="B7791F"/>
                <w:sz w:val="21"/>
                <w:szCs w:val="21"/>
                <w:highlight w:val="yellow"/>
              </w:rPr>
              <w:t xml:space="preserve">[__] keywords</w:t>
            </w:r>
          </w:p>
        </w:tc>
      </w:tr>
      <w:tr>
        <w:trPr>
          <w:cantSplit/>
          <w:tblHeader w:val="off"/>
        </w:trPr>
        <w:tc>
          <w:tcPr>
            <w:tcW w:type="dxa" w:w="19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3. Named by AI assistants</w:t>
            </w:r>
          </w:p>
        </w:tc>
        <w:tc>
          <w:tcPr>
            <w:tcW w:type="dxa" w:w="235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AI Visibility Score: how many of 30 tracked questions mention Premier, across 6 AI engines</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Premier described accurately for every branded question. Target: </w:t>
            </w:r>
            <w:r>
              <w:rPr>
                <w:rFonts w:ascii="Calibri" w:cs="Calibri" w:eastAsia="Calibri" w:hAnsi="Calibri"/>
                <w:color w:val="B7791F"/>
                <w:sz w:val="21"/>
                <w:szCs w:val="21"/>
                <w:highlight w:val="yellow"/>
              </w:rPr>
              <w:t xml:space="preserve">[__]/30</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Premier cited for key succession and governance questions. Target: </w:t>
            </w:r>
            <w:r>
              <w:rPr>
                <w:rFonts w:ascii="Calibri" w:cs="Calibri" w:eastAsia="Calibri" w:hAnsi="Calibri"/>
                <w:color w:val="B7791F"/>
                <w:sz w:val="21"/>
                <w:szCs w:val="21"/>
                <w:highlight w:val="yellow"/>
              </w:rPr>
              <w:t xml:space="preserve">[__]/30</w:t>
            </w:r>
          </w:p>
        </w:tc>
      </w:tr>
      <w:tr>
        <w:trPr>
          <w:cantSplit/>
          <w:tblHeader w:val="off"/>
        </w:trPr>
        <w:tc>
          <w:tcPr>
            <w:tcW w:type="dxa" w:w="19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4. A strong local and brand presence</w:t>
            </w:r>
          </w:p>
        </w:tc>
        <w:tc>
          <w:tcPr>
            <w:tcW w:type="dxa" w:w="235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Google Business Profile views and actions; branded searches</w:t>
            </w:r>
          </w:p>
        </w:tc>
        <w:tc>
          <w:tcPr>
            <w:tcW w:type="dxa" w:w="2388"/>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Profile complete and active; consistent details across the web and partner sites</w:t>
            </w:r>
          </w:p>
        </w:tc>
        <w:tc>
          <w:tcPr>
            <w:tcW w:type="dxa" w:w="2388"/>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Recognised as one clear entity (Premier, Jon Ramos, Cebu) by Google and AI engines</w:t>
            </w:r>
          </w:p>
        </w:tc>
      </w:tr>
      <w:tr>
        <w:trPr>
          <w:cantSplit/>
          <w:tblHeader w:val="off"/>
        </w:trPr>
        <w:tc>
          <w:tcPr>
            <w:tcW w:type="dxa" w:w="19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5. A healthy, fast, secure site</w:t>
            </w:r>
          </w:p>
        </w:tc>
        <w:tc>
          <w:tcPr>
            <w:tcW w:type="dxa" w:w="235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Uptime; Core Web Vitals; security and backups</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99.9%+ uptime; all mobile speed scores “Good”</w:t>
            </w:r>
          </w:p>
        </w:tc>
        <w:tc>
          <w:tcPr>
            <w:tcW w:type="dxa" w:w="2388"/>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Maintained all year, with zero unresolved incidents</w:t>
            </w:r>
          </w:p>
        </w:tc>
      </w:tr>
    </w:tbl>
    <w:p>
      <w:pPr>
        <w:pStyle w:val="Heading1"/>
        <w:pBdr>
          <w:bottom w:val="single" w:color="F2AF11" w:sz="12" w:space="6"/>
        </w:pBdr>
        <w:spacing w:after="160" w:before="360"/>
      </w:pPr>
      <w:r>
        <w:rPr>
          <w:rFonts w:ascii="Calibri" w:cs="Calibri" w:eastAsia="Calibri" w:hAnsi="Calibri"/>
          <w:b/>
          <w:bCs/>
          <w:color w:val="193153"/>
          <w:sz w:val="32"/>
          <w:szCs w:val="32"/>
        </w:rPr>
        <w:t xml:space="preserve">4. The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When</w:t>
            </w:r>
          </w:p>
        </w:tc>
        <w:tc>
          <w:tcPr>
            <w:tcW w:type="dxa" w:w="7026"/>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Focus and key deliverables</w:t>
            </w:r>
          </w:p>
        </w:tc>
      </w:tr>
      <w:tr>
        <w:trPr>
          <w:cantSplit/>
          <w:tblHeader w:val="off"/>
        </w:trPr>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Months 1–2</w:t>
            </w:r>
            <w:r>
              <w:rPr>
                <w:rFonts w:ascii="Calibri" w:cs="Calibri" w:eastAsia="Calibri" w:hAnsi="Calibri"/>
                <w:color w:val="5F5F5F"/>
                <w:sz w:val="19"/>
                <w:szCs w:val="19"/>
              </w:rPr>
              <w:t xml:space="preserve">  Stabilise &amp; measure</w:t>
            </w:r>
          </w:p>
        </w:tc>
        <w:tc>
          <w:tcPr>
            <w:tcW w:type="dxa" w:w="7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Health check and redirects for every old page. Google Search Console, Bing, Analytics and booking tracking set up. Speed fixes. Page titles and descriptions. Structured data so Google and AI read Premier, its people, the book and events correctly. Baseline report with confirmed targets.</w:t>
            </w:r>
          </w:p>
        </w:tc>
      </w:tr>
      <w:tr>
        <w:trPr>
          <w:cantSplit/>
          <w:tblHeader w:val="off"/>
        </w:trPr>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Months 3–4</w:t>
            </w:r>
            <w:r>
              <w:rPr>
                <w:rFonts w:ascii="Calibri" w:cs="Calibri" w:eastAsia="Calibri" w:hAnsi="Calibri"/>
                <w:color w:val="5F5F5F"/>
                <w:sz w:val="19"/>
                <w:szCs w:val="19"/>
              </w:rPr>
              <w:t xml:space="preserve">  Brand &amp; first content</w:t>
            </w:r>
          </w:p>
        </w:tc>
        <w:tc>
          <w:tcPr>
            <w:tcW w:type="dxa" w:w="70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Google Business Profile and directory listings made consistent. Partner and team profiles linked. Service pages rewritten to answer buyers’ questions directly. Two in-depth guides: Succession Planning in the Philippines, and Family Constitution &amp; Family Council. Monthly article cadence begins.</w:t>
            </w:r>
          </w:p>
        </w:tc>
      </w:tr>
      <w:tr>
        <w:trPr>
          <w:cantSplit/>
          <w:tblHeader w:val="off"/>
        </w:trPr>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Months 5–6</w:t>
            </w:r>
            <w:r>
              <w:rPr>
                <w:rFonts w:ascii="Calibri" w:cs="Calibri" w:eastAsia="Calibri" w:hAnsi="Calibri"/>
                <w:color w:val="5F5F5F"/>
                <w:sz w:val="19"/>
                <w:szCs w:val="19"/>
              </w:rPr>
              <w:t xml:space="preserve">  Authority &amp; conversion</w:t>
            </w:r>
          </w:p>
        </w:tc>
        <w:tc>
          <w:tcPr>
            <w:tcW w:type="dxa" w:w="7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Expert commentary by Jon Ramos pitched to business media. A page for every event and Roadshow stop, with a recap. Podcast show notes on site. Guide 3: How to Professionalize a Family Business. Booking and enquiry flow improved. Six-month review.</w:t>
            </w:r>
          </w:p>
        </w:tc>
      </w:tr>
      <w:tr>
        <w:trPr>
          <w:cantSplit/>
          <w:tblHeader w:val="off"/>
        </w:trPr>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Months 7–9</w:t>
            </w:r>
            <w:r>
              <w:rPr>
                <w:rFonts w:ascii="Calibri" w:cs="Calibri" w:eastAsia="Calibri" w:hAnsi="Calibri"/>
                <w:color w:val="5F5F5F"/>
                <w:sz w:val="19"/>
                <w:szCs w:val="19"/>
              </w:rPr>
              <w:t xml:space="preserve">  Original research</w:t>
            </w:r>
          </w:p>
        </w:tc>
        <w:tc>
          <w:tcPr>
            <w:tcW w:type="dxa" w:w="70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 short survey of Filipino family business owners, published as a report the press and AI engines can cite. Guide 4 on next-generation leadership. Guest articles and podcast appearances.</w:t>
            </w:r>
          </w:p>
        </w:tc>
      </w:tr>
      <w:tr>
        <w:trPr>
          <w:cantSplit/>
          <w:tblHeader w:val="off"/>
        </w:trPr>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Months 10–12</w:t>
            </w:r>
            <w:r>
              <w:rPr>
                <w:rFonts w:ascii="Calibri" w:cs="Calibri" w:eastAsia="Calibri" w:hAnsi="Calibri"/>
                <w:color w:val="5F5F5F"/>
                <w:sz w:val="19"/>
                <w:szCs w:val="19"/>
              </w:rPr>
              <w:t xml:space="preserve">  Expand &amp; compound</w:t>
            </w:r>
          </w:p>
        </w:tc>
        <w:tc>
          <w:tcPr>
            <w:tcW w:type="dxa" w:w="7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Pages for the regions Premier serves, backed by real events and work. Refresh of all older content. Annual review and Year 2 plan.</w:t>
            </w:r>
          </w:p>
        </w:tc>
      </w:tr>
    </w:tbl>
    <w:p>
      <w:pPr>
        <w:spacing w:after="120" w:before="100"/>
      </w:pPr>
      <w:r>
        <w:rPr>
          <w:rFonts w:ascii="Calibri" w:cs="Calibri" w:eastAsia="Calibri" w:hAnsi="Calibri"/>
          <w:i/>
          <w:iCs/>
          <w:color w:val="5F5F5F"/>
          <w:sz w:val="19"/>
          <w:szCs w:val="19"/>
        </w:rPr>
        <w:t xml:space="preserve">Months 7–12 are confirmed together at the Month 6 review.</w:t>
      </w:r>
    </w:p>
    <w:p>
      <w:pPr>
        <w:pStyle w:val="Heading1"/>
        <w:pBdr>
          <w:bottom w:val="single" w:color="F2AF11" w:sz="12" w:space="6"/>
        </w:pBdr>
        <w:spacing w:after="160" w:before="360"/>
      </w:pPr>
      <w:r>
        <w:rPr>
          <w:rFonts w:ascii="Calibri" w:cs="Calibri" w:eastAsia="Calibri" w:hAnsi="Calibri"/>
          <w:b/>
          <w:bCs/>
          <w:color w:val="193153"/>
          <w:sz w:val="32"/>
          <w:szCs w:val="32"/>
        </w:rPr>
        <w:t xml:space="preserve">5. What you receive every month</w:t>
      </w:r>
    </w:p>
    <w:p>
      <w:pPr>
        <w:pStyle w:val="Heading2"/>
        <w:spacing w:after="100" w:before="240"/>
      </w:pPr>
      <w:r>
        <w:rPr>
          <w:rFonts w:ascii="Calibri" w:cs="Calibri" w:eastAsia="Calibri" w:hAnsi="Calibri"/>
          <w:b/>
          <w:bCs/>
          <w:color w:val="193153"/>
          <w:sz w:val="24"/>
          <w:szCs w:val="24"/>
        </w:rPr>
        <w:t xml:space="preserve">Website care</w:t>
      </w:r>
    </w:p>
    <w:p>
      <w:pPr>
        <w:pStyle w:val="ListParagraph"/>
        <w:numPr>
          <w:ilvl w:val="0"/>
          <w:numId w:val="2"/>
        </w:numPr>
        <w:spacing w:after="60" w:line="280"/>
      </w:pPr>
      <w:r>
        <w:rPr>
          <w:rFonts w:ascii="Calibri" w:cs="Calibri" w:eastAsia="Calibri" w:hAnsi="Calibri"/>
          <w:color w:val="333333"/>
          <w:sz w:val="21"/>
          <w:szCs w:val="21"/>
        </w:rPr>
        <w:t xml:space="preserve">WordPress, Elementor and plugin updates, tested on a staging copy first</w:t>
      </w:r>
    </w:p>
    <w:p>
      <w:pPr>
        <w:pStyle w:val="ListParagraph"/>
        <w:numPr>
          <w:ilvl w:val="0"/>
          <w:numId w:val="2"/>
        </w:numPr>
        <w:spacing w:after="60" w:line="280"/>
      </w:pPr>
      <w:r>
        <w:rPr>
          <w:rFonts w:ascii="Calibri" w:cs="Calibri" w:eastAsia="Calibri" w:hAnsi="Calibri"/>
          <w:color w:val="333333"/>
          <w:sz w:val="21"/>
          <w:szCs w:val="21"/>
        </w:rPr>
        <w:t xml:space="preserve">Daily backups, with a restore test every quarter</w:t>
      </w:r>
    </w:p>
    <w:p>
      <w:pPr>
        <w:pStyle w:val="ListParagraph"/>
        <w:numPr>
          <w:ilvl w:val="0"/>
          <w:numId w:val="2"/>
        </w:numPr>
        <w:spacing w:after="60" w:line="280"/>
      </w:pPr>
      <w:r>
        <w:rPr>
          <w:rFonts w:ascii="Calibri" w:cs="Calibri" w:eastAsia="Calibri" w:hAnsi="Calibri"/>
          <w:color w:val="333333"/>
          <w:sz w:val="21"/>
          <w:szCs w:val="21"/>
        </w:rPr>
        <w:t xml:space="preserve">Uptime, SSL and security monitoring</w:t>
      </w:r>
    </w:p>
    <w:p>
      <w:pPr>
        <w:pStyle w:val="ListParagraph"/>
        <w:numPr>
          <w:ilvl w:val="0"/>
          <w:numId w:val="2"/>
        </w:numPr>
        <w:spacing w:after="60" w:line="280"/>
      </w:pPr>
      <w:r>
        <w:rPr>
          <w:rFonts w:ascii="Calibri" w:cs="Calibri" w:eastAsia="Calibri" w:hAnsi="Calibri"/>
          <w:color w:val="333333"/>
          <w:sz w:val="21"/>
          <w:szCs w:val="21"/>
        </w:rPr>
        <w:t xml:space="preserve">Broken link and error checks, with fixes</w:t>
      </w:r>
    </w:p>
    <w:p>
      <w:pPr>
        <w:pStyle w:val="ListParagraph"/>
        <w:numPr>
          <w:ilvl w:val="0"/>
          <w:numId w:val="2"/>
        </w:numPr>
        <w:spacing w:after="60" w:line="280"/>
      </w:pPr>
      <w:r>
        <w:rPr>
          <w:rFonts w:ascii="Calibri" w:cs="Calibri" w:eastAsia="Calibri" w:hAnsi="Calibri"/>
          <w:color w:val="333333"/>
          <w:sz w:val="21"/>
          <w:szCs w:val="21"/>
        </w:rPr>
        <w:t xml:space="preserve">Speed checks</w:t>
      </w:r>
    </w:p>
    <w:p>
      <w:pPr>
        <w:pStyle w:val="ListParagraph"/>
        <w:numPr>
          <w:ilvl w:val="0"/>
          <w:numId w:val="2"/>
        </w:numPr>
        <w:spacing w:after="60" w:line="280"/>
      </w:pPr>
      <w:r>
        <w:rPr>
          <w:rFonts w:ascii="Calibri" w:cs="Calibri" w:eastAsia="Calibri" w:hAnsi="Calibri"/>
          <w:color w:val="333333"/>
          <w:sz w:val="21"/>
          <w:szCs w:val="21"/>
        </w:rPr>
        <w:t xml:space="preserve">A monthly test of the booking pop-up and contact form</w:t>
      </w:r>
    </w:p>
    <w:p>
      <w:pPr>
        <w:pStyle w:val="ListParagraph"/>
        <w:numPr>
          <w:ilvl w:val="0"/>
          <w:numId w:val="2"/>
        </w:numPr>
        <w:spacing w:after="60" w:line="280"/>
      </w:pPr>
      <w:r>
        <w:rPr>
          <w:rFonts w:ascii="Calibri" w:cs="Calibri" w:eastAsia="Calibri" w:hAnsi="Calibri"/>
          <w:color w:val="333333"/>
          <w:sz w:val="21"/>
          <w:szCs w:val="21"/>
        </w:rPr>
        <w:t xml:space="preserve">Small content updates on request (team, events, figures), up to </w:t>
      </w:r>
      <w:r>
        <w:rPr>
          <w:rFonts w:ascii="Calibri" w:cs="Calibri" w:eastAsia="Calibri" w:hAnsi="Calibri"/>
          <w:color w:val="B7791F"/>
          <w:sz w:val="21"/>
          <w:szCs w:val="21"/>
          <w:highlight w:val="yellow"/>
        </w:rPr>
        <w:t xml:space="preserve">[__] hours</w:t>
      </w:r>
      <w:r>
        <w:rPr>
          <w:rFonts w:ascii="Calibri" w:cs="Calibri" w:eastAsia="Calibri" w:hAnsi="Calibri"/>
          <w:color w:val="333333"/>
          <w:sz w:val="21"/>
          <w:szCs w:val="21"/>
        </w:rPr>
        <w:t xml:space="preserve"> a month</w:t>
      </w:r>
    </w:p>
    <w:p>
      <w:pPr>
        <w:pStyle w:val="Heading2"/>
        <w:spacing w:after="100" w:before="240"/>
      </w:pPr>
      <w:r>
        <w:rPr>
          <w:rFonts w:ascii="Calibri" w:cs="Calibri" w:eastAsia="Calibri" w:hAnsi="Calibri"/>
          <w:b/>
          <w:bCs/>
          <w:color w:val="193153"/>
          <w:sz w:val="24"/>
          <w:szCs w:val="24"/>
        </w:rPr>
        <w:t xml:space="preserve">Growth (from Month 4)</w:t>
      </w:r>
    </w:p>
    <w:p>
      <w:pPr>
        <w:pStyle w:val="ListParagraph"/>
        <w:numPr>
          <w:ilvl w:val="0"/>
          <w:numId w:val="2"/>
        </w:numPr>
        <w:spacing w:after="60" w:line="280"/>
      </w:pPr>
      <w:r>
        <w:rPr>
          <w:rFonts w:ascii="Calibri" w:cs="Calibri" w:eastAsia="Calibri" w:hAnsi="Calibri"/>
          <w:color w:val="333333"/>
          <w:sz w:val="21"/>
          <w:szCs w:val="21"/>
        </w:rPr>
        <w:t xml:space="preserve">2 new articles, written from interviews with Premier consultants</w:t>
      </w:r>
    </w:p>
    <w:p>
      <w:pPr>
        <w:pStyle w:val="ListParagraph"/>
        <w:numPr>
          <w:ilvl w:val="0"/>
          <w:numId w:val="2"/>
        </w:numPr>
        <w:spacing w:after="60" w:line="280"/>
      </w:pPr>
      <w:r>
        <w:rPr>
          <w:rFonts w:ascii="Calibri" w:cs="Calibri" w:eastAsia="Calibri" w:hAnsi="Calibri"/>
          <w:color w:val="333333"/>
          <w:sz w:val="21"/>
          <w:szCs w:val="21"/>
        </w:rPr>
        <w:t xml:space="preserve">1 refresh of an existing page or article</w:t>
      </w:r>
    </w:p>
    <w:p>
      <w:pPr>
        <w:pStyle w:val="ListParagraph"/>
        <w:numPr>
          <w:ilvl w:val="0"/>
          <w:numId w:val="2"/>
        </w:numPr>
        <w:spacing w:after="60" w:line="280"/>
      </w:pPr>
      <w:r>
        <w:rPr>
          <w:rFonts w:ascii="Calibri" w:cs="Calibri" w:eastAsia="Calibri" w:hAnsi="Calibri"/>
          <w:color w:val="333333"/>
          <w:sz w:val="21"/>
          <w:szCs w:val="21"/>
        </w:rPr>
        <w:t xml:space="preserve">3–5 new FAQ answers</w:t>
      </w:r>
    </w:p>
    <w:p>
      <w:pPr>
        <w:pStyle w:val="ListParagraph"/>
        <w:numPr>
          <w:ilvl w:val="0"/>
          <w:numId w:val="2"/>
        </w:numPr>
        <w:spacing w:after="60" w:line="280"/>
      </w:pPr>
      <w:r>
        <w:rPr>
          <w:rFonts w:ascii="Calibri" w:cs="Calibri" w:eastAsia="Calibri" w:hAnsi="Calibri"/>
          <w:color w:val="333333"/>
          <w:sz w:val="21"/>
          <w:szCs w:val="21"/>
        </w:rPr>
        <w:t xml:space="preserve">2–3 PR, partner or link outreach efforts</w:t>
      </w:r>
    </w:p>
    <w:p>
      <w:pPr>
        <w:pStyle w:val="ListParagraph"/>
        <w:numPr>
          <w:ilvl w:val="0"/>
          <w:numId w:val="2"/>
        </w:numPr>
        <w:spacing w:after="60" w:line="280"/>
      </w:pPr>
      <w:r>
        <w:rPr>
          <w:rFonts w:ascii="Calibri" w:cs="Calibri" w:eastAsia="Calibri" w:hAnsi="Calibri"/>
          <w:color w:val="333333"/>
          <w:sz w:val="21"/>
          <w:szCs w:val="21"/>
        </w:rPr>
        <w:t xml:space="preserve">2–4 Google Business Profile posts</w:t>
      </w:r>
    </w:p>
    <w:p>
      <w:pPr>
        <w:pStyle w:val="ListParagraph"/>
        <w:numPr>
          <w:ilvl w:val="0"/>
          <w:numId w:val="2"/>
        </w:numPr>
        <w:spacing w:after="60" w:line="280"/>
      </w:pPr>
      <w:r>
        <w:rPr>
          <w:rFonts w:ascii="Calibri" w:cs="Calibri" w:eastAsia="Calibri" w:hAnsi="Calibri"/>
          <w:color w:val="333333"/>
          <w:sz w:val="21"/>
          <w:szCs w:val="21"/>
        </w:rPr>
        <w:t xml:space="preserve">Ranking checks on about 60 keywords, and the 30-question AI visibility check</w:t>
      </w:r>
    </w:p>
    <w:p>
      <w:pPr>
        <w:pStyle w:val="Heading1"/>
        <w:pBdr>
          <w:bottom w:val="single" w:color="F2AF11" w:sz="12" w:space="6"/>
        </w:pBdr>
        <w:spacing w:after="160" w:before="360"/>
      </w:pPr>
      <w:r>
        <w:rPr>
          <w:rFonts w:ascii="Calibri" w:cs="Calibri" w:eastAsia="Calibri" w:hAnsi="Calibri"/>
          <w:b/>
          <w:bCs/>
          <w:color w:val="193153"/>
          <w:sz w:val="32"/>
          <w:szCs w:val="32"/>
        </w:rPr>
        <w:t xml:space="preserve">6. How we will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300"/>
        <w:gridCol w:w="4226"/>
      </w:tblGrid>
      <w:tr>
        <w:trPr>
          <w:cantSplit/>
          <w:tblHeader/>
        </w:trPr>
        <w:tc>
          <w:tcPr>
            <w:tcW w:type="dxa" w:w="25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Report</w:t>
            </w:r>
          </w:p>
        </w:tc>
        <w:tc>
          <w:tcPr>
            <w:tcW w:type="dxa" w:w="23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When</w:t>
            </w:r>
          </w:p>
        </w:tc>
        <w:tc>
          <w:tcPr>
            <w:tcW w:type="dxa" w:w="4226"/>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What it covers</w:t>
            </w:r>
          </w:p>
        </w:tc>
      </w:tr>
      <w:tr>
        <w:trPr>
          <w:cantSplit/>
          <w:tblHeader w:val="off"/>
        </w:trPr>
        <w:tc>
          <w:tcPr>
            <w:tcW w:type="dxa" w:w="25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Monthly report</w:t>
            </w:r>
          </w:p>
        </w:tc>
        <w:tc>
          <w:tcPr>
            <w:tcW w:type="dxa" w:w="23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By the 5th business day of each month</w:t>
            </w:r>
          </w:p>
        </w:tc>
        <w:tc>
          <w:tcPr>
            <w:tcW w:type="dxa" w:w="42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One-page summary, scorecard against targets, AI visibility, site health log, work completed, next month’s priorities, and anything we need from you</w:t>
            </w:r>
          </w:p>
        </w:tc>
      </w:tr>
      <w:tr>
        <w:trPr>
          <w:cantSplit/>
          <w:tblHeader w:val="off"/>
        </w:trPr>
        <w:tc>
          <w:tcPr>
            <w:tcW w:type="dxa" w:w="25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Quarterly review call</w:t>
            </w:r>
          </w:p>
        </w:tc>
        <w:tc>
          <w:tcPr>
            <w:tcW w:type="dxa" w:w="23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Months 3, 6, 9 and 12</w:t>
            </w:r>
          </w:p>
        </w:tc>
        <w:tc>
          <w:tcPr>
            <w:tcW w:type="dxa" w:w="42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30–45 minutes on trends, wins and priorities</w:t>
            </w:r>
          </w:p>
        </w:tc>
      </w:tr>
      <w:tr>
        <w:trPr>
          <w:cantSplit/>
          <w:tblHeader w:val="off"/>
        </w:trPr>
        <w:tc>
          <w:tcPr>
            <w:tcW w:type="dxa" w:w="25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Six-month review</w:t>
            </w:r>
          </w:p>
        </w:tc>
        <w:tc>
          <w:tcPr>
            <w:tcW w:type="dxa" w:w="23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End of Month 6</w:t>
            </w:r>
          </w:p>
        </w:tc>
        <w:tc>
          <w:tcPr>
            <w:tcW w:type="dxa" w:w="42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Formal progress review and the scope for Months 7–12</w:t>
            </w:r>
          </w:p>
        </w:tc>
      </w:tr>
      <w:tr>
        <w:trPr>
          <w:cantSplit/>
          <w:tblHeader w:val="off"/>
        </w:trPr>
        <w:tc>
          <w:tcPr>
            <w:tcW w:type="dxa" w:w="25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Annual report</w:t>
            </w:r>
          </w:p>
        </w:tc>
        <w:tc>
          <w:tcPr>
            <w:tcW w:type="dxa" w:w="23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End of Month 12</w:t>
            </w:r>
          </w:p>
        </w:tc>
        <w:tc>
          <w:tcPr>
            <w:tcW w:type="dxa" w:w="42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Year in review and a Year 2 plan</w:t>
            </w:r>
          </w:p>
        </w:tc>
      </w:tr>
      <w:tr>
        <w:trPr>
          <w:cantSplit/>
          <w:tblHeader w:val="off"/>
        </w:trPr>
        <w:tc>
          <w:tcPr>
            <w:tcW w:type="dxa" w:w="25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Incident notice</w:t>
            </w:r>
          </w:p>
        </w:tc>
        <w:tc>
          <w:tcPr>
            <w:tcW w:type="dxa" w:w="23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Same day</w:t>
            </w:r>
          </w:p>
        </w:tc>
        <w:tc>
          <w:tcPr>
            <w:tcW w:type="dxa" w:w="42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Any downtime, security issue or Google penalty</w:t>
            </w:r>
          </w:p>
        </w:tc>
      </w:tr>
    </w:tbl>
    <w:p>
      <w:pPr>
        <w:spacing w:after="120" w:before="120"/>
      </w:pPr>
      <w:r>
        <w:rPr>
          <w:rFonts w:ascii="Calibri" w:cs="Calibri" w:eastAsia="Calibri" w:hAnsi="Calibri"/>
          <w:color w:val="333333"/>
          <w:sz w:val="21"/>
          <w:szCs w:val="21"/>
        </w:rPr>
        <w:t xml:space="preserve">Every report leads with meetings booked, keeps brand searches separate from new-audience searches, and says plainly when something went down and why.</w:t>
      </w:r>
    </w:p>
    <w:p>
      <w:pPr>
        <w:pStyle w:val="Heading1"/>
        <w:pBdr>
          <w:bottom w:val="single" w:color="F2AF11" w:sz="12" w:space="6"/>
        </w:pBdr>
        <w:spacing w:after="160" w:before="360"/>
      </w:pPr>
      <w:r>
        <w:rPr>
          <w:rFonts w:ascii="Calibri" w:cs="Calibri" w:eastAsia="Calibri" w:hAnsi="Calibri"/>
          <w:b/>
          <w:bCs/>
          <w:color w:val="193153"/>
          <w:sz w:val="32"/>
          <w:szCs w:val="32"/>
        </w:rPr>
        <w:t xml:space="preserve">7. What we need from Premier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6"/>
        <w:gridCol w:w="2000"/>
        <w:gridCol w:w="2200"/>
      </w:tblGrid>
      <w:tr>
        <w:trPr>
          <w:cantSplit/>
          <w:tblHeader/>
        </w:trPr>
        <w:tc>
          <w:tcPr>
            <w:tcW w:type="dxa" w:w="4826"/>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Item</w:t>
            </w:r>
          </w:p>
        </w:tc>
        <w:tc>
          <w:tcPr>
            <w:tcW w:type="dxa" w:w="20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When</w:t>
            </w:r>
          </w:p>
        </w:tc>
        <w:tc>
          <w:tcPr>
            <w:tcW w:type="dxa" w:w="2200"/>
            <w:tcBorders>
              <w:top w:val="single" w:color="D5DAE3" w:sz="4"/>
              <w:left w:val="single" w:color="D5DAE3" w:sz="4"/>
              <w:bottom w:val="single" w:color="D5DAE3" w:sz="4"/>
              <w:right w:val="single" w:color="D5DAE3" w:sz="4"/>
            </w:tcBorders>
            <w:shd w:fill="193153"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9"/>
                <w:szCs w:val="19"/>
              </w:rPr>
              <w:t xml:space="preserve">Why</w:t>
            </w:r>
          </w:p>
        </w:tc>
      </w:tr>
      <w:tr>
        <w:trPr>
          <w:cantSplit/>
          <w:tblHeader w:val="off"/>
        </w:trPr>
        <w:tc>
          <w:tcPr>
            <w:tcW w:type="dxa" w:w="48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Admin access: hosting, WordPress, Search Console, Analytics, Business Profile, HubSpot</w:t>
            </w:r>
          </w:p>
        </w:tc>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Month 1</w:t>
            </w:r>
          </w:p>
        </w:tc>
        <w:tc>
          <w:tcPr>
            <w:tcW w:type="dxa" w:w="22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Needed to measure and fix</w:t>
            </w:r>
          </w:p>
        </w:tc>
      </w:tr>
      <w:tr>
        <w:trPr>
          <w:cantSplit/>
          <w:tblHeader w:val="off"/>
        </w:trPr>
        <w:tc>
          <w:tcPr>
            <w:tcW w:type="dxa" w:w="48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Decision on whether AI companies may use site content to train their models</w:t>
            </w:r>
          </w:p>
        </w:tc>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Month 2</w:t>
            </w:r>
          </w:p>
        </w:tc>
        <w:tc>
          <w:tcPr>
            <w:tcW w:type="dxa" w:w="22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Sets the site’s crawler rules</w:t>
            </w:r>
          </w:p>
        </w:tc>
      </w:tr>
      <w:tr>
        <w:trPr>
          <w:cantSplit/>
          <w:tblHeader w:val="off"/>
        </w:trPr>
        <w:tc>
          <w:tcPr>
            <w:tcW w:type="dxa" w:w="48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Current figures: years in service, families served, consultants</w:t>
            </w:r>
          </w:p>
        </w:tc>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Month 2</w:t>
            </w:r>
          </w:p>
        </w:tc>
        <w:tc>
          <w:tcPr>
            <w:tcW w:type="dxa" w:w="22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Accuracy across the web</w:t>
            </w:r>
          </w:p>
        </w:tc>
      </w:tr>
      <w:tr>
        <w:trPr>
          <w:cantSplit/>
          <w:tblHeader w:val="off"/>
        </w:trPr>
        <w:tc>
          <w:tcPr>
            <w:tcW w:type="dxa" w:w="48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One 45-minute interview with a consultant each month</w:t>
            </w:r>
          </w:p>
        </w:tc>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From Month 3</w:t>
            </w:r>
          </w:p>
        </w:tc>
        <w:tc>
          <w:tcPr>
            <w:tcW w:type="dxa" w:w="22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Real expertise is what ranks and gets cited</w:t>
            </w:r>
          </w:p>
        </w:tc>
      </w:tr>
      <w:tr>
        <w:trPr>
          <w:cantSplit/>
          <w:tblHeader w:val="off"/>
        </w:trPr>
        <w:tc>
          <w:tcPr>
            <w:tcW w:type="dxa" w:w="48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Content approval within 5 business days</w:t>
            </w:r>
          </w:p>
        </w:tc>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Ongoing</w:t>
            </w:r>
          </w:p>
        </w:tc>
        <w:tc>
          <w:tcPr>
            <w:tcW w:type="dxa" w:w="22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Keeps the schedule on track</w:t>
            </w:r>
          </w:p>
        </w:tc>
      </w:tr>
      <w:tr>
        <w:trPr>
          <w:cantSplit/>
          <w:tblHeader w:val="off"/>
        </w:trPr>
        <w:tc>
          <w:tcPr>
            <w:tcW w:type="dxa" w:w="48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An indicative fee range or pricing approach for succession work</w:t>
            </w:r>
          </w:p>
        </w:tc>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By Month 4</w:t>
            </w:r>
          </w:p>
        </w:tc>
        <w:tc>
          <w:tcPr>
            <w:tcW w:type="dxa" w:w="22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The question families ask most</w:t>
            </w:r>
          </w:p>
        </w:tc>
      </w:tr>
      <w:tr>
        <w:trPr>
          <w:cantSplit/>
          <w:tblHeader w:val="off"/>
        </w:trPr>
        <w:tc>
          <w:tcPr>
            <w:tcW w:type="dxa" w:w="48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Event calendar and photos</w:t>
            </w:r>
          </w:p>
        </w:tc>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Ongoing</w:t>
            </w:r>
          </w:p>
        </w:tc>
        <w:tc>
          <w:tcPr>
            <w:tcW w:type="dxa" w:w="22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Event pages and recaps</w:t>
            </w:r>
          </w:p>
        </w:tc>
      </w:tr>
      <w:tr>
        <w:trPr>
          <w:cantSplit/>
          <w:tblHeader w:val="off"/>
        </w:trPr>
        <w:tc>
          <w:tcPr>
            <w:tcW w:type="dxa" w:w="4826"/>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2–3 client stories (anonymised if needed)</w:t>
            </w:r>
          </w:p>
        </w:tc>
        <w:tc>
          <w:tcPr>
            <w:tcW w:type="dxa" w:w="20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By Month 6</w:t>
            </w:r>
          </w:p>
        </w:tc>
        <w:tc>
          <w:tcPr>
            <w:tcW w:type="dxa" w:w="2200"/>
            <w:tcBorders>
              <w:top w:val="single" w:color="D5DAE3" w:sz="4"/>
              <w:left w:val="single" w:color="D5DAE3" w:sz="4"/>
              <w:bottom w:val="single" w:color="D5DAE3" w:sz="4"/>
              <w:right w:val="single" w:color="D5DAE3" w:sz="4"/>
            </w:tcBorders>
            <w:shd w:fill="F0F3F8"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Proof for pages and press</w:t>
            </w:r>
          </w:p>
        </w:tc>
      </w:tr>
      <w:tr>
        <w:trPr>
          <w:cantSplit/>
          <w:tblHeader w:val="off"/>
        </w:trPr>
        <w:tc>
          <w:tcPr>
            <w:tcW w:type="dxa" w:w="48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Help distributing the survey through Premier’s network</w:t>
            </w:r>
          </w:p>
        </w:tc>
        <w:tc>
          <w:tcPr>
            <w:tcW w:type="dxa" w:w="2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Month 7</w:t>
            </w:r>
          </w:p>
        </w:tc>
        <w:tc>
          <w:tcPr>
            <w:tcW w:type="dxa" w:w="22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val="false"/>
                <w:bCs w:val="false"/>
                <w:color w:val="333333"/>
                <w:sz w:val="19"/>
                <w:szCs w:val="19"/>
              </w:rPr>
              <w:t xml:space="preserve">Original research</w:t>
            </w:r>
          </w:p>
        </w:tc>
      </w:tr>
    </w:tbl>
    <w:p>
      <w:pPr>
        <w:pStyle w:val="Heading1"/>
        <w:pBdr>
          <w:bottom w:val="single" w:color="F2AF11" w:sz="12" w:space="6"/>
        </w:pBdr>
        <w:spacing w:after="160" w:before="360"/>
      </w:pPr>
      <w:r>
        <w:rPr>
          <w:rFonts w:ascii="Calibri" w:cs="Calibri" w:eastAsia="Calibri" w:hAnsi="Calibri"/>
          <w:b/>
          <w:bCs/>
          <w:color w:val="193153"/>
          <w:sz w:val="32"/>
          <w:szCs w:val="32"/>
        </w:rPr>
        <w:t xml:space="preserve">8. What we can and cannot promise</w:t>
      </w:r>
    </w:p>
    <w:p>
      <w:pPr>
        <w:pStyle w:val="ListParagraph"/>
        <w:numPr>
          <w:ilvl w:val="0"/>
          <w:numId w:val="2"/>
        </w:numPr>
        <w:spacing w:after="60" w:line="280"/>
      </w:pPr>
      <w:r>
        <w:rPr>
          <w:rFonts w:ascii="Calibri" w:cs="Calibri" w:eastAsia="Calibri" w:hAnsi="Calibri"/>
          <w:b/>
          <w:bCs/>
          <w:color w:val="222222"/>
          <w:sz w:val="21"/>
          <w:szCs w:val="21"/>
        </w:rPr>
        <w:t xml:space="preserve">We commit to </w:t>
      </w:r>
      <w:r>
        <w:rPr>
          <w:rFonts w:ascii="Calibri" w:cs="Calibri" w:eastAsia="Calibri" w:hAnsi="Calibri"/>
          <w:color w:val="333333"/>
          <w:sz w:val="21"/>
          <w:szCs w:val="21"/>
        </w:rPr>
        <w:t xml:space="preserve">the work above, transparent measurement, and an honest monthly report.</w:t>
      </w:r>
    </w:p>
    <w:p>
      <w:pPr>
        <w:pStyle w:val="ListParagraph"/>
        <w:numPr>
          <w:ilvl w:val="0"/>
          <w:numId w:val="2"/>
        </w:numPr>
        <w:spacing w:after="60" w:line="280"/>
      </w:pPr>
      <w:r>
        <w:rPr>
          <w:rFonts w:ascii="Calibri" w:cs="Calibri" w:eastAsia="Calibri" w:hAnsi="Calibri"/>
          <w:b/>
          <w:bCs/>
          <w:color w:val="222222"/>
          <w:sz w:val="21"/>
          <w:szCs w:val="21"/>
        </w:rPr>
        <w:t xml:space="preserve">No one can guarantee </w:t>
      </w:r>
      <w:r>
        <w:rPr>
          <w:rFonts w:ascii="Calibri" w:cs="Calibri" w:eastAsia="Calibri" w:hAnsi="Calibri"/>
          <w:color w:val="333333"/>
          <w:sz w:val="21"/>
          <w:szCs w:val="21"/>
        </w:rPr>
        <w:t xml:space="preserve">a specific Google ranking or AI mention. Google and AI companies change their systems without notice, and AI answers vary day to day, so we read them as a trend.</w:t>
      </w:r>
    </w:p>
    <w:p>
      <w:pPr>
        <w:pStyle w:val="ListParagraph"/>
        <w:numPr>
          <w:ilvl w:val="0"/>
          <w:numId w:val="2"/>
        </w:numPr>
        <w:spacing w:after="60" w:line="280"/>
      </w:pPr>
      <w:r>
        <w:rPr>
          <w:rFonts w:ascii="Calibri" w:cs="Calibri" w:eastAsia="Calibri" w:hAnsi="Calibri"/>
          <w:b/>
          <w:bCs/>
          <w:color w:val="222222"/>
          <w:sz w:val="21"/>
          <w:szCs w:val="21"/>
        </w:rPr>
        <w:t xml:space="preserve">Search volume in this niche is modest. </w:t>
      </w:r>
      <w:r>
        <w:rPr>
          <w:rFonts w:ascii="Calibri" w:cs="Calibri" w:eastAsia="Calibri" w:hAnsi="Calibri"/>
          <w:color w:val="333333"/>
          <w:sz w:val="21"/>
          <w:szCs w:val="21"/>
        </w:rPr>
        <w:t xml:space="preserve">Some key searches happen tens of times a month, not thousands. We judge success by qualified conversations, not raw traffic.</w:t>
      </w:r>
    </w:p>
    <w:p>
      <w:pPr>
        <w:pStyle w:val="ListParagraph"/>
        <w:numPr>
          <w:ilvl w:val="0"/>
          <w:numId w:val="2"/>
        </w:numPr>
        <w:spacing w:after="60" w:line="280"/>
      </w:pPr>
      <w:r>
        <w:rPr>
          <w:rFonts w:ascii="Calibri" w:cs="Calibri" w:eastAsia="Calibri" w:hAnsi="Calibri"/>
          <w:b/>
          <w:bCs/>
          <w:color w:val="222222"/>
          <w:sz w:val="21"/>
          <w:szCs w:val="21"/>
        </w:rPr>
        <w:t xml:space="preserve">SEO compounds. </w:t>
      </w:r>
      <w:r>
        <w:rPr>
          <w:rFonts w:ascii="Calibri" w:cs="Calibri" w:eastAsia="Calibri" w:hAnsi="Calibri"/>
          <w:color w:val="333333"/>
          <w:sz w:val="21"/>
          <w:szCs w:val="21"/>
        </w:rPr>
        <w:t xml:space="preserve">Months 1–3 build foundations; most visible gains come from Month 4 onward and keep growing after Month 12.</w:t>
      </w:r>
    </w:p>
    <w:p>
      <w:pPr>
        <w:pStyle w:val="Heading1"/>
        <w:pBdr>
          <w:bottom w:val="single" w:color="F2AF11" w:sz="12" w:space="6"/>
        </w:pBdr>
        <w:spacing w:after="160" w:before="360"/>
      </w:pPr>
      <w:r>
        <w:rPr>
          <w:rFonts w:ascii="Calibri" w:cs="Calibri" w:eastAsia="Calibri" w:hAnsi="Calibri"/>
          <w:b/>
          <w:bCs/>
          <w:color w:val="193153"/>
          <w:sz w:val="32"/>
          <w:szCs w:val="32"/>
        </w:rPr>
        <w:t xml:space="preserve">9. Investment and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val="off"/>
        </w:trPr>
        <w:tc>
          <w:tcPr>
            <w:tcW w:type="dxa" w:w="3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Monthly retainer</w:t>
            </w:r>
          </w:p>
        </w:tc>
        <w:tc>
          <w:tcPr>
            <w:tcW w:type="dxa" w:w="6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[PHP ______ per month]</w:t>
            </w:r>
          </w:p>
        </w:tc>
      </w:tr>
      <w:tr>
        <w:trPr>
          <w:cantSplit/>
          <w:tblHeader w:val="off"/>
        </w:trPr>
        <w:tc>
          <w:tcPr>
            <w:tcW w:type="dxa" w:w="3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Term</w:t>
            </w:r>
          </w:p>
        </w:tc>
        <w:tc>
          <w:tcPr>
            <w:tcW w:type="dxa" w:w="6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[6 months core, from ______ ]</w:t>
            </w:r>
            <w:r>
              <w:rPr>
                <w:rFonts w:ascii="Calibri" w:cs="Calibri" w:eastAsia="Calibri" w:hAnsi="Calibri"/>
                <w:color w:val="333333"/>
                <w:sz w:val="19"/>
                <w:szCs w:val="19"/>
              </w:rPr>
              <w:t xml:space="preserve">, with an optional 6-month extension agreed at the Month 6 review</w:t>
            </w:r>
          </w:p>
        </w:tc>
      </w:tr>
      <w:tr>
        <w:trPr>
          <w:cantSplit/>
          <w:tblHeader w:val="off"/>
        </w:trPr>
        <w:tc>
          <w:tcPr>
            <w:tcW w:type="dxa" w:w="3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Included hours</w:t>
            </w:r>
          </w:p>
        </w:tc>
        <w:tc>
          <w:tcPr>
            <w:tcW w:type="dxa" w:w="6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[__ hours per month]</w:t>
            </w:r>
          </w:p>
        </w:tc>
      </w:tr>
      <w:tr>
        <w:trPr>
          <w:cantSplit/>
          <w:tblHeader w:val="off"/>
        </w:trPr>
        <w:tc>
          <w:tcPr>
            <w:tcW w:type="dxa" w:w="3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Not included</w:t>
            </w:r>
          </w:p>
        </w:tc>
        <w:tc>
          <w:tcPr>
            <w:tcW w:type="dxa" w:w="6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[e.g. paid advertising, photography, new page design, third-party tool subscriptions]</w:t>
            </w:r>
          </w:p>
        </w:tc>
      </w:tr>
      <w:tr>
        <w:trPr>
          <w:cantSplit/>
          <w:tblHeader w:val="off"/>
        </w:trPr>
        <w:tc>
          <w:tcPr>
            <w:tcW w:type="dxa" w:w="3000"/>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333333"/>
                <w:sz w:val="19"/>
                <w:szCs w:val="19"/>
              </w:rPr>
              <w:t xml:space="preserve">Payment terms</w:t>
            </w:r>
          </w:p>
        </w:tc>
        <w:tc>
          <w:tcPr>
            <w:tcW w:type="dxa" w:w="6026"/>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B7791F"/>
                <w:sz w:val="21"/>
                <w:szCs w:val="21"/>
                <w:highlight w:val="yellow"/>
              </w:rPr>
              <w:t xml:space="preserve">[e.g. monthly in advance, 15 days]</w:t>
            </w:r>
          </w:p>
        </w:tc>
      </w:tr>
    </w:tbl>
    <w:p>
      <w:pPr>
        <w:spacing w:after="80"/>
      </w:pPr>
    </w:p>
    <w:p>
      <w:pPr>
        <w:pStyle w:val="Heading2"/>
        <w:spacing w:after="100" w:before="240"/>
      </w:pPr>
      <w:r>
        <w:rPr>
          <w:rFonts w:ascii="Calibri" w:cs="Calibri" w:eastAsia="Calibri" w:hAnsi="Calibri"/>
          <w:b/>
          <w:bCs/>
          <w:color w:val="193153"/>
          <w:sz w:val="24"/>
          <w:szCs w:val="24"/>
        </w:rPr>
        <w:t xml:space="preserve">To get started</w:t>
      </w:r>
    </w:p>
    <w:p>
      <w:pPr>
        <w:pStyle w:val="ListParagraph"/>
        <w:numPr>
          <w:ilvl w:val="0"/>
          <w:numId w:val="3"/>
        </w:numPr>
        <w:spacing w:after="60"/>
      </w:pPr>
      <w:r>
        <w:rPr>
          <w:rFonts w:ascii="Calibri" w:cs="Calibri" w:eastAsia="Calibri" w:hAnsi="Calibri"/>
          <w:color w:val="333333"/>
          <w:sz w:val="21"/>
          <w:szCs w:val="21"/>
        </w:rPr>
        <w:t xml:space="preserve">Approve this plan and the retainer terms.</w:t>
      </w:r>
    </w:p>
    <w:p>
      <w:pPr>
        <w:pStyle w:val="ListParagraph"/>
        <w:numPr>
          <w:ilvl w:val="0"/>
          <w:numId w:val="3"/>
        </w:numPr>
        <w:spacing w:after="60"/>
      </w:pPr>
      <w:r>
        <w:rPr>
          <w:rFonts w:ascii="Calibri" w:cs="Calibri" w:eastAsia="Calibri" w:hAnsi="Calibri"/>
          <w:color w:val="333333"/>
          <w:sz w:val="21"/>
          <w:szCs w:val="21"/>
        </w:rPr>
        <w:t xml:space="preserve">Share the access listed in section 7.</w:t>
      </w:r>
    </w:p>
    <w:p>
      <w:pPr>
        <w:pStyle w:val="ListParagraph"/>
        <w:numPr>
          <w:ilvl w:val="0"/>
          <w:numId w:val="3"/>
        </w:numPr>
        <w:spacing w:after="60"/>
      </w:pPr>
      <w:r>
        <w:rPr>
          <w:rFonts w:ascii="Calibri" w:cs="Calibri" w:eastAsia="Calibri" w:hAnsi="Calibri"/>
          <w:color w:val="333333"/>
          <w:sz w:val="21"/>
          <w:szCs w:val="21"/>
        </w:rPr>
        <w:t xml:space="preserve">Book a 30-minute kickoff call. The Month 1 baseline report follows within the first month.</w:t>
      </w:r>
    </w:p>
    <w:p>
      <w:pPr>
        <w:spacing w:after="80"/>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val="off"/>
        </w:trPr>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Approved for Premier Family Business Consulting, Inc.</w:t>
            </w:r>
          </w:p>
        </w:tc>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222222"/>
                <w:sz w:val="21"/>
                <w:szCs w:val="21"/>
              </w:rPr>
              <w:t xml:space="preserve">Prepared by</w:t>
            </w:r>
          </w:p>
        </w:tc>
      </w:tr>
      <w:tr>
        <w:trPr>
          <w:cantSplit/>
          <w:tblHeader w:val="off"/>
        </w:trPr>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Name: ____________________________</w:t>
            </w:r>
          </w:p>
        </w:tc>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Name: ____________________________</w:t>
            </w:r>
          </w:p>
        </w:tc>
      </w:tr>
      <w:tr>
        <w:trPr>
          <w:cantSplit/>
          <w:tblHeader w:val="off"/>
        </w:trPr>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Signature: ________________________</w:t>
            </w:r>
          </w:p>
        </w:tc>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Signature: ________________________</w:t>
            </w:r>
          </w:p>
        </w:tc>
      </w:tr>
      <w:tr>
        <w:trPr>
          <w:cantSplit/>
          <w:tblHeader w:val="off"/>
        </w:trPr>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Date: _____________________________</w:t>
            </w:r>
          </w:p>
        </w:tc>
        <w:tc>
          <w:tcPr>
            <w:tcW w:type="dxa" w:w="4513"/>
            <w:tcBorders>
              <w:top w:val="single" w:color="D5DAE3" w:sz="4"/>
              <w:left w:val="single" w:color="D5DAE3" w:sz="4"/>
              <w:bottom w:val="single" w:color="D5DAE3" w:sz="4"/>
              <w:right w:val="single" w:color="D5DAE3" w:sz="4"/>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sz w:val="19"/>
                <w:szCs w:val="19"/>
              </w:rPr>
              <w:t xml:space="preserve">Date: _____________________________</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4A6"/>
        <w:sz w:val="16"/>
        <w:szCs w:val="16"/>
      </w:rPr>
      <w:t xml:space="preserve">Page </w:t>
    </w:r>
    <w:r>
      <w:rPr>
        <w:rFonts w:ascii="Calibri" w:cs="Calibri" w:eastAsia="Calibri" w:hAnsi="Calibri"/>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4A6"/>
        <w:sz w:val="16"/>
        <w:szCs w:val="16"/>
      </w:rPr>
      <w:t xml:space="preserve">Premier Family Business Consulting  |  SEO &amp; AEO Growth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F2AF11"/>
      </w:r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4fa7f788fcc1c2e296db03fbef68c2a63e4b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 Family Business Consulting: SEO &amp; AEO Growth Plan</dc:title>
  <dc:creator>SEO &amp; AEO Growth Plan</dc:creator>
  <cp:lastModifiedBy>Un-named</cp:lastModifiedBy>
  <cp:revision>1</cp:revision>
  <dcterms:created xsi:type="dcterms:W3CDTF">2026-09-29T21:41:24.365Z</dcterms:created>
  <dcterms:modified xsi:type="dcterms:W3CDTF">2026-09-29T21:41:24.365Z</dcterms:modified>
</cp:coreProperties>
</file>

<file path=docProps/custom.xml><?xml version="1.0" encoding="utf-8"?>
<Properties xmlns="http://schemas.openxmlformats.org/officeDocument/2006/custom-properties" xmlns:vt="http://schemas.openxmlformats.org/officeDocument/2006/docPropsVTypes"/>
</file>