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1F73" w:rsidRDefault="00381F73" w:rsidP="00381F73">
      <w:pPr>
        <w:pStyle w:val="Heading1"/>
        <w:jc w:val="center"/>
      </w:pPr>
    </w:p>
    <w:p w:rsidR="00381F73" w:rsidRDefault="00381F73" w:rsidP="00381F73">
      <w:pPr>
        <w:pStyle w:val="Heading1"/>
        <w:jc w:val="center"/>
      </w:pPr>
    </w:p>
    <w:p w:rsidR="00381F73" w:rsidRDefault="00381F73" w:rsidP="00381F73">
      <w:pPr>
        <w:pStyle w:val="Heading1"/>
        <w:jc w:val="center"/>
      </w:pPr>
    </w:p>
    <w:p w:rsidR="00381F73" w:rsidRDefault="00381F73" w:rsidP="00381F73">
      <w:pPr>
        <w:pStyle w:val="Heading1"/>
        <w:jc w:val="center"/>
      </w:pPr>
    </w:p>
    <w:p w:rsidR="00381F73" w:rsidRDefault="00381F73" w:rsidP="00381F73">
      <w:pPr>
        <w:pStyle w:val="Heading1"/>
        <w:jc w:val="center"/>
      </w:pPr>
      <w:r>
        <w:t>MIDDLE EAST TECHNICAL UNIVERSITY</w:t>
      </w:r>
    </w:p>
    <w:p w:rsidR="00381F73" w:rsidRDefault="00381F73" w:rsidP="00381F73">
      <w:pPr>
        <w:pStyle w:val="Heading1"/>
      </w:pPr>
      <w:r>
        <w:t>DEPARTMENT OF ELECTRICAL AND ELECTRONICS ENGINEERING</w:t>
      </w:r>
    </w:p>
    <w:p w:rsidR="00381F73" w:rsidRDefault="00381F73" w:rsidP="00381F73">
      <w:pPr>
        <w:pStyle w:val="Heading1"/>
        <w:jc w:val="center"/>
      </w:pPr>
      <w:r>
        <w:t>EE 564: DESIGN OF ELECTRICAL MACHINES</w:t>
      </w:r>
    </w:p>
    <w:p w:rsidR="00381F73" w:rsidRDefault="00381F73" w:rsidP="00381F73">
      <w:pPr>
        <w:pStyle w:val="Heading1"/>
        <w:jc w:val="center"/>
      </w:pPr>
      <w:r>
        <w:t>PROJECT – 2</w:t>
      </w:r>
    </w:p>
    <w:p w:rsidR="00381F73" w:rsidRDefault="00381F73" w:rsidP="00381F73"/>
    <w:p w:rsidR="00381F73" w:rsidRDefault="00381F73" w:rsidP="00381F73"/>
    <w:p w:rsidR="00381F73" w:rsidRDefault="00381F73" w:rsidP="00381F73"/>
    <w:p w:rsidR="00381F73" w:rsidRDefault="00381F73" w:rsidP="00381F73"/>
    <w:p w:rsidR="00381F73" w:rsidRDefault="00381F73" w:rsidP="00381F73"/>
    <w:p w:rsidR="00381F73" w:rsidRDefault="00381F73" w:rsidP="00381F73">
      <w:pPr>
        <w:pStyle w:val="Heading2"/>
      </w:pPr>
      <w:r>
        <w:t>Göksenin Hande Bayazıt – 2093441</w:t>
      </w:r>
    </w:p>
    <w:p w:rsidR="00381F73" w:rsidRDefault="00381F73" w:rsidP="00381F73">
      <w:pPr>
        <w:pStyle w:val="Heading2"/>
      </w:pPr>
      <w:r>
        <w:t xml:space="preserve">Submission Date: </w:t>
      </w:r>
    </w:p>
    <w:p w:rsidR="00381F73" w:rsidRDefault="00381F73">
      <w:pPr>
        <w:spacing w:before="0" w:line="259" w:lineRule="auto"/>
        <w:jc w:val="left"/>
      </w:pPr>
      <w:r>
        <w:br w:type="page"/>
      </w:r>
    </w:p>
    <w:p w:rsidR="00381F73" w:rsidRDefault="00381F73" w:rsidP="00381F73">
      <w:pPr>
        <w:pStyle w:val="Heading1"/>
      </w:pPr>
      <w:r>
        <w:lastRenderedPageBreak/>
        <w:t>Introduction:</w:t>
      </w:r>
    </w:p>
    <w:p w:rsidR="00381F73" w:rsidRDefault="00381F73" w:rsidP="00381F73">
      <w:pPr>
        <w:ind w:firstLine="720"/>
      </w:pPr>
      <w:r w:rsidRPr="00381F73">
        <w:t>In the scope of this project, a PM synchronous machine with a diameter of 240 mm is designed, as a part of design of an integrated modular motor drive system. Considering the previous design with the larger outer diameter, in this iteration, aspect ratio will be increased as the diameter becomes smaller with same output power (and torque). Motor parameters will be analyzed in detail using both analytical calculation techniques and computational tools.</w:t>
      </w:r>
    </w:p>
    <w:p w:rsidR="00381F73" w:rsidRDefault="00381F73" w:rsidP="00381F73"/>
    <w:p w:rsidR="00381F73" w:rsidRDefault="00381F73" w:rsidP="00381F73">
      <w:pPr>
        <w:pStyle w:val="Heading1"/>
      </w:pPr>
      <w:r>
        <w:t>Winding Design:</w:t>
      </w:r>
    </w:p>
    <w:p w:rsidR="002F2C4B" w:rsidRDefault="002F2C4B" w:rsidP="002F2C4B">
      <w:pPr>
        <w:ind w:firstLine="720"/>
      </w:pPr>
      <w:r>
        <w:t>Basic properties of the motor may be summarized as follows:</w:t>
      </w:r>
    </w:p>
    <w:p w:rsidR="002F2C4B" w:rsidRDefault="002F2C4B" w:rsidP="002F2C4B">
      <w:pPr>
        <w:pStyle w:val="ListParagraph"/>
        <w:numPr>
          <w:ilvl w:val="0"/>
          <w:numId w:val="1"/>
        </w:numPr>
      </w:pPr>
      <w:r>
        <w:t>Number of slots: 24</w:t>
      </w:r>
    </w:p>
    <w:p w:rsidR="002F2C4B" w:rsidRDefault="002F2C4B" w:rsidP="002F2C4B">
      <w:pPr>
        <w:pStyle w:val="ListParagraph"/>
        <w:numPr>
          <w:ilvl w:val="0"/>
          <w:numId w:val="1"/>
        </w:numPr>
      </w:pPr>
      <w:r>
        <w:t>Number of poles: 20</w:t>
      </w:r>
    </w:p>
    <w:p w:rsidR="002F2C4B" w:rsidRDefault="002F2C4B" w:rsidP="002F2C4B">
      <w:pPr>
        <w:pStyle w:val="ListParagraph"/>
        <w:numPr>
          <w:ilvl w:val="0"/>
          <w:numId w:val="1"/>
        </w:numPr>
      </w:pPr>
      <w:r>
        <w:t>Stator outer diameter: 240 mm</w:t>
      </w:r>
    </w:p>
    <w:p w:rsidR="002F2C4B" w:rsidRDefault="002F2C4B" w:rsidP="002F2C4B">
      <w:pPr>
        <w:pStyle w:val="ListParagraph"/>
        <w:numPr>
          <w:ilvl w:val="0"/>
          <w:numId w:val="1"/>
        </w:numPr>
      </w:pPr>
      <w:r>
        <w:t xml:space="preserve">Stator </w:t>
      </w:r>
      <w:r>
        <w:t>inn</w:t>
      </w:r>
      <w:r>
        <w:t>er diameter:</w:t>
      </w:r>
      <w:r>
        <w:t xml:space="preserve"> 150 mm</w:t>
      </w:r>
    </w:p>
    <w:p w:rsidR="002F2C4B" w:rsidRDefault="002F2C4B" w:rsidP="002F2C4B">
      <w:pPr>
        <w:pStyle w:val="ListParagraph"/>
        <w:numPr>
          <w:ilvl w:val="0"/>
          <w:numId w:val="1"/>
        </w:numPr>
      </w:pPr>
      <w:r>
        <w:t>Ro</w:t>
      </w:r>
      <w:r>
        <w:t>tor outer diameter:</w:t>
      </w:r>
      <w:r>
        <w:t xml:space="preserve"> 147 mm</w:t>
      </w:r>
    </w:p>
    <w:p w:rsidR="002F2C4B" w:rsidRDefault="002F2C4B" w:rsidP="002F2C4B">
      <w:pPr>
        <w:pStyle w:val="ListParagraph"/>
        <w:numPr>
          <w:ilvl w:val="0"/>
          <w:numId w:val="1"/>
        </w:numPr>
      </w:pPr>
      <w:r>
        <w:t>Ro</w:t>
      </w:r>
      <w:r>
        <w:t xml:space="preserve">tor </w:t>
      </w:r>
      <w:r>
        <w:t>inn</w:t>
      </w:r>
      <w:r>
        <w:t>er diameter:</w:t>
      </w:r>
      <w:r>
        <w:t xml:space="preserve"> 120 mm</w:t>
      </w:r>
    </w:p>
    <w:p w:rsidR="002F2C4B" w:rsidRDefault="002F2C4B" w:rsidP="002F2C4B">
      <w:pPr>
        <w:pStyle w:val="ListParagraph"/>
        <w:numPr>
          <w:ilvl w:val="0"/>
          <w:numId w:val="1"/>
        </w:numPr>
      </w:pPr>
      <w:r>
        <w:t>Magnet thickness (included in rotor diameter): 4.5 mm</w:t>
      </w:r>
    </w:p>
    <w:p w:rsidR="002F2C4B" w:rsidRDefault="002F2C4B" w:rsidP="002F2C4B">
      <w:pPr>
        <w:pStyle w:val="ListParagraph"/>
        <w:numPr>
          <w:ilvl w:val="0"/>
          <w:numId w:val="1"/>
        </w:numPr>
      </w:pPr>
      <w:r>
        <w:t>Airgap: 1.5 mm</w:t>
      </w:r>
    </w:p>
    <w:p w:rsidR="002F2C4B" w:rsidRDefault="002F2C4B" w:rsidP="002F2C4B">
      <w:pPr>
        <w:ind w:left="720"/>
      </w:pPr>
      <w:r>
        <w:t>Slot dimensions are given in Figure 1, below:</w:t>
      </w:r>
    </w:p>
    <w:p w:rsidR="002F2C4B" w:rsidRPr="00381F73" w:rsidRDefault="002F2C4B" w:rsidP="002F2C4B">
      <w:pPr>
        <w:ind w:left="720"/>
        <w:jc w:val="center"/>
      </w:pPr>
      <w:r>
        <w:rPr>
          <w:noProof/>
        </w:rPr>
        <w:drawing>
          <wp:inline distT="0" distB="0" distL="0" distR="0">
            <wp:extent cx="3025140" cy="171853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ot.PNG"/>
                    <pic:cNvPicPr/>
                  </pic:nvPicPr>
                  <pic:blipFill>
                    <a:blip r:embed="rId8">
                      <a:extLst>
                        <a:ext uri="{28A0092B-C50C-407E-A947-70E740481C1C}">
                          <a14:useLocalDpi xmlns:a14="http://schemas.microsoft.com/office/drawing/2010/main" val="0"/>
                        </a:ext>
                      </a:extLst>
                    </a:blip>
                    <a:stretch>
                      <a:fillRect/>
                    </a:stretch>
                  </pic:blipFill>
                  <pic:spPr>
                    <a:xfrm>
                      <a:off x="0" y="0"/>
                      <a:ext cx="3068618" cy="1743236"/>
                    </a:xfrm>
                    <a:prstGeom prst="rect">
                      <a:avLst/>
                    </a:prstGeom>
                  </pic:spPr>
                </pic:pic>
              </a:graphicData>
            </a:graphic>
          </wp:inline>
        </w:drawing>
      </w:r>
    </w:p>
    <w:p w:rsidR="00381F73" w:rsidRDefault="002F2C4B" w:rsidP="002F2C4B">
      <w:pPr>
        <w:jc w:val="center"/>
      </w:pPr>
      <w:r>
        <w:t>Figure 1: Slot Dimensions</w:t>
      </w:r>
    </w:p>
    <w:p w:rsidR="002F2C4B" w:rsidRDefault="002F2C4B" w:rsidP="002F2C4B">
      <w:r>
        <w:lastRenderedPageBreak/>
        <w:t xml:space="preserve">Slot dimension may be approximated to a </w:t>
      </w:r>
      <w:proofErr w:type="gramStart"/>
      <w:r>
        <w:t>trapezoid,</w:t>
      </w:r>
      <w:proofErr w:type="gramEnd"/>
      <w:r>
        <w:t xml:space="preserve"> therefore slot area may be found as:</w:t>
      </w:r>
    </w:p>
    <w:p w:rsidR="002F2C4B" w:rsidRPr="003F21CF" w:rsidRDefault="002F2C4B" w:rsidP="002F2C4B">
      <w:pPr>
        <w:rPr>
          <w:rFonts w:eastAsiaTheme="minorEastAsia"/>
        </w:rPr>
      </w:pPr>
      <m:oMathPara>
        <m:oMath>
          <m:r>
            <w:rPr>
              <w:rFonts w:ascii="Cambria Math" w:hAnsi="Cambria Math"/>
            </w:rPr>
            <m:t>A=</m:t>
          </m:r>
          <m:f>
            <m:fPr>
              <m:ctrlPr>
                <w:rPr>
                  <w:rFonts w:ascii="Cambria Math" w:hAnsi="Cambria Math"/>
                  <w:i/>
                </w:rPr>
              </m:ctrlPr>
            </m:fPr>
            <m:num>
              <m:r>
                <w:rPr>
                  <w:rFonts w:ascii="Cambria Math" w:hAnsi="Cambria Math"/>
                </w:rPr>
                <m:t>Bs1+Bs2</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Hs1+Hs2</m:t>
              </m:r>
            </m:e>
          </m:d>
          <m:r>
            <w:rPr>
              <w:rFonts w:ascii="Cambria Math" w:hAnsi="Cambria Math"/>
            </w:rPr>
            <m:t>=</m:t>
          </m:r>
          <m:f>
            <m:fPr>
              <m:ctrlPr>
                <w:rPr>
                  <w:rFonts w:ascii="Cambria Math" w:hAnsi="Cambria Math"/>
                  <w:i/>
                </w:rPr>
              </m:ctrlPr>
            </m:fPr>
            <m:num>
              <m:r>
                <w:rPr>
                  <w:rFonts w:ascii="Cambria Math" w:hAnsi="Cambria Math"/>
                </w:rPr>
                <m:t>11+17.5</m:t>
              </m:r>
            </m:num>
            <m:den>
              <m:r>
                <w:rPr>
                  <w:rFonts w:ascii="Cambria Math" w:hAnsi="Cambria Math"/>
                </w:rPr>
                <m:t>2</m:t>
              </m:r>
            </m:den>
          </m:f>
          <m:r>
            <w:rPr>
              <w:rFonts w:ascii="Cambria Math" w:hAnsi="Cambria Math"/>
            </w:rPr>
            <m:t>*31=441.75 m</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p w:rsidR="003F21CF" w:rsidRDefault="003F21CF" w:rsidP="002F2C4B"/>
    <w:p w:rsidR="003F21CF" w:rsidRDefault="003F21CF" w:rsidP="002F2C4B">
      <w:r>
        <w:t>Lamination type and appearance is provided in Figure 2.</w:t>
      </w:r>
    </w:p>
    <w:p w:rsidR="003F21CF" w:rsidRDefault="003F21CF" w:rsidP="002F2C4B"/>
    <w:p w:rsidR="003F21CF" w:rsidRDefault="003F21CF" w:rsidP="003F21CF">
      <w:pPr>
        <w:jc w:val="center"/>
      </w:pPr>
      <w:r>
        <w:rPr>
          <w:noProof/>
        </w:rPr>
        <w:drawing>
          <wp:inline distT="0" distB="0" distL="0" distR="0">
            <wp:extent cx="4183380" cy="341500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mination.PNG"/>
                    <pic:cNvPicPr/>
                  </pic:nvPicPr>
                  <pic:blipFill>
                    <a:blip r:embed="rId9">
                      <a:extLst>
                        <a:ext uri="{28A0092B-C50C-407E-A947-70E740481C1C}">
                          <a14:useLocalDpi xmlns:a14="http://schemas.microsoft.com/office/drawing/2010/main" val="0"/>
                        </a:ext>
                      </a:extLst>
                    </a:blip>
                    <a:stretch>
                      <a:fillRect/>
                    </a:stretch>
                  </pic:blipFill>
                  <pic:spPr>
                    <a:xfrm>
                      <a:off x="0" y="0"/>
                      <a:ext cx="4203855" cy="3431717"/>
                    </a:xfrm>
                    <a:prstGeom prst="rect">
                      <a:avLst/>
                    </a:prstGeom>
                  </pic:spPr>
                </pic:pic>
              </a:graphicData>
            </a:graphic>
          </wp:inline>
        </w:drawing>
      </w:r>
    </w:p>
    <w:p w:rsidR="003F21CF" w:rsidRDefault="003F21CF" w:rsidP="003F21CF">
      <w:pPr>
        <w:jc w:val="center"/>
      </w:pPr>
      <w:r>
        <w:t xml:space="preserve">Figure 2: Stator Lamination </w:t>
      </w:r>
    </w:p>
    <w:p w:rsidR="003F21CF" w:rsidRDefault="003F21CF" w:rsidP="003F21CF">
      <w:pPr>
        <w:jc w:val="center"/>
      </w:pPr>
    </w:p>
    <w:p w:rsidR="003F21CF" w:rsidRDefault="00B115DD" w:rsidP="00B115DD">
      <w:pPr>
        <w:pStyle w:val="Heading2"/>
      </w:pPr>
      <w:r>
        <w:t>Winding Configuration:</w:t>
      </w:r>
    </w:p>
    <w:p w:rsidR="00B115DD" w:rsidRDefault="00B115DD" w:rsidP="00B115DD">
      <w:r>
        <w:t>The machine will have a fractional slot, double layer winding.</w:t>
      </w:r>
    </w:p>
    <w:p w:rsidR="00B115DD" w:rsidRPr="00B115DD" w:rsidRDefault="00B115DD" w:rsidP="00B115DD">
      <w:pPr>
        <w:rPr>
          <w:rFonts w:eastAsiaTheme="minorEastAsia"/>
        </w:rPr>
      </w:pPr>
      <m:oMathPara>
        <m:oMath>
          <m:r>
            <w:rPr>
              <w:rFonts w:ascii="Cambria Math" w:hAnsi="Cambria Math"/>
            </w:rPr>
            <m:t>q=</m:t>
          </m:r>
          <m:f>
            <m:fPr>
              <m:ctrlPr>
                <w:rPr>
                  <w:rFonts w:ascii="Cambria Math" w:hAnsi="Cambria Math"/>
                  <w:i/>
                </w:rPr>
              </m:ctrlPr>
            </m:fPr>
            <m:num>
              <m:r>
                <w:rPr>
                  <w:rFonts w:ascii="Cambria Math" w:hAnsi="Cambria Math"/>
                </w:rPr>
                <m:t>Q</m:t>
              </m:r>
            </m:num>
            <m:den>
              <m:r>
                <w:rPr>
                  <w:rFonts w:ascii="Cambria Math" w:hAnsi="Cambria Math"/>
                </w:rPr>
                <m:t>p*n</m:t>
              </m:r>
            </m:den>
          </m:f>
          <m:r>
            <w:rPr>
              <w:rFonts w:ascii="Cambria Math" w:hAnsi="Cambria Math"/>
            </w:rPr>
            <m:t>=</m:t>
          </m:r>
          <m:f>
            <m:fPr>
              <m:ctrlPr>
                <w:rPr>
                  <w:rFonts w:ascii="Cambria Math" w:hAnsi="Cambria Math"/>
                  <w:i/>
                </w:rPr>
              </m:ctrlPr>
            </m:fPr>
            <m:num>
              <m:r>
                <w:rPr>
                  <w:rFonts w:ascii="Cambria Math" w:hAnsi="Cambria Math"/>
                </w:rPr>
                <m:t>24</m:t>
              </m:r>
            </m:num>
            <m:den>
              <m:r>
                <w:rPr>
                  <w:rFonts w:ascii="Cambria Math" w:hAnsi="Cambria Math"/>
                </w:rPr>
                <m:t>3*20</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oMath>
      </m:oMathPara>
    </w:p>
    <w:p w:rsidR="00B115DD" w:rsidRDefault="00B115DD" w:rsidP="00B115DD"/>
    <w:p w:rsidR="00B115DD" w:rsidRDefault="00B115DD" w:rsidP="00B115DD"/>
    <w:p w:rsidR="00B115DD" w:rsidRDefault="00B115DD" w:rsidP="00B115DD">
      <w:r>
        <w:lastRenderedPageBreak/>
        <w:t>Winding configuration:</w:t>
      </w:r>
    </w:p>
    <w:tbl>
      <w:tblPr>
        <w:tblW w:w="9782" w:type="dxa"/>
        <w:tblLook w:val="04A0" w:firstRow="1" w:lastRow="0" w:firstColumn="1" w:lastColumn="0" w:noHBand="0" w:noVBand="1"/>
      </w:tblPr>
      <w:tblGrid>
        <w:gridCol w:w="421"/>
        <w:gridCol w:w="390"/>
        <w:gridCol w:w="420"/>
        <w:gridCol w:w="409"/>
        <w:gridCol w:w="412"/>
        <w:gridCol w:w="389"/>
        <w:gridCol w:w="412"/>
        <w:gridCol w:w="420"/>
        <w:gridCol w:w="409"/>
        <w:gridCol w:w="389"/>
        <w:gridCol w:w="409"/>
        <w:gridCol w:w="412"/>
        <w:gridCol w:w="420"/>
        <w:gridCol w:w="389"/>
        <w:gridCol w:w="420"/>
        <w:gridCol w:w="409"/>
        <w:gridCol w:w="412"/>
        <w:gridCol w:w="389"/>
        <w:gridCol w:w="412"/>
        <w:gridCol w:w="420"/>
        <w:gridCol w:w="409"/>
        <w:gridCol w:w="389"/>
        <w:gridCol w:w="409"/>
        <w:gridCol w:w="412"/>
      </w:tblGrid>
      <w:tr w:rsidR="00B115DD" w:rsidRPr="00B115DD" w:rsidTr="00B115DD">
        <w:trPr>
          <w:trHeight w:val="265"/>
        </w:trPr>
        <w:tc>
          <w:tcPr>
            <w:tcW w:w="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A-</w:t>
            </w:r>
          </w:p>
        </w:tc>
        <w:tc>
          <w:tcPr>
            <w:tcW w:w="390" w:type="dxa"/>
            <w:tcBorders>
              <w:top w:val="single" w:sz="4" w:space="0" w:color="auto"/>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A</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C</w:t>
            </w:r>
          </w:p>
        </w:tc>
        <w:tc>
          <w:tcPr>
            <w:tcW w:w="409" w:type="dxa"/>
            <w:tcBorders>
              <w:top w:val="single" w:sz="4" w:space="0" w:color="auto"/>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C-</w:t>
            </w:r>
          </w:p>
        </w:tc>
        <w:tc>
          <w:tcPr>
            <w:tcW w:w="412" w:type="dxa"/>
            <w:tcBorders>
              <w:top w:val="single" w:sz="4" w:space="0" w:color="auto"/>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B-</w:t>
            </w:r>
          </w:p>
        </w:tc>
        <w:tc>
          <w:tcPr>
            <w:tcW w:w="389" w:type="dxa"/>
            <w:tcBorders>
              <w:top w:val="single" w:sz="4" w:space="0" w:color="auto"/>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B</w:t>
            </w:r>
          </w:p>
        </w:tc>
        <w:tc>
          <w:tcPr>
            <w:tcW w:w="412" w:type="dxa"/>
            <w:tcBorders>
              <w:top w:val="single" w:sz="4" w:space="0" w:color="auto"/>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A</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A-</w:t>
            </w:r>
          </w:p>
        </w:tc>
        <w:tc>
          <w:tcPr>
            <w:tcW w:w="409" w:type="dxa"/>
            <w:tcBorders>
              <w:top w:val="single" w:sz="4" w:space="0" w:color="auto"/>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C-</w:t>
            </w:r>
          </w:p>
        </w:tc>
        <w:tc>
          <w:tcPr>
            <w:tcW w:w="389" w:type="dxa"/>
            <w:tcBorders>
              <w:top w:val="single" w:sz="4" w:space="0" w:color="auto"/>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C</w:t>
            </w:r>
          </w:p>
        </w:tc>
        <w:tc>
          <w:tcPr>
            <w:tcW w:w="409" w:type="dxa"/>
            <w:tcBorders>
              <w:top w:val="single" w:sz="4" w:space="0" w:color="auto"/>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B</w:t>
            </w:r>
          </w:p>
        </w:tc>
        <w:tc>
          <w:tcPr>
            <w:tcW w:w="412" w:type="dxa"/>
            <w:tcBorders>
              <w:top w:val="single" w:sz="4" w:space="0" w:color="auto"/>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B-</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A-</w:t>
            </w:r>
          </w:p>
        </w:tc>
        <w:tc>
          <w:tcPr>
            <w:tcW w:w="389" w:type="dxa"/>
            <w:tcBorders>
              <w:top w:val="single" w:sz="4" w:space="0" w:color="auto"/>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A</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C</w:t>
            </w:r>
          </w:p>
        </w:tc>
        <w:tc>
          <w:tcPr>
            <w:tcW w:w="409" w:type="dxa"/>
            <w:tcBorders>
              <w:top w:val="single" w:sz="4" w:space="0" w:color="auto"/>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C-</w:t>
            </w:r>
          </w:p>
        </w:tc>
        <w:tc>
          <w:tcPr>
            <w:tcW w:w="412" w:type="dxa"/>
            <w:tcBorders>
              <w:top w:val="single" w:sz="4" w:space="0" w:color="auto"/>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B-</w:t>
            </w:r>
          </w:p>
        </w:tc>
        <w:tc>
          <w:tcPr>
            <w:tcW w:w="389" w:type="dxa"/>
            <w:tcBorders>
              <w:top w:val="single" w:sz="4" w:space="0" w:color="auto"/>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B</w:t>
            </w:r>
          </w:p>
        </w:tc>
        <w:tc>
          <w:tcPr>
            <w:tcW w:w="412" w:type="dxa"/>
            <w:tcBorders>
              <w:top w:val="single" w:sz="4" w:space="0" w:color="auto"/>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A</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A-</w:t>
            </w:r>
          </w:p>
        </w:tc>
        <w:tc>
          <w:tcPr>
            <w:tcW w:w="409" w:type="dxa"/>
            <w:tcBorders>
              <w:top w:val="single" w:sz="4" w:space="0" w:color="auto"/>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C-</w:t>
            </w:r>
          </w:p>
        </w:tc>
        <w:tc>
          <w:tcPr>
            <w:tcW w:w="389" w:type="dxa"/>
            <w:tcBorders>
              <w:top w:val="single" w:sz="4" w:space="0" w:color="auto"/>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C</w:t>
            </w:r>
          </w:p>
        </w:tc>
        <w:tc>
          <w:tcPr>
            <w:tcW w:w="409" w:type="dxa"/>
            <w:tcBorders>
              <w:top w:val="single" w:sz="4" w:space="0" w:color="auto"/>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B</w:t>
            </w:r>
          </w:p>
        </w:tc>
        <w:tc>
          <w:tcPr>
            <w:tcW w:w="412" w:type="dxa"/>
            <w:tcBorders>
              <w:top w:val="single" w:sz="4" w:space="0" w:color="auto"/>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B-</w:t>
            </w:r>
          </w:p>
        </w:tc>
      </w:tr>
      <w:tr w:rsidR="00B115DD" w:rsidRPr="00B115DD" w:rsidTr="00B115DD">
        <w:trPr>
          <w:trHeight w:val="265"/>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B</w:t>
            </w:r>
          </w:p>
        </w:tc>
        <w:tc>
          <w:tcPr>
            <w:tcW w:w="390" w:type="dxa"/>
            <w:tcBorders>
              <w:top w:val="nil"/>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A</w:t>
            </w:r>
          </w:p>
        </w:tc>
        <w:tc>
          <w:tcPr>
            <w:tcW w:w="420" w:type="dxa"/>
            <w:tcBorders>
              <w:top w:val="nil"/>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A-</w:t>
            </w:r>
          </w:p>
        </w:tc>
        <w:tc>
          <w:tcPr>
            <w:tcW w:w="409" w:type="dxa"/>
            <w:tcBorders>
              <w:top w:val="nil"/>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C-</w:t>
            </w:r>
          </w:p>
        </w:tc>
        <w:tc>
          <w:tcPr>
            <w:tcW w:w="412" w:type="dxa"/>
            <w:tcBorders>
              <w:top w:val="nil"/>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C</w:t>
            </w:r>
          </w:p>
        </w:tc>
        <w:tc>
          <w:tcPr>
            <w:tcW w:w="389" w:type="dxa"/>
            <w:tcBorders>
              <w:top w:val="nil"/>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B</w:t>
            </w:r>
          </w:p>
        </w:tc>
        <w:tc>
          <w:tcPr>
            <w:tcW w:w="412" w:type="dxa"/>
            <w:tcBorders>
              <w:top w:val="nil"/>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B-</w:t>
            </w:r>
          </w:p>
        </w:tc>
        <w:tc>
          <w:tcPr>
            <w:tcW w:w="420" w:type="dxa"/>
            <w:tcBorders>
              <w:top w:val="nil"/>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A-</w:t>
            </w:r>
          </w:p>
        </w:tc>
        <w:tc>
          <w:tcPr>
            <w:tcW w:w="409" w:type="dxa"/>
            <w:tcBorders>
              <w:top w:val="nil"/>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A</w:t>
            </w:r>
          </w:p>
        </w:tc>
        <w:tc>
          <w:tcPr>
            <w:tcW w:w="389" w:type="dxa"/>
            <w:tcBorders>
              <w:top w:val="nil"/>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C</w:t>
            </w:r>
          </w:p>
        </w:tc>
        <w:tc>
          <w:tcPr>
            <w:tcW w:w="409" w:type="dxa"/>
            <w:tcBorders>
              <w:top w:val="nil"/>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C-</w:t>
            </w:r>
          </w:p>
        </w:tc>
        <w:tc>
          <w:tcPr>
            <w:tcW w:w="412" w:type="dxa"/>
            <w:tcBorders>
              <w:top w:val="nil"/>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B-</w:t>
            </w:r>
          </w:p>
        </w:tc>
        <w:tc>
          <w:tcPr>
            <w:tcW w:w="420" w:type="dxa"/>
            <w:tcBorders>
              <w:top w:val="nil"/>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B</w:t>
            </w:r>
          </w:p>
        </w:tc>
        <w:tc>
          <w:tcPr>
            <w:tcW w:w="389" w:type="dxa"/>
            <w:tcBorders>
              <w:top w:val="nil"/>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A</w:t>
            </w:r>
          </w:p>
        </w:tc>
        <w:tc>
          <w:tcPr>
            <w:tcW w:w="420" w:type="dxa"/>
            <w:tcBorders>
              <w:top w:val="nil"/>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A-</w:t>
            </w:r>
          </w:p>
        </w:tc>
        <w:tc>
          <w:tcPr>
            <w:tcW w:w="409" w:type="dxa"/>
            <w:tcBorders>
              <w:top w:val="nil"/>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C-</w:t>
            </w:r>
          </w:p>
        </w:tc>
        <w:tc>
          <w:tcPr>
            <w:tcW w:w="412" w:type="dxa"/>
            <w:tcBorders>
              <w:top w:val="nil"/>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C</w:t>
            </w:r>
          </w:p>
        </w:tc>
        <w:tc>
          <w:tcPr>
            <w:tcW w:w="389" w:type="dxa"/>
            <w:tcBorders>
              <w:top w:val="nil"/>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B</w:t>
            </w:r>
          </w:p>
        </w:tc>
        <w:tc>
          <w:tcPr>
            <w:tcW w:w="412" w:type="dxa"/>
            <w:tcBorders>
              <w:top w:val="nil"/>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B-</w:t>
            </w:r>
          </w:p>
        </w:tc>
        <w:tc>
          <w:tcPr>
            <w:tcW w:w="420" w:type="dxa"/>
            <w:tcBorders>
              <w:top w:val="nil"/>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A-</w:t>
            </w:r>
          </w:p>
        </w:tc>
        <w:tc>
          <w:tcPr>
            <w:tcW w:w="409" w:type="dxa"/>
            <w:tcBorders>
              <w:top w:val="nil"/>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A</w:t>
            </w:r>
          </w:p>
        </w:tc>
        <w:tc>
          <w:tcPr>
            <w:tcW w:w="389" w:type="dxa"/>
            <w:tcBorders>
              <w:top w:val="nil"/>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C</w:t>
            </w:r>
          </w:p>
        </w:tc>
        <w:tc>
          <w:tcPr>
            <w:tcW w:w="409" w:type="dxa"/>
            <w:tcBorders>
              <w:top w:val="nil"/>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C-</w:t>
            </w:r>
          </w:p>
        </w:tc>
        <w:tc>
          <w:tcPr>
            <w:tcW w:w="412" w:type="dxa"/>
            <w:tcBorders>
              <w:top w:val="nil"/>
              <w:left w:val="nil"/>
              <w:bottom w:val="single" w:sz="4" w:space="0" w:color="auto"/>
              <w:right w:val="single" w:sz="4" w:space="0" w:color="auto"/>
            </w:tcBorders>
            <w:shd w:val="clear" w:color="auto" w:fill="auto"/>
            <w:noWrap/>
            <w:vAlign w:val="bottom"/>
            <w:hideMark/>
          </w:tcPr>
          <w:p w:rsidR="00B115DD" w:rsidRPr="00B115DD" w:rsidRDefault="00B115DD" w:rsidP="00B115DD">
            <w:pPr>
              <w:spacing w:before="0" w:after="0" w:line="240" w:lineRule="auto"/>
              <w:jc w:val="left"/>
              <w:rPr>
                <w:rFonts w:ascii="Calibri" w:eastAsia="Times New Roman" w:hAnsi="Calibri" w:cs="Calibri"/>
                <w:color w:val="000000"/>
                <w:sz w:val="22"/>
              </w:rPr>
            </w:pPr>
            <w:r w:rsidRPr="00B115DD">
              <w:rPr>
                <w:rFonts w:ascii="Calibri" w:eastAsia="Times New Roman" w:hAnsi="Calibri" w:cs="Calibri"/>
                <w:color w:val="000000"/>
                <w:sz w:val="22"/>
              </w:rPr>
              <w:t>B-</w:t>
            </w:r>
          </w:p>
        </w:tc>
      </w:tr>
    </w:tbl>
    <w:p w:rsidR="00B115DD" w:rsidRDefault="00B115DD" w:rsidP="00B115DD"/>
    <w:p w:rsidR="00B115DD" w:rsidRDefault="00B115DD" w:rsidP="00B115DD">
      <w:r>
        <w:t>Connection of the coils is given in Figure 3.</w:t>
      </w:r>
    </w:p>
    <w:p w:rsidR="00B115DD" w:rsidRDefault="00B115DD" w:rsidP="00B115DD"/>
    <w:p w:rsidR="00B115DD" w:rsidRDefault="00B115DD" w:rsidP="00B115DD">
      <w:pPr>
        <w:jc w:val="center"/>
      </w:pPr>
      <w:r>
        <w:rPr>
          <w:noProof/>
        </w:rPr>
        <w:drawing>
          <wp:inline distT="0" distB="0" distL="0" distR="0">
            <wp:extent cx="4602480" cy="368072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ils.PNG"/>
                    <pic:cNvPicPr/>
                  </pic:nvPicPr>
                  <pic:blipFill>
                    <a:blip r:embed="rId10">
                      <a:extLst>
                        <a:ext uri="{28A0092B-C50C-407E-A947-70E740481C1C}">
                          <a14:useLocalDpi xmlns:a14="http://schemas.microsoft.com/office/drawing/2010/main" val="0"/>
                        </a:ext>
                      </a:extLst>
                    </a:blip>
                    <a:stretch>
                      <a:fillRect/>
                    </a:stretch>
                  </pic:blipFill>
                  <pic:spPr>
                    <a:xfrm>
                      <a:off x="0" y="0"/>
                      <a:ext cx="4615242" cy="3690927"/>
                    </a:xfrm>
                    <a:prstGeom prst="rect">
                      <a:avLst/>
                    </a:prstGeom>
                  </pic:spPr>
                </pic:pic>
              </a:graphicData>
            </a:graphic>
          </wp:inline>
        </w:drawing>
      </w:r>
    </w:p>
    <w:p w:rsidR="00B115DD" w:rsidRDefault="00B115DD" w:rsidP="00B115DD">
      <w:pPr>
        <w:jc w:val="center"/>
      </w:pPr>
      <w:r>
        <w:t>Figure 3: Winding Configuration</w:t>
      </w:r>
    </w:p>
    <w:p w:rsidR="00B115DD" w:rsidRDefault="00B115DD" w:rsidP="00B115DD"/>
    <w:p w:rsidR="00BC5B08" w:rsidRDefault="002B6F8F" w:rsidP="00B115DD">
      <w:r>
        <w:t>For this winding configuration, MMF waveforms for two different excitation cases are given in Figures 4 and 5.</w:t>
      </w:r>
    </w:p>
    <w:p w:rsidR="002B6F8F" w:rsidRDefault="002B6F8F" w:rsidP="00B115DD"/>
    <w:p w:rsidR="002B6F8F" w:rsidRDefault="002B6F8F" w:rsidP="002B6F8F">
      <w:pPr>
        <w:jc w:val="center"/>
      </w:pPr>
      <w:r>
        <w:rPr>
          <w:noProof/>
        </w:rPr>
        <w:lastRenderedPageBreak/>
        <w:drawing>
          <wp:inline distT="0" distB="0" distL="0" distR="0">
            <wp:extent cx="4175760" cy="3131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mf1.png"/>
                    <pic:cNvPicPr/>
                  </pic:nvPicPr>
                  <pic:blipFill>
                    <a:blip r:embed="rId11">
                      <a:extLst>
                        <a:ext uri="{28A0092B-C50C-407E-A947-70E740481C1C}">
                          <a14:useLocalDpi xmlns:a14="http://schemas.microsoft.com/office/drawing/2010/main" val="0"/>
                        </a:ext>
                      </a:extLst>
                    </a:blip>
                    <a:stretch>
                      <a:fillRect/>
                    </a:stretch>
                  </pic:blipFill>
                  <pic:spPr>
                    <a:xfrm>
                      <a:off x="0" y="0"/>
                      <a:ext cx="4175760" cy="3131820"/>
                    </a:xfrm>
                    <a:prstGeom prst="rect">
                      <a:avLst/>
                    </a:prstGeom>
                  </pic:spPr>
                </pic:pic>
              </a:graphicData>
            </a:graphic>
          </wp:inline>
        </w:drawing>
      </w:r>
    </w:p>
    <w:p w:rsidR="002B6F8F" w:rsidRDefault="002B6F8F" w:rsidP="002B6F8F">
      <w:pPr>
        <w:jc w:val="center"/>
      </w:pPr>
      <w:r>
        <w:t xml:space="preserve">Figure 4: MMF Waveform for </w:t>
      </w:r>
      <w:proofErr w:type="spellStart"/>
      <w:r>
        <w:t>Ia</w:t>
      </w:r>
      <w:proofErr w:type="spellEnd"/>
      <w:r>
        <w:t xml:space="preserve">=1, </w:t>
      </w:r>
      <w:proofErr w:type="spellStart"/>
      <w:r>
        <w:t>Ib</w:t>
      </w:r>
      <w:proofErr w:type="spellEnd"/>
      <w:r>
        <w:t xml:space="preserve">=-0.5, </w:t>
      </w:r>
      <w:proofErr w:type="spellStart"/>
      <w:r>
        <w:t>Ic</w:t>
      </w:r>
      <w:proofErr w:type="spellEnd"/>
      <w:r>
        <w:t>=-0.5</w:t>
      </w:r>
    </w:p>
    <w:p w:rsidR="002B6F8F" w:rsidRDefault="002B6F8F" w:rsidP="002B6F8F">
      <w:pPr>
        <w:jc w:val="center"/>
      </w:pPr>
    </w:p>
    <w:p w:rsidR="002B6F8F" w:rsidRDefault="002B6F8F" w:rsidP="002B6F8F">
      <w:pPr>
        <w:jc w:val="center"/>
      </w:pPr>
      <w:r>
        <w:rPr>
          <w:noProof/>
        </w:rPr>
        <w:drawing>
          <wp:inline distT="0" distB="0" distL="0" distR="0">
            <wp:extent cx="4267200"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mf2.png"/>
                    <pic:cNvPicPr/>
                  </pic:nvPicPr>
                  <pic:blipFill>
                    <a:blip r:embed="rId12">
                      <a:extLst>
                        <a:ext uri="{28A0092B-C50C-407E-A947-70E740481C1C}">
                          <a14:useLocalDpi xmlns:a14="http://schemas.microsoft.com/office/drawing/2010/main" val="0"/>
                        </a:ext>
                      </a:extLst>
                    </a:blip>
                    <a:stretch>
                      <a:fillRect/>
                    </a:stretch>
                  </pic:blipFill>
                  <pic:spPr>
                    <a:xfrm>
                      <a:off x="0" y="0"/>
                      <a:ext cx="4267200" cy="3200400"/>
                    </a:xfrm>
                    <a:prstGeom prst="rect">
                      <a:avLst/>
                    </a:prstGeom>
                  </pic:spPr>
                </pic:pic>
              </a:graphicData>
            </a:graphic>
          </wp:inline>
        </w:drawing>
      </w:r>
    </w:p>
    <w:p w:rsidR="002B6F8F" w:rsidRDefault="002B6F8F" w:rsidP="002B6F8F">
      <w:pPr>
        <w:jc w:val="center"/>
      </w:pPr>
      <w:r>
        <w:t xml:space="preserve">Figure 5: </w:t>
      </w:r>
      <w:r>
        <w:t xml:space="preserve">MMF Waveform for </w:t>
      </w:r>
      <w:proofErr w:type="spellStart"/>
      <w:r>
        <w:t>Ia</w:t>
      </w:r>
      <w:proofErr w:type="spellEnd"/>
      <w:r>
        <w:t>=</w:t>
      </w:r>
      <w:r>
        <w:t>0.5</w:t>
      </w:r>
      <w:r>
        <w:t xml:space="preserve">, </w:t>
      </w:r>
      <w:proofErr w:type="spellStart"/>
      <w:r>
        <w:t>Ib</w:t>
      </w:r>
      <w:proofErr w:type="spellEnd"/>
      <w:r>
        <w:t>=-</w:t>
      </w:r>
      <w:r>
        <w:t>1</w:t>
      </w:r>
      <w:r>
        <w:t xml:space="preserve">, </w:t>
      </w:r>
      <w:proofErr w:type="spellStart"/>
      <w:r>
        <w:t>Ic</w:t>
      </w:r>
      <w:proofErr w:type="spellEnd"/>
      <w:r>
        <w:t>=</w:t>
      </w:r>
      <w:r>
        <w:t>0.5</w:t>
      </w:r>
    </w:p>
    <w:p w:rsidR="00B115DD" w:rsidRDefault="004D4BB5" w:rsidP="004D4BB5">
      <w:pPr>
        <w:pStyle w:val="Heading2"/>
      </w:pPr>
      <w:r>
        <w:lastRenderedPageBreak/>
        <w:t>Winding Factor:</w:t>
      </w:r>
    </w:p>
    <w:p w:rsidR="002B6F8F" w:rsidRDefault="002B6F8F" w:rsidP="004D4BB5">
      <w:r>
        <w:t>Distribution factor for n</w:t>
      </w:r>
      <w:r>
        <w:rPr>
          <w:vertAlign w:val="superscript"/>
        </w:rPr>
        <w:t>th</w:t>
      </w:r>
      <w:r>
        <w:t xml:space="preserve"> harmonic order:</w:t>
      </w:r>
    </w:p>
    <w:p w:rsidR="002B6F8F" w:rsidRPr="002B6F8F" w:rsidRDefault="002B6F8F" w:rsidP="004D4BB5">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q*</m:t>
                              </m:r>
                              <m:r>
                                <w:rPr>
                                  <w:rFonts w:ascii="Cambria Math" w:hAnsi="Cambria Math"/>
                                </w:rPr>
                                <m:t>α</m:t>
                              </m:r>
                            </m:e>
                          </m:d>
                        </m:num>
                        <m:den>
                          <m:r>
                            <w:rPr>
                              <w:rFonts w:ascii="Cambria Math" w:hAnsi="Cambria Math"/>
                            </w:rPr>
                            <m:t>2</m:t>
                          </m:r>
                        </m:den>
                      </m:f>
                      <m:r>
                        <w:rPr>
                          <w:rFonts w:ascii="Cambria Math" w:hAnsi="Cambria Math"/>
                        </w:rPr>
                        <m:t>n</m:t>
                      </m:r>
                    </m:e>
                  </m:d>
                </m:e>
              </m:func>
            </m:num>
            <m:den>
              <m:r>
                <w:rPr>
                  <w:rFonts w:ascii="Cambria Math" w:hAnsi="Cambria Math"/>
                </w:rPr>
                <m:t>q</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n</m:t>
                      </m:r>
                    </m:e>
                  </m:d>
                </m:e>
              </m:func>
            </m:den>
          </m:f>
        </m:oMath>
      </m:oMathPara>
    </w:p>
    <w:p w:rsidR="002B6F8F" w:rsidRDefault="002B6F8F" w:rsidP="004D4BB5">
      <w:r>
        <w:t xml:space="preserve">Pitch factor for </w:t>
      </w:r>
      <w:r>
        <w:t>n</w:t>
      </w:r>
      <w:r>
        <w:rPr>
          <w:vertAlign w:val="superscript"/>
        </w:rPr>
        <w:t>th</w:t>
      </w:r>
      <w:r>
        <w:t xml:space="preserve"> harmonic order:</w:t>
      </w:r>
    </w:p>
    <w:p w:rsidR="002B6F8F" w:rsidRPr="002B6F8F" w:rsidRDefault="008428ED" w:rsidP="004D4BB5">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n</m:t>
                  </m:r>
                </m:e>
              </m:d>
            </m:e>
          </m:func>
          <m:r>
            <w:rPr>
              <w:rFonts w:ascii="Cambria Math" w:hAnsi="Cambria Math"/>
            </w:rPr>
            <w:br/>
          </m:r>
        </m:oMath>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oMath>
      </m:oMathPara>
    </w:p>
    <w:p w:rsidR="002B6F8F" w:rsidRDefault="002B6F8F" w:rsidP="004D4BB5"/>
    <w:p w:rsidR="0054332B" w:rsidRDefault="002B6F8F" w:rsidP="0054332B">
      <w:pPr>
        <w:rPr>
          <w:rFonts w:eastAsiaTheme="minorEastAsia"/>
        </w:rPr>
      </w:pPr>
      <w:r>
        <w:t>q=2/5,</w:t>
      </w:r>
      <w:r w:rsidR="008428ED">
        <w:t xml:space="preserve"> n=1,3,5,7, </w:t>
      </w:r>
      <m:oMath>
        <m:r>
          <w:rPr>
            <w:rFonts w:ascii="Cambria Math" w:hAnsi="Cambria Math"/>
          </w:rPr>
          <m:t>α</m:t>
        </m:r>
        <m:r>
          <w:rPr>
            <w:rFonts w:ascii="Cambria Math" w:hAnsi="Cambria Math"/>
          </w:rPr>
          <m:t>=</m:t>
        </m:r>
        <m:f>
          <m:fPr>
            <m:ctrlPr>
              <w:rPr>
                <w:rFonts w:ascii="Cambria Math" w:hAnsi="Cambria Math"/>
                <w:i/>
              </w:rPr>
            </m:ctrlPr>
          </m:fPr>
          <m:num>
            <m:r>
              <w:rPr>
                <w:rFonts w:ascii="Cambria Math" w:hAnsi="Cambria Math"/>
              </w:rPr>
              <m:t>2p*180</m:t>
            </m:r>
          </m:num>
          <m:den>
            <m:r>
              <w:rPr>
                <w:rFonts w:ascii="Cambria Math" w:hAnsi="Cambria Math"/>
              </w:rPr>
              <m:t>Q</m:t>
            </m:r>
          </m:den>
        </m:f>
        <m:r>
          <w:rPr>
            <w:rFonts w:ascii="Cambria Math" w:hAnsi="Cambria Math"/>
          </w:rPr>
          <m:t>=</m:t>
        </m:r>
        <m:sSup>
          <m:sSupPr>
            <m:ctrlPr>
              <w:rPr>
                <w:rFonts w:ascii="Cambria Math" w:hAnsi="Cambria Math"/>
                <w:i/>
              </w:rPr>
            </m:ctrlPr>
          </m:sSupPr>
          <m:e>
            <m:r>
              <w:rPr>
                <w:rFonts w:ascii="Cambria Math" w:hAnsi="Cambria Math"/>
              </w:rPr>
              <m:t>150</m:t>
            </m:r>
          </m:e>
          <m:sup>
            <m:r>
              <w:rPr>
                <w:rFonts w:ascii="Cambria Math" w:hAnsi="Cambria Math"/>
              </w:rPr>
              <m:t>o</m:t>
            </m:r>
          </m:sup>
        </m:sSup>
      </m:oMath>
      <w:r w:rsidR="008428ED">
        <w:rPr>
          <w:rFonts w:eastAsiaTheme="minorEastAsia"/>
        </w:rPr>
        <w:t xml:space="preserve">, </w:t>
      </w:r>
      <m:oMath>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75</m:t>
            </m:r>
          </m:e>
          <m:sup>
            <m:r>
              <w:rPr>
                <w:rFonts w:ascii="Cambria Math" w:hAnsi="Cambria Math"/>
              </w:rPr>
              <m:t>o</m:t>
            </m:r>
          </m:sup>
        </m:sSup>
      </m:oMath>
    </w:p>
    <w:p w:rsidR="0054332B" w:rsidRPr="0054332B" w:rsidRDefault="0054332B" w:rsidP="0054332B">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30*n</m:t>
                      </m:r>
                    </m:e>
                  </m:d>
                </m:e>
              </m:func>
            </m:num>
            <m:den>
              <m:r>
                <w:rPr>
                  <w:rFonts w:ascii="Cambria Math" w:hAnsi="Cambria Math"/>
                </w:rPr>
                <m:t>0.4</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75*n</m:t>
                      </m:r>
                    </m:e>
                  </m:d>
                </m:e>
              </m:func>
            </m:den>
          </m:f>
          <m:r>
            <w:rPr>
              <w:rFonts w:ascii="Cambria Math" w:hAnsi="Cambria Math"/>
            </w:rPr>
            <w:br/>
          </m:r>
        </m:oMath>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75*n</m:t>
                  </m:r>
                </m:e>
              </m:d>
            </m:e>
          </m:func>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n</m:t>
              </m:r>
            </m:e>
          </m:d>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(n)</m:t>
          </m:r>
        </m:oMath>
      </m:oMathPara>
    </w:p>
    <w:p w:rsidR="0054332B" w:rsidRDefault="0054332B" w:rsidP="0054332B">
      <w:pPr>
        <w:rPr>
          <w:rFonts w:eastAsiaTheme="minorEastAsia"/>
        </w:rPr>
      </w:pPr>
    </w:p>
    <w:p w:rsidR="0054332B" w:rsidRDefault="0054332B" w:rsidP="0054332B">
      <w:pPr>
        <w:jc w:val="center"/>
        <w:rPr>
          <w:rFonts w:eastAsiaTheme="minorEastAsia"/>
        </w:rPr>
      </w:pPr>
      <w:r>
        <w:rPr>
          <w:rFonts w:eastAsiaTheme="minorEastAsia"/>
        </w:rPr>
        <w:t>Table 1: Winding Factors for First 4 Harmonics</w:t>
      </w:r>
    </w:p>
    <w:tbl>
      <w:tblPr>
        <w:tblW w:w="51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6"/>
        <w:gridCol w:w="1177"/>
        <w:gridCol w:w="1177"/>
        <w:gridCol w:w="1366"/>
      </w:tblGrid>
      <w:tr w:rsidR="0054332B" w:rsidRPr="0054332B" w:rsidTr="0054332B">
        <w:trPr>
          <w:trHeight w:val="348"/>
          <w:jc w:val="center"/>
        </w:trPr>
        <w:tc>
          <w:tcPr>
            <w:tcW w:w="1406" w:type="dxa"/>
            <w:shd w:val="clear" w:color="auto" w:fill="auto"/>
            <w:noWrap/>
            <w:vAlign w:val="bottom"/>
            <w:hideMark/>
          </w:tcPr>
          <w:p w:rsidR="0054332B" w:rsidRPr="0054332B" w:rsidRDefault="0054332B" w:rsidP="0054332B">
            <w:pPr>
              <w:spacing w:before="0" w:after="0" w:line="240" w:lineRule="auto"/>
              <w:jc w:val="center"/>
              <w:rPr>
                <w:rFonts w:eastAsia="Times New Roman" w:cs="Calibri"/>
                <w:color w:val="000000"/>
                <w:sz w:val="22"/>
              </w:rPr>
            </w:pPr>
            <w:r w:rsidRPr="0054332B">
              <w:rPr>
                <w:rFonts w:eastAsia="Times New Roman" w:cs="Calibri"/>
                <w:color w:val="000000"/>
                <w:sz w:val="22"/>
              </w:rPr>
              <w:t>Harmonic Order</w:t>
            </w:r>
          </w:p>
        </w:tc>
        <w:tc>
          <w:tcPr>
            <w:tcW w:w="1177" w:type="dxa"/>
            <w:shd w:val="clear" w:color="auto" w:fill="auto"/>
            <w:noWrap/>
            <w:vAlign w:val="bottom"/>
            <w:hideMark/>
          </w:tcPr>
          <w:p w:rsidR="0054332B" w:rsidRPr="0054332B" w:rsidRDefault="0054332B" w:rsidP="0054332B">
            <w:pPr>
              <w:spacing w:before="0" w:after="0" w:line="240" w:lineRule="auto"/>
              <w:jc w:val="left"/>
              <w:rPr>
                <w:rFonts w:eastAsia="Times New Roman" w:cs="Calibri"/>
                <w:color w:val="000000"/>
                <w:sz w:val="22"/>
              </w:rPr>
            </w:pPr>
            <w:proofErr w:type="spellStart"/>
            <w:r w:rsidRPr="0054332B">
              <w:rPr>
                <w:rFonts w:eastAsia="Times New Roman" w:cs="Calibri"/>
                <w:color w:val="000000"/>
                <w:sz w:val="22"/>
              </w:rPr>
              <w:t>k_d</w:t>
            </w:r>
            <w:proofErr w:type="spellEnd"/>
          </w:p>
        </w:tc>
        <w:tc>
          <w:tcPr>
            <w:tcW w:w="1177" w:type="dxa"/>
            <w:shd w:val="clear" w:color="auto" w:fill="auto"/>
            <w:noWrap/>
            <w:vAlign w:val="bottom"/>
            <w:hideMark/>
          </w:tcPr>
          <w:p w:rsidR="0054332B" w:rsidRPr="0054332B" w:rsidRDefault="0054332B" w:rsidP="0054332B">
            <w:pPr>
              <w:spacing w:before="0" w:after="0" w:line="240" w:lineRule="auto"/>
              <w:jc w:val="left"/>
              <w:rPr>
                <w:rFonts w:eastAsia="Times New Roman" w:cs="Calibri"/>
                <w:color w:val="000000"/>
                <w:sz w:val="22"/>
              </w:rPr>
            </w:pPr>
            <w:proofErr w:type="spellStart"/>
            <w:r w:rsidRPr="0054332B">
              <w:rPr>
                <w:rFonts w:eastAsia="Times New Roman" w:cs="Calibri"/>
                <w:color w:val="000000"/>
                <w:sz w:val="22"/>
              </w:rPr>
              <w:t>k_p</w:t>
            </w:r>
            <w:proofErr w:type="spellEnd"/>
          </w:p>
        </w:tc>
        <w:tc>
          <w:tcPr>
            <w:tcW w:w="1366" w:type="dxa"/>
            <w:shd w:val="clear" w:color="auto" w:fill="auto"/>
            <w:noWrap/>
            <w:vAlign w:val="bottom"/>
            <w:hideMark/>
          </w:tcPr>
          <w:p w:rsidR="0054332B" w:rsidRPr="0054332B" w:rsidRDefault="0054332B" w:rsidP="0054332B">
            <w:pPr>
              <w:spacing w:before="0" w:after="0" w:line="240" w:lineRule="auto"/>
              <w:jc w:val="left"/>
              <w:rPr>
                <w:rFonts w:eastAsia="Times New Roman" w:cs="Calibri"/>
                <w:color w:val="000000"/>
                <w:sz w:val="22"/>
              </w:rPr>
            </w:pPr>
            <w:proofErr w:type="spellStart"/>
            <w:r w:rsidRPr="0054332B">
              <w:rPr>
                <w:rFonts w:eastAsia="Times New Roman" w:cs="Calibri"/>
                <w:color w:val="000000"/>
                <w:sz w:val="22"/>
              </w:rPr>
              <w:t>k_w</w:t>
            </w:r>
            <w:proofErr w:type="spellEnd"/>
          </w:p>
        </w:tc>
      </w:tr>
      <w:tr w:rsidR="0054332B" w:rsidRPr="0054332B" w:rsidTr="0054332B">
        <w:trPr>
          <w:trHeight w:val="348"/>
          <w:jc w:val="center"/>
        </w:trPr>
        <w:tc>
          <w:tcPr>
            <w:tcW w:w="1406" w:type="dxa"/>
            <w:shd w:val="clear" w:color="auto" w:fill="auto"/>
            <w:noWrap/>
            <w:vAlign w:val="bottom"/>
            <w:hideMark/>
          </w:tcPr>
          <w:p w:rsidR="0054332B" w:rsidRPr="0054332B" w:rsidRDefault="0054332B" w:rsidP="0054332B">
            <w:pPr>
              <w:spacing w:before="0" w:after="0" w:line="240" w:lineRule="auto"/>
              <w:jc w:val="right"/>
              <w:rPr>
                <w:rFonts w:eastAsia="Times New Roman" w:cs="Calibri"/>
                <w:color w:val="000000"/>
                <w:sz w:val="22"/>
              </w:rPr>
            </w:pPr>
            <w:r w:rsidRPr="0054332B">
              <w:rPr>
                <w:rFonts w:eastAsia="Times New Roman" w:cs="Calibri"/>
                <w:color w:val="000000"/>
                <w:sz w:val="22"/>
              </w:rPr>
              <w:t>1</w:t>
            </w:r>
          </w:p>
        </w:tc>
        <w:tc>
          <w:tcPr>
            <w:tcW w:w="1177" w:type="dxa"/>
            <w:shd w:val="clear" w:color="auto" w:fill="auto"/>
            <w:noWrap/>
            <w:vAlign w:val="bottom"/>
            <w:hideMark/>
          </w:tcPr>
          <w:p w:rsidR="0054332B" w:rsidRPr="0054332B" w:rsidRDefault="0054332B" w:rsidP="0054332B">
            <w:pPr>
              <w:spacing w:before="0" w:after="0" w:line="240" w:lineRule="auto"/>
              <w:jc w:val="right"/>
              <w:rPr>
                <w:rFonts w:eastAsia="Times New Roman" w:cs="Calibri"/>
                <w:color w:val="000000"/>
                <w:sz w:val="22"/>
              </w:rPr>
            </w:pPr>
            <w:r w:rsidRPr="0054332B">
              <w:rPr>
                <w:rFonts w:eastAsia="Times New Roman" w:cs="Calibri"/>
                <w:color w:val="000000"/>
                <w:sz w:val="22"/>
              </w:rPr>
              <w:t>1.294</w:t>
            </w:r>
          </w:p>
        </w:tc>
        <w:tc>
          <w:tcPr>
            <w:tcW w:w="1177" w:type="dxa"/>
            <w:shd w:val="clear" w:color="auto" w:fill="auto"/>
            <w:noWrap/>
            <w:vAlign w:val="bottom"/>
            <w:hideMark/>
          </w:tcPr>
          <w:p w:rsidR="0054332B" w:rsidRPr="0054332B" w:rsidRDefault="0054332B" w:rsidP="0054332B">
            <w:pPr>
              <w:spacing w:before="0" w:after="0" w:line="240" w:lineRule="auto"/>
              <w:jc w:val="right"/>
              <w:rPr>
                <w:rFonts w:eastAsia="Times New Roman" w:cs="Calibri"/>
                <w:color w:val="000000"/>
                <w:sz w:val="22"/>
              </w:rPr>
            </w:pPr>
            <w:r w:rsidRPr="0054332B">
              <w:rPr>
                <w:rFonts w:eastAsia="Times New Roman" w:cs="Calibri"/>
                <w:color w:val="000000"/>
                <w:sz w:val="22"/>
              </w:rPr>
              <w:t>0.966</w:t>
            </w:r>
          </w:p>
        </w:tc>
        <w:tc>
          <w:tcPr>
            <w:tcW w:w="1366" w:type="dxa"/>
            <w:shd w:val="clear" w:color="auto" w:fill="auto"/>
            <w:noWrap/>
            <w:vAlign w:val="bottom"/>
            <w:hideMark/>
          </w:tcPr>
          <w:p w:rsidR="0054332B" w:rsidRPr="0054332B" w:rsidRDefault="0054332B" w:rsidP="0054332B">
            <w:pPr>
              <w:spacing w:before="0" w:after="0" w:line="240" w:lineRule="auto"/>
              <w:jc w:val="right"/>
              <w:rPr>
                <w:rFonts w:eastAsia="Times New Roman" w:cs="Calibri"/>
                <w:color w:val="000000"/>
                <w:sz w:val="22"/>
              </w:rPr>
            </w:pPr>
            <w:r w:rsidRPr="0054332B">
              <w:rPr>
                <w:rFonts w:eastAsia="Times New Roman" w:cs="Calibri"/>
                <w:color w:val="000000"/>
                <w:sz w:val="22"/>
              </w:rPr>
              <w:t>1.250004</w:t>
            </w:r>
          </w:p>
        </w:tc>
      </w:tr>
      <w:tr w:rsidR="0054332B" w:rsidRPr="0054332B" w:rsidTr="0054332B">
        <w:trPr>
          <w:trHeight w:val="348"/>
          <w:jc w:val="center"/>
        </w:trPr>
        <w:tc>
          <w:tcPr>
            <w:tcW w:w="1406" w:type="dxa"/>
            <w:shd w:val="clear" w:color="auto" w:fill="auto"/>
            <w:noWrap/>
            <w:vAlign w:val="bottom"/>
            <w:hideMark/>
          </w:tcPr>
          <w:p w:rsidR="0054332B" w:rsidRPr="0054332B" w:rsidRDefault="0054332B" w:rsidP="0054332B">
            <w:pPr>
              <w:spacing w:before="0" w:after="0" w:line="240" w:lineRule="auto"/>
              <w:jc w:val="right"/>
              <w:rPr>
                <w:rFonts w:eastAsia="Times New Roman" w:cs="Calibri"/>
                <w:color w:val="000000"/>
                <w:sz w:val="22"/>
              </w:rPr>
            </w:pPr>
            <w:r w:rsidRPr="0054332B">
              <w:rPr>
                <w:rFonts w:eastAsia="Times New Roman" w:cs="Calibri"/>
                <w:color w:val="000000"/>
                <w:sz w:val="22"/>
              </w:rPr>
              <w:t>3</w:t>
            </w:r>
          </w:p>
        </w:tc>
        <w:tc>
          <w:tcPr>
            <w:tcW w:w="1177" w:type="dxa"/>
            <w:shd w:val="clear" w:color="auto" w:fill="auto"/>
            <w:noWrap/>
            <w:vAlign w:val="bottom"/>
            <w:hideMark/>
          </w:tcPr>
          <w:p w:rsidR="0054332B" w:rsidRPr="0054332B" w:rsidRDefault="0054332B" w:rsidP="0054332B">
            <w:pPr>
              <w:spacing w:before="0" w:after="0" w:line="240" w:lineRule="auto"/>
              <w:jc w:val="right"/>
              <w:rPr>
                <w:rFonts w:eastAsia="Times New Roman" w:cs="Calibri"/>
                <w:color w:val="000000"/>
                <w:sz w:val="22"/>
              </w:rPr>
            </w:pPr>
            <w:r w:rsidRPr="0054332B">
              <w:rPr>
                <w:rFonts w:eastAsia="Times New Roman" w:cs="Calibri"/>
                <w:color w:val="000000"/>
                <w:sz w:val="22"/>
              </w:rPr>
              <w:t>-3.536</w:t>
            </w:r>
          </w:p>
        </w:tc>
        <w:tc>
          <w:tcPr>
            <w:tcW w:w="1177" w:type="dxa"/>
            <w:shd w:val="clear" w:color="auto" w:fill="auto"/>
            <w:noWrap/>
            <w:vAlign w:val="bottom"/>
            <w:hideMark/>
          </w:tcPr>
          <w:p w:rsidR="0054332B" w:rsidRPr="0054332B" w:rsidRDefault="0054332B" w:rsidP="0054332B">
            <w:pPr>
              <w:spacing w:before="0" w:after="0" w:line="240" w:lineRule="auto"/>
              <w:jc w:val="right"/>
              <w:rPr>
                <w:rFonts w:eastAsia="Times New Roman" w:cs="Calibri"/>
                <w:color w:val="000000"/>
                <w:sz w:val="22"/>
              </w:rPr>
            </w:pPr>
            <w:r w:rsidRPr="0054332B">
              <w:rPr>
                <w:rFonts w:eastAsia="Times New Roman" w:cs="Calibri"/>
                <w:color w:val="000000"/>
                <w:sz w:val="22"/>
              </w:rPr>
              <w:t>-0.707</w:t>
            </w:r>
          </w:p>
        </w:tc>
        <w:tc>
          <w:tcPr>
            <w:tcW w:w="1366" w:type="dxa"/>
            <w:shd w:val="clear" w:color="auto" w:fill="auto"/>
            <w:noWrap/>
            <w:vAlign w:val="bottom"/>
            <w:hideMark/>
          </w:tcPr>
          <w:p w:rsidR="0054332B" w:rsidRPr="0054332B" w:rsidRDefault="0054332B" w:rsidP="0054332B">
            <w:pPr>
              <w:spacing w:before="0" w:after="0" w:line="240" w:lineRule="auto"/>
              <w:jc w:val="right"/>
              <w:rPr>
                <w:rFonts w:eastAsia="Times New Roman" w:cs="Calibri"/>
                <w:color w:val="000000"/>
                <w:sz w:val="22"/>
              </w:rPr>
            </w:pPr>
            <w:r w:rsidRPr="0054332B">
              <w:rPr>
                <w:rFonts w:eastAsia="Times New Roman" w:cs="Calibri"/>
                <w:color w:val="000000"/>
                <w:sz w:val="22"/>
              </w:rPr>
              <w:t>2.499952</w:t>
            </w:r>
          </w:p>
        </w:tc>
      </w:tr>
      <w:tr w:rsidR="0054332B" w:rsidRPr="0054332B" w:rsidTr="0054332B">
        <w:trPr>
          <w:trHeight w:val="348"/>
          <w:jc w:val="center"/>
        </w:trPr>
        <w:tc>
          <w:tcPr>
            <w:tcW w:w="1406" w:type="dxa"/>
            <w:shd w:val="clear" w:color="auto" w:fill="auto"/>
            <w:noWrap/>
            <w:vAlign w:val="bottom"/>
            <w:hideMark/>
          </w:tcPr>
          <w:p w:rsidR="0054332B" w:rsidRPr="0054332B" w:rsidRDefault="0054332B" w:rsidP="0054332B">
            <w:pPr>
              <w:spacing w:before="0" w:after="0" w:line="240" w:lineRule="auto"/>
              <w:jc w:val="right"/>
              <w:rPr>
                <w:rFonts w:eastAsia="Times New Roman" w:cs="Calibri"/>
                <w:color w:val="000000"/>
                <w:sz w:val="22"/>
              </w:rPr>
            </w:pPr>
            <w:r w:rsidRPr="0054332B">
              <w:rPr>
                <w:rFonts w:eastAsia="Times New Roman" w:cs="Calibri"/>
                <w:color w:val="000000"/>
                <w:sz w:val="22"/>
              </w:rPr>
              <w:t>5</w:t>
            </w:r>
          </w:p>
        </w:tc>
        <w:tc>
          <w:tcPr>
            <w:tcW w:w="1177" w:type="dxa"/>
            <w:shd w:val="clear" w:color="auto" w:fill="auto"/>
            <w:noWrap/>
            <w:vAlign w:val="bottom"/>
            <w:hideMark/>
          </w:tcPr>
          <w:p w:rsidR="0054332B" w:rsidRPr="0054332B" w:rsidRDefault="0054332B" w:rsidP="0054332B">
            <w:pPr>
              <w:spacing w:before="0" w:after="0" w:line="240" w:lineRule="auto"/>
              <w:jc w:val="right"/>
              <w:rPr>
                <w:rFonts w:eastAsia="Times New Roman" w:cs="Calibri"/>
                <w:color w:val="000000"/>
                <w:sz w:val="22"/>
              </w:rPr>
            </w:pPr>
            <w:r w:rsidRPr="0054332B">
              <w:rPr>
                <w:rFonts w:eastAsia="Times New Roman" w:cs="Calibri"/>
                <w:color w:val="000000"/>
                <w:sz w:val="22"/>
              </w:rPr>
              <w:t>4.83</w:t>
            </w:r>
          </w:p>
        </w:tc>
        <w:tc>
          <w:tcPr>
            <w:tcW w:w="1177" w:type="dxa"/>
            <w:shd w:val="clear" w:color="auto" w:fill="auto"/>
            <w:noWrap/>
            <w:vAlign w:val="bottom"/>
            <w:hideMark/>
          </w:tcPr>
          <w:p w:rsidR="0054332B" w:rsidRPr="0054332B" w:rsidRDefault="0054332B" w:rsidP="0054332B">
            <w:pPr>
              <w:spacing w:before="0" w:after="0" w:line="240" w:lineRule="auto"/>
              <w:jc w:val="right"/>
              <w:rPr>
                <w:rFonts w:eastAsia="Times New Roman" w:cs="Calibri"/>
                <w:color w:val="000000"/>
                <w:sz w:val="22"/>
              </w:rPr>
            </w:pPr>
            <w:r w:rsidRPr="0054332B">
              <w:rPr>
                <w:rFonts w:eastAsia="Times New Roman" w:cs="Calibri"/>
                <w:color w:val="000000"/>
                <w:sz w:val="22"/>
              </w:rPr>
              <w:t>0.259</w:t>
            </w:r>
          </w:p>
        </w:tc>
        <w:tc>
          <w:tcPr>
            <w:tcW w:w="1366" w:type="dxa"/>
            <w:shd w:val="clear" w:color="auto" w:fill="auto"/>
            <w:noWrap/>
            <w:vAlign w:val="bottom"/>
            <w:hideMark/>
          </w:tcPr>
          <w:p w:rsidR="0054332B" w:rsidRPr="0054332B" w:rsidRDefault="0054332B" w:rsidP="0054332B">
            <w:pPr>
              <w:spacing w:before="0" w:after="0" w:line="240" w:lineRule="auto"/>
              <w:jc w:val="right"/>
              <w:rPr>
                <w:rFonts w:eastAsia="Times New Roman" w:cs="Calibri"/>
                <w:color w:val="000000"/>
                <w:sz w:val="22"/>
              </w:rPr>
            </w:pPr>
            <w:r w:rsidRPr="0054332B">
              <w:rPr>
                <w:rFonts w:eastAsia="Times New Roman" w:cs="Calibri"/>
                <w:color w:val="000000"/>
                <w:sz w:val="22"/>
              </w:rPr>
              <w:t>1.25097</w:t>
            </w:r>
          </w:p>
        </w:tc>
      </w:tr>
      <w:tr w:rsidR="0054332B" w:rsidRPr="0054332B" w:rsidTr="0054332B">
        <w:trPr>
          <w:trHeight w:val="348"/>
          <w:jc w:val="center"/>
        </w:trPr>
        <w:tc>
          <w:tcPr>
            <w:tcW w:w="1406" w:type="dxa"/>
            <w:shd w:val="clear" w:color="auto" w:fill="auto"/>
            <w:noWrap/>
            <w:vAlign w:val="bottom"/>
            <w:hideMark/>
          </w:tcPr>
          <w:p w:rsidR="0054332B" w:rsidRPr="0054332B" w:rsidRDefault="0054332B" w:rsidP="0054332B">
            <w:pPr>
              <w:spacing w:before="0" w:after="0" w:line="240" w:lineRule="auto"/>
              <w:jc w:val="right"/>
              <w:rPr>
                <w:rFonts w:eastAsia="Times New Roman" w:cs="Calibri"/>
                <w:color w:val="000000"/>
                <w:sz w:val="22"/>
              </w:rPr>
            </w:pPr>
            <w:r w:rsidRPr="0054332B">
              <w:rPr>
                <w:rFonts w:eastAsia="Times New Roman" w:cs="Calibri"/>
                <w:color w:val="000000"/>
                <w:sz w:val="22"/>
              </w:rPr>
              <w:t>7</w:t>
            </w:r>
          </w:p>
        </w:tc>
        <w:tc>
          <w:tcPr>
            <w:tcW w:w="1177" w:type="dxa"/>
            <w:shd w:val="clear" w:color="auto" w:fill="auto"/>
            <w:noWrap/>
            <w:vAlign w:val="bottom"/>
            <w:hideMark/>
          </w:tcPr>
          <w:p w:rsidR="0054332B" w:rsidRPr="0054332B" w:rsidRDefault="0054332B" w:rsidP="0054332B">
            <w:pPr>
              <w:spacing w:before="0" w:after="0" w:line="240" w:lineRule="auto"/>
              <w:jc w:val="right"/>
              <w:rPr>
                <w:rFonts w:eastAsia="Times New Roman" w:cs="Calibri"/>
                <w:color w:val="000000"/>
                <w:sz w:val="22"/>
              </w:rPr>
            </w:pPr>
            <w:r w:rsidRPr="0054332B">
              <w:rPr>
                <w:rFonts w:eastAsia="Times New Roman" w:cs="Calibri"/>
                <w:color w:val="000000"/>
                <w:sz w:val="22"/>
              </w:rPr>
              <w:t>-4.83</w:t>
            </w:r>
          </w:p>
        </w:tc>
        <w:tc>
          <w:tcPr>
            <w:tcW w:w="1177" w:type="dxa"/>
            <w:shd w:val="clear" w:color="auto" w:fill="auto"/>
            <w:noWrap/>
            <w:vAlign w:val="bottom"/>
            <w:hideMark/>
          </w:tcPr>
          <w:p w:rsidR="0054332B" w:rsidRPr="0054332B" w:rsidRDefault="0054332B" w:rsidP="0054332B">
            <w:pPr>
              <w:spacing w:before="0" w:after="0" w:line="240" w:lineRule="auto"/>
              <w:jc w:val="right"/>
              <w:rPr>
                <w:rFonts w:eastAsia="Times New Roman" w:cs="Calibri"/>
                <w:color w:val="000000"/>
                <w:sz w:val="22"/>
              </w:rPr>
            </w:pPr>
            <w:r w:rsidRPr="0054332B">
              <w:rPr>
                <w:rFonts w:eastAsia="Times New Roman" w:cs="Calibri"/>
                <w:color w:val="000000"/>
                <w:sz w:val="22"/>
              </w:rPr>
              <w:t>0.259</w:t>
            </w:r>
          </w:p>
        </w:tc>
        <w:tc>
          <w:tcPr>
            <w:tcW w:w="1366" w:type="dxa"/>
            <w:shd w:val="clear" w:color="auto" w:fill="auto"/>
            <w:noWrap/>
            <w:vAlign w:val="bottom"/>
            <w:hideMark/>
          </w:tcPr>
          <w:p w:rsidR="0054332B" w:rsidRPr="0054332B" w:rsidRDefault="0054332B" w:rsidP="0054332B">
            <w:pPr>
              <w:spacing w:before="0" w:after="0" w:line="240" w:lineRule="auto"/>
              <w:jc w:val="right"/>
              <w:rPr>
                <w:rFonts w:eastAsia="Times New Roman" w:cs="Calibri"/>
                <w:color w:val="000000"/>
                <w:sz w:val="22"/>
              </w:rPr>
            </w:pPr>
            <w:r w:rsidRPr="0054332B">
              <w:rPr>
                <w:rFonts w:eastAsia="Times New Roman" w:cs="Calibri"/>
                <w:color w:val="000000"/>
                <w:sz w:val="22"/>
              </w:rPr>
              <w:t>-1.25097</w:t>
            </w:r>
          </w:p>
        </w:tc>
      </w:tr>
    </w:tbl>
    <w:p w:rsidR="0054332B" w:rsidRDefault="0054332B" w:rsidP="0054332B">
      <w:pPr>
        <w:rPr>
          <w:rFonts w:eastAsiaTheme="minorEastAsia"/>
        </w:rPr>
      </w:pPr>
    </w:p>
    <w:p w:rsidR="00C4242A" w:rsidRPr="0054332B" w:rsidRDefault="00C4242A" w:rsidP="0054332B">
      <w:pPr>
        <w:rPr>
          <w:rFonts w:eastAsiaTheme="minorEastAsia"/>
        </w:rPr>
      </w:pPr>
      <w:r>
        <w:br w:type="page"/>
      </w:r>
    </w:p>
    <w:p w:rsidR="004D4BB5" w:rsidRDefault="00FB6473" w:rsidP="00FB6473">
      <w:pPr>
        <w:pStyle w:val="Heading2"/>
      </w:pPr>
      <w:r>
        <w:lastRenderedPageBreak/>
        <w:t>Number of Turns:</w:t>
      </w:r>
    </w:p>
    <w:p w:rsidR="00FB6473" w:rsidRPr="00FB6473" w:rsidRDefault="00FB6473" w:rsidP="00FB6473">
      <w:bookmarkStart w:id="0" w:name="_GoBack"/>
      <w:bookmarkEnd w:id="0"/>
    </w:p>
    <w:sectPr w:rsidR="00FB6473" w:rsidRPr="00FB6473" w:rsidSect="00381F73">
      <w:footerReference w:type="default" r:id="rId1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40E3" w:rsidRDefault="007D40E3" w:rsidP="00381F73">
      <w:pPr>
        <w:spacing w:before="0" w:after="0" w:line="240" w:lineRule="auto"/>
      </w:pPr>
      <w:r>
        <w:separator/>
      </w:r>
    </w:p>
  </w:endnote>
  <w:endnote w:type="continuationSeparator" w:id="0">
    <w:p w:rsidR="007D40E3" w:rsidRDefault="007D40E3" w:rsidP="00381F7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9689246"/>
      <w:docPartObj>
        <w:docPartGallery w:val="Page Numbers (Bottom of Page)"/>
        <w:docPartUnique/>
      </w:docPartObj>
    </w:sdtPr>
    <w:sdtEndPr>
      <w:rPr>
        <w:noProof/>
      </w:rPr>
    </w:sdtEndPr>
    <w:sdtContent>
      <w:p w:rsidR="00381F73" w:rsidRDefault="00381F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81F73" w:rsidRDefault="00381F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40E3" w:rsidRDefault="007D40E3" w:rsidP="00381F73">
      <w:pPr>
        <w:spacing w:before="0" w:after="0" w:line="240" w:lineRule="auto"/>
      </w:pPr>
      <w:r>
        <w:separator/>
      </w:r>
    </w:p>
  </w:footnote>
  <w:footnote w:type="continuationSeparator" w:id="0">
    <w:p w:rsidR="007D40E3" w:rsidRDefault="007D40E3" w:rsidP="00381F7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5879FC"/>
    <w:multiLevelType w:val="hybridMultilevel"/>
    <w:tmpl w:val="75F23F40"/>
    <w:lvl w:ilvl="0" w:tplc="ACD4F78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F73"/>
    <w:rsid w:val="002B6F8F"/>
    <w:rsid w:val="002F2C4B"/>
    <w:rsid w:val="003430F5"/>
    <w:rsid w:val="00381F73"/>
    <w:rsid w:val="003F21CF"/>
    <w:rsid w:val="00483813"/>
    <w:rsid w:val="004D4BB5"/>
    <w:rsid w:val="0054332B"/>
    <w:rsid w:val="0074510D"/>
    <w:rsid w:val="007D40E3"/>
    <w:rsid w:val="008428ED"/>
    <w:rsid w:val="00971222"/>
    <w:rsid w:val="00B115DD"/>
    <w:rsid w:val="00BC5B08"/>
    <w:rsid w:val="00C4242A"/>
    <w:rsid w:val="00D155D5"/>
    <w:rsid w:val="00FB64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9EB5C"/>
  <w15:chartTrackingRefBased/>
  <w15:docId w15:val="{0E05291D-4A11-4962-BAB8-ED9F9E4DE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3813"/>
    <w:pPr>
      <w:spacing w:before="120" w:line="360" w:lineRule="auto"/>
      <w:jc w:val="both"/>
    </w:pPr>
    <w:rPr>
      <w:rFonts w:ascii="Cambria" w:hAnsi="Cambria"/>
      <w:sz w:val="24"/>
    </w:rPr>
  </w:style>
  <w:style w:type="paragraph" w:styleId="Heading1">
    <w:name w:val="heading 1"/>
    <w:basedOn w:val="Normal"/>
    <w:next w:val="Normal"/>
    <w:link w:val="Heading1Char"/>
    <w:uiPriority w:val="9"/>
    <w:qFormat/>
    <w:rsid w:val="00D155D5"/>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155D5"/>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5D5"/>
    <w:rPr>
      <w:rFonts w:ascii="Cambria" w:eastAsiaTheme="majorEastAsia" w:hAnsi="Cambria" w:cstheme="majorBidi"/>
      <w:b/>
      <w:sz w:val="32"/>
      <w:szCs w:val="32"/>
    </w:rPr>
  </w:style>
  <w:style w:type="paragraph" w:styleId="Subtitle">
    <w:name w:val="Subtitle"/>
    <w:basedOn w:val="Normal"/>
    <w:next w:val="Normal"/>
    <w:link w:val="SubtitleChar"/>
    <w:uiPriority w:val="11"/>
    <w:qFormat/>
    <w:rsid w:val="00D155D5"/>
    <w:pPr>
      <w:numPr>
        <w:ilvl w:val="1"/>
      </w:numPr>
    </w:pPr>
    <w:rPr>
      <w:rFonts w:eastAsiaTheme="minorEastAsia"/>
      <w:i/>
      <w:color w:val="5A5A5A" w:themeColor="text1" w:themeTint="A5"/>
      <w:spacing w:val="15"/>
      <w:sz w:val="22"/>
    </w:rPr>
  </w:style>
  <w:style w:type="character" w:customStyle="1" w:styleId="SubtitleChar">
    <w:name w:val="Subtitle Char"/>
    <w:basedOn w:val="DefaultParagraphFont"/>
    <w:link w:val="Subtitle"/>
    <w:uiPriority w:val="11"/>
    <w:rsid w:val="00D155D5"/>
    <w:rPr>
      <w:rFonts w:ascii="Cambria" w:eastAsiaTheme="minorEastAsia" w:hAnsi="Cambria"/>
      <w:i/>
      <w:color w:val="5A5A5A" w:themeColor="text1" w:themeTint="A5"/>
      <w:spacing w:val="15"/>
    </w:rPr>
  </w:style>
  <w:style w:type="paragraph" w:styleId="Title">
    <w:name w:val="Title"/>
    <w:basedOn w:val="Normal"/>
    <w:next w:val="Normal"/>
    <w:link w:val="TitleChar"/>
    <w:uiPriority w:val="10"/>
    <w:qFormat/>
    <w:rsid w:val="00D155D5"/>
    <w:pPr>
      <w:spacing w:before="0" w:after="0" w:line="240" w:lineRule="auto"/>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D155D5"/>
    <w:rPr>
      <w:rFonts w:ascii="Cambria" w:eastAsiaTheme="majorEastAsia" w:hAnsi="Cambria" w:cstheme="majorBidi"/>
      <w:b/>
      <w:spacing w:val="-10"/>
      <w:kern w:val="28"/>
      <w:sz w:val="24"/>
      <w:szCs w:val="56"/>
    </w:rPr>
  </w:style>
  <w:style w:type="character" w:customStyle="1" w:styleId="Heading2Char">
    <w:name w:val="Heading 2 Char"/>
    <w:basedOn w:val="DefaultParagraphFont"/>
    <w:link w:val="Heading2"/>
    <w:uiPriority w:val="9"/>
    <w:rsid w:val="00D155D5"/>
    <w:rPr>
      <w:rFonts w:ascii="Cambria" w:eastAsiaTheme="majorEastAsia" w:hAnsi="Cambria" w:cstheme="majorBidi"/>
      <w:b/>
      <w:sz w:val="26"/>
      <w:szCs w:val="26"/>
    </w:rPr>
  </w:style>
  <w:style w:type="paragraph" w:styleId="Header">
    <w:name w:val="header"/>
    <w:basedOn w:val="Normal"/>
    <w:link w:val="HeaderChar"/>
    <w:uiPriority w:val="99"/>
    <w:unhideWhenUsed/>
    <w:rsid w:val="00381F7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81F73"/>
    <w:rPr>
      <w:rFonts w:ascii="Cambria" w:hAnsi="Cambria"/>
      <w:sz w:val="24"/>
    </w:rPr>
  </w:style>
  <w:style w:type="paragraph" w:styleId="Footer">
    <w:name w:val="footer"/>
    <w:basedOn w:val="Normal"/>
    <w:link w:val="FooterChar"/>
    <w:uiPriority w:val="99"/>
    <w:unhideWhenUsed/>
    <w:rsid w:val="00381F7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81F73"/>
    <w:rPr>
      <w:rFonts w:ascii="Cambria" w:hAnsi="Cambria"/>
      <w:sz w:val="24"/>
    </w:rPr>
  </w:style>
  <w:style w:type="paragraph" w:styleId="ListParagraph">
    <w:name w:val="List Paragraph"/>
    <w:basedOn w:val="Normal"/>
    <w:uiPriority w:val="34"/>
    <w:qFormat/>
    <w:rsid w:val="002F2C4B"/>
    <w:pPr>
      <w:ind w:left="720"/>
      <w:contextualSpacing/>
    </w:pPr>
  </w:style>
  <w:style w:type="character" w:styleId="PlaceholderText">
    <w:name w:val="Placeholder Text"/>
    <w:basedOn w:val="DefaultParagraphFont"/>
    <w:uiPriority w:val="99"/>
    <w:semiHidden/>
    <w:rsid w:val="002F2C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831545">
      <w:bodyDiv w:val="1"/>
      <w:marLeft w:val="0"/>
      <w:marRight w:val="0"/>
      <w:marTop w:val="0"/>
      <w:marBottom w:val="0"/>
      <w:divBdr>
        <w:top w:val="none" w:sz="0" w:space="0" w:color="auto"/>
        <w:left w:val="none" w:sz="0" w:space="0" w:color="auto"/>
        <w:bottom w:val="none" w:sz="0" w:space="0" w:color="auto"/>
        <w:right w:val="none" w:sz="0" w:space="0" w:color="auto"/>
      </w:divBdr>
    </w:div>
    <w:div w:id="1990090726">
      <w:bodyDiv w:val="1"/>
      <w:marLeft w:val="0"/>
      <w:marRight w:val="0"/>
      <w:marTop w:val="0"/>
      <w:marBottom w:val="0"/>
      <w:divBdr>
        <w:top w:val="none" w:sz="0" w:space="0" w:color="auto"/>
        <w:left w:val="none" w:sz="0" w:space="0" w:color="auto"/>
        <w:bottom w:val="none" w:sz="0" w:space="0" w:color="auto"/>
        <w:right w:val="none" w:sz="0" w:space="0" w:color="auto"/>
      </w:divBdr>
    </w:div>
    <w:div w:id="205615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C68"/>
    <w:rsid w:val="00C61C68"/>
    <w:rsid w:val="00D014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1C6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B00A2-073B-4091-B962-AEF4168F2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Goksenin Hande Bayazit</dc:creator>
  <cp:keywords/>
  <dc:description/>
  <cp:lastModifiedBy>Goksenin Hande Bayazit</cp:lastModifiedBy>
  <cp:revision>3</cp:revision>
  <dcterms:created xsi:type="dcterms:W3CDTF">2018-04-26T00:21:00Z</dcterms:created>
  <dcterms:modified xsi:type="dcterms:W3CDTF">2018-04-26T03:19:00Z</dcterms:modified>
</cp:coreProperties>
</file>