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800"/>
      </w:pPr>
      <w:r>
        <w:t xml:space="preserve"/>
      </w:r>
    </w:p>
    <w:p>
      <w:pPr>
        <w:spacing w:after="80" w:before="0"/>
        <w:jc w:val="left"/>
      </w:pPr>
      <w:r>
        <w:rPr>
          <w:rFonts w:ascii="Arial" w:cs="Arial" w:eastAsia="Arial" w:hAnsi="Arial"/>
          <w:b/>
          <w:bCs/>
          <w:color w:val="002654"/>
          <w:sz w:val="56"/>
          <w:szCs w:val="56"/>
        </w:rPr>
        <w:t xml:space="preserve">Nordic Naturals</w:t>
      </w:r>
    </w:p>
    <w:p>
      <w:pPr>
        <w:spacing w:after="200" w:before="0"/>
        <w:jc w:val="left"/>
      </w:pPr>
      <w:r>
        <w:rPr>
          <w:rFonts w:ascii="Arial" w:cs="Arial" w:eastAsia="Arial" w:hAnsi="Arial"/>
          <w:b w:val="false"/>
          <w:bCs w:val="false"/>
          <w:color w:val="006B6B"/>
          <w:sz w:val="36"/>
          <w:szCs w:val="36"/>
        </w:rPr>
        <w:t xml:space="preserve">winded.vertigo</w:t>
      </w:r>
    </w:p>
    <w:p>
      <w:pPr>
        <w:pBdr>
          <w:bottom w:val="single" w:color="006B6B" w:sz="12" w:space="1"/>
        </w:pBdr>
        <w:spacing w:after="200" w:before="0"/>
      </w:pPr>
      <w:r>
        <w:t xml:space="preserve"/>
      </w:r>
    </w:p>
    <w:p>
      <w:pPr>
        <w:spacing w:after="120" w:before="200"/>
        <w:jc w:val="left"/>
      </w:pPr>
      <w:r>
        <w:rPr>
          <w:rFonts w:ascii="Arial" w:cs="Arial" w:eastAsia="Arial" w:hAnsi="Arial"/>
          <w:b/>
          <w:bCs/>
          <w:color w:val="002654"/>
          <w:sz w:val="48"/>
          <w:szCs w:val="48"/>
        </w:rPr>
        <w:t xml:space="preserve">2026 Scope of Work</w:t>
      </w:r>
    </w:p>
    <w:p>
      <w:pPr>
        <w:spacing w:after="400" w:before="0"/>
        <w:jc w:val="left"/>
      </w:pPr>
      <w:r>
        <w:rPr>
          <w:rFonts w:ascii="Arial" w:cs="Arial" w:eastAsia="Arial" w:hAnsi="Arial"/>
          <w:color w:val="006B6B"/>
          <w:sz w:val="28"/>
          <w:szCs w:val="28"/>
        </w:rPr>
        <w:t xml:space="preserve">Research Infrastructure, PCS Database &amp; Substantiation Platform</w:t>
      </w:r>
    </w:p>
    <w:p>
      <w:pPr>
        <w:spacing w:after="200" w:before="200"/>
      </w:pPr>
      <w:r>
        <w:t xml:space="preserve"/>
      </w:r>
    </w:p>
    <w:p>
      <w:pPr>
        <w:spacing w:after="80" w:before="0"/>
      </w:pPr>
      <w:r>
        <w:rPr>
          <w:rFonts w:ascii="Arial" w:cs="Arial" w:eastAsia="Arial" w:hAnsi="Arial"/>
          <w:color w:val="555555"/>
          <w:sz w:val="22"/>
          <w:szCs w:val="22"/>
        </w:rPr>
        <w:t xml:space="preserve">Prepared by: Garrett Jaeger, winded.vertigo LLC</w:t>
      </w:r>
    </w:p>
    <w:p>
      <w:pPr>
        <w:spacing w:after="80" w:before="0"/>
      </w:pPr>
      <w:r>
        <w:rPr>
          <w:rFonts w:ascii="Arial" w:cs="Arial" w:eastAsia="Arial" w:hAnsi="Arial"/>
          <w:color w:val="555555"/>
          <w:sz w:val="22"/>
          <w:szCs w:val="22"/>
        </w:rPr>
        <w:t xml:space="preserve">Prepared for: Sharon Matheny, Nordic Naturals</w:t>
      </w:r>
    </w:p>
    <w:p>
      <w:pPr>
        <w:spacing w:after="80" w:before="0"/>
      </w:pPr>
      <w:r>
        <w:rPr>
          <w:rFonts w:ascii="Arial" w:cs="Arial" w:eastAsia="Arial" w:hAnsi="Arial"/>
          <w:color w:val="555555"/>
          <w:sz w:val="22"/>
          <w:szCs w:val="22"/>
        </w:rPr>
        <w:t xml:space="preserve">Date: May 2026  |  MNDA: Executed</w:t>
      </w:r>
    </w:p>
    <w:p>
      <w:pPr>
        <w:spacing w:after="40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B6B" w:sz="1"/>
              <w:left w:val="single" w:color="006B6B" w:sz="1"/>
              <w:bottom w:val="single" w:color="006B6B" w:sz="1"/>
              <w:right w:val="single" w:color="006B6B" w:sz="1"/>
            </w:tcBorders>
            <w:shd w:fill="E8F4F4" w:val="clear"/>
            <w:tcMar>
              <w:top w:type="dxa" w:w="200"/>
              <w:left w:type="dxa" w:w="280"/>
              <w:bottom w:type="dxa" w:w="200"/>
              <w:right w:type="dxa" w:w="280"/>
            </w:tcMar>
          </w:tcPr>
          <w:p>
            <w:pPr>
              <w:spacing w:after="0" w:before="0"/>
            </w:pPr>
            <w:r>
              <w:rPr>
                <w:rFonts w:ascii="Arial" w:cs="Arial" w:eastAsia="Arial" w:hAnsi="Arial"/>
                <w:color w:val="002654"/>
                <w:sz w:val="22"/>
                <w:szCs w:val="22"/>
              </w:rPr>
              <w:t xml:space="preserve">This document reflects the full evolution of the Nordic Naturals engagement through May 14, 2026. It documents what has been built (Budget A — already delivered), the ongoing consulting and platform development work already underway since March 1 (Budget B — active, uncompensated), and workflow adjustments identified through direct collaboration with Lauren Bosio and the Nordic research team. Contract execution and first payment are immediately actionable.</w:t>
            </w:r>
          </w:p>
        </w:tc>
      </w:tr>
    </w:tbl>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002654"/>
          <w:sz w:val="32"/>
          <w:szCs w:val="32"/>
        </w:rPr>
        <w:t xml:space="preserve">1. How We Got Here</w:t>
      </w:r>
    </w:p>
    <w:p>
      <w:pPr>
        <w:pBdr>
          <w:bottom w:val="single" w:color="006B6B" w:sz="12" w:space="1"/>
        </w:pBdr>
        <w:spacing w:after="200" w:before="0"/>
      </w:pPr>
      <w:r>
        <w:t xml:space="preserve"/>
      </w:r>
    </w:p>
    <w:p>
      <w:pPr>
        <w:spacing w:after="60" w:before="60"/>
      </w:pPr>
      <w:r>
        <w:rPr>
          <w:rFonts w:ascii="Arial" w:cs="Arial" w:eastAsia="Arial" w:hAnsi="Arial"/>
          <w:b w:val="false"/>
          <w:bCs w:val="false"/>
          <w:color w:val="555555"/>
          <w:sz w:val="22"/>
          <w:szCs w:val="22"/>
        </w:rPr>
        <w:t xml:space="preserve">This engagement evolved significantly over 18 months. The timeline below captures each major inflection point — including work that extended substantially beyond the original budget scope before any contract was signed.</w:t>
      </w:r>
    </w:p>
    <w:p>
      <w:pPr>
        <w:spacing w:after="100" w:before="100"/>
      </w:pPr>
      <w:r>
        <w:t xml:space="preserve"/>
      </w:r>
    </w:p>
    <w:tbl>
      <w:tblPr>
        <w:tblW w:type="dxa" w:w="9360"/>
        <w:tblBorders>
          <w:top w:val="none"/>
          <w:left w:val="none"/>
          <w:bottom w:val="none"/>
          <w:right w:val="none"/>
          <w:insideH w:val="single" w:color="auto" w:sz="4"/>
          <w:insideV w:val="single" w:color="auto" w:sz="4"/>
        </w:tblBorders>
      </w:tblPr>
      <w:tblGrid>
        <w:gridCol w:w="1620"/>
        <w:gridCol w:w="7740"/>
      </w:tblGrid>
      <w:tr>
        <w:tc>
          <w:tcPr>
            <w:tcW w:type="dxa" w:w="1620"/>
            <w:tcBorders>
              <w:top w:val="none" w:color="FFFFFF" w:sz="0"/>
              <w:left w:val="none" w:color="FFFFFF" w:sz="0"/>
              <w:bottom w:val="none" w:color="FFFFFF" w:sz="0"/>
              <w:right w:val="none" w:color="FFFFFF" w:sz="0"/>
            </w:tcBorders>
            <w:shd w:fill="E8F4F4" w:val="clear"/>
            <w:tcMar>
              <w:top w:type="dxa" w:w="100"/>
              <w:left w:type="dxa" w:w="140"/>
              <w:bottom w:type="dxa" w:w="100"/>
              <w:right w:type="dxa" w:w="140"/>
            </w:tcMar>
            <w:vAlign w:val="top"/>
          </w:tcPr>
          <w:p>
            <w:r>
              <w:rPr>
                <w:rFonts w:ascii="Arial" w:cs="Arial" w:eastAsia="Arial" w:hAnsi="Arial"/>
                <w:b/>
                <w:bCs/>
                <w:color w:val="002654"/>
                <w:sz w:val="20"/>
                <w:szCs w:val="20"/>
              </w:rPr>
              <w:t xml:space="preserve">Early 2025</w:t>
            </w:r>
          </w:p>
        </w:tc>
        <w:tc>
          <w:tcPr>
            <w:tcW w:type="dxa" w:w="7740"/>
            <w:tcBorders>
              <w:top w:val="none" w:color="FFFFFF" w:sz="0"/>
              <w:left w:val="none" w:color="FFFFFF" w:sz="0"/>
              <w:bottom w:val="none" w:color="FFFFFF" w:sz="0"/>
              <w:right w:val="none" w:color="FFFFFF" w:sz="0"/>
            </w:tcBorders>
            <w:tcMar>
              <w:top w:type="dxa" w:w="100"/>
              <w:left w:type="dxa" w:w="200"/>
              <w:bottom w:type="dxa" w:w="100"/>
              <w:right w:type="dxa" w:w="140"/>
            </w:tcMar>
            <w:vAlign w:val="top"/>
          </w:tcPr>
          <w:p>
            <w:r>
              <w:rPr>
                <w:rFonts w:ascii="Arial" w:cs="Arial" w:eastAsia="Arial" w:hAnsi="Arial"/>
                <w:b/>
                <w:bCs/>
                <w:color w:val="002654"/>
                <w:sz w:val="22"/>
                <w:szCs w:val="22"/>
              </w:rPr>
              <w:t xml:space="preserve">Initial engagement scoped as a simple SaaS database build</w:t>
            </w:r>
          </w:p>
          <w:p>
            <w:pPr>
              <w:spacing w:before="40"/>
            </w:pPr>
            <w:r>
              <w:rPr>
                <w:rFonts w:ascii="Arial" w:cs="Arial" w:eastAsia="Arial" w:hAnsi="Arial"/>
                <w:color w:val="555555"/>
                <w:sz w:val="20"/>
                <w:szCs w:val="20"/>
              </w:rPr>
              <w:t xml:space="preserve">Original estimates: $5,000–$6,000 for a lightweight claims-tracking tool. This was the baseline assumption before the technical depth of the substantiation workflow became clear.</w:t>
            </w:r>
          </w:p>
        </w:tc>
      </w:tr>
    </w:tbl>
    <w:p>
      <w:pPr>
        <w:spacing w:after="40" w:before="40"/>
      </w:pPr>
      <w:r>
        <w:t xml:space="preserve"/>
      </w:r>
    </w:p>
    <w:tbl>
      <w:tblPr>
        <w:tblW w:type="dxa" w:w="9360"/>
        <w:tblBorders>
          <w:top w:val="none"/>
          <w:left w:val="none"/>
          <w:bottom w:val="none"/>
          <w:right w:val="none"/>
          <w:insideH w:val="single" w:color="auto" w:sz="4"/>
          <w:insideV w:val="single" w:color="auto" w:sz="4"/>
        </w:tblBorders>
      </w:tblPr>
      <w:tblGrid>
        <w:gridCol w:w="1620"/>
        <w:gridCol w:w="7740"/>
      </w:tblGrid>
      <w:tr>
        <w:tc>
          <w:tcPr>
            <w:tcW w:type="dxa" w:w="1620"/>
            <w:tcBorders>
              <w:top w:val="none" w:color="FFFFFF" w:sz="0"/>
              <w:left w:val="none" w:color="FFFFFF" w:sz="0"/>
              <w:bottom w:val="none" w:color="FFFFFF" w:sz="0"/>
              <w:right w:val="none" w:color="FFFFFF" w:sz="0"/>
            </w:tcBorders>
            <w:shd w:fill="E8F4F4" w:val="clear"/>
            <w:tcMar>
              <w:top w:type="dxa" w:w="100"/>
              <w:left w:type="dxa" w:w="140"/>
              <w:bottom w:type="dxa" w:w="100"/>
              <w:right w:type="dxa" w:w="140"/>
            </w:tcMar>
            <w:vAlign w:val="top"/>
          </w:tcPr>
          <w:p>
            <w:r>
              <w:rPr>
                <w:rFonts w:ascii="Arial" w:cs="Arial" w:eastAsia="Arial" w:hAnsi="Arial"/>
                <w:b/>
                <w:bCs/>
                <w:color w:val="002654"/>
                <w:sz w:val="20"/>
                <w:szCs w:val="20"/>
              </w:rPr>
              <w:t xml:space="preserve">Feb 27, 2026</w:t>
            </w:r>
          </w:p>
        </w:tc>
        <w:tc>
          <w:tcPr>
            <w:tcW w:type="dxa" w:w="7740"/>
            <w:tcBorders>
              <w:top w:val="none" w:color="FFFFFF" w:sz="0"/>
              <w:left w:val="none" w:color="FFFFFF" w:sz="0"/>
              <w:bottom w:val="none" w:color="FFFFFF" w:sz="0"/>
              <w:right w:val="none" w:color="FFFFFF" w:sz="0"/>
            </w:tcBorders>
            <w:tcMar>
              <w:top w:type="dxa" w:w="100"/>
              <w:left w:type="dxa" w:w="200"/>
              <w:bottom w:type="dxa" w:w="100"/>
              <w:right w:type="dxa" w:w="140"/>
            </w:tcMar>
            <w:vAlign w:val="top"/>
          </w:tcPr>
          <w:p>
            <w:r>
              <w:rPr>
                <w:rFonts w:ascii="Arial" w:cs="Arial" w:eastAsia="Arial" w:hAnsi="Arial"/>
                <w:b/>
                <w:bCs/>
                <w:color w:val="002654"/>
                <w:sz w:val="22"/>
                <w:szCs w:val="22"/>
              </w:rPr>
              <w:t xml:space="preserve">SQR-RCT Platform proposal delivered</w:t>
            </w:r>
          </w:p>
          <w:p>
            <w:pPr>
              <w:spacing w:before="40"/>
            </w:pPr>
            <w:r>
              <w:rPr>
                <w:rFonts w:ascii="Arial" w:cs="Arial" w:eastAsia="Arial" w:hAnsi="Arial"/>
                <w:color w:val="555555"/>
                <w:sz w:val="20"/>
                <w:szCs w:val="20"/>
              </w:rPr>
              <w:t xml:space="preserve">By this point the research review platform had grown into a full production system: 11-criterion rubric (V1 frozen, V2 data-driven), AI Reviewer (single + batch), complete IRR analytics suite (ICC, Cohen's Kappa, Fleiss' Kappa, PABAK), and Expert Network portal. Three pricing tiers delivered — Core $10K, Enhanced $17.5K, Full $25K — plus Validation Study report ($8K). Market value of what had been built: $85K–$130K. Cost to Nordic through this stage: a fraction of that, extended on trust before any contract was signed.</w:t>
            </w:r>
          </w:p>
        </w:tc>
      </w:tr>
    </w:tbl>
    <w:p>
      <w:pPr>
        <w:spacing w:after="40" w:before="40"/>
      </w:pPr>
      <w:r>
        <w:t xml:space="preserve"/>
      </w:r>
    </w:p>
    <w:tbl>
      <w:tblPr>
        <w:tblW w:type="dxa" w:w="9360"/>
        <w:tblBorders>
          <w:top w:val="none"/>
          <w:left w:val="none"/>
          <w:bottom w:val="none"/>
          <w:right w:val="none"/>
          <w:insideH w:val="single" w:color="auto" w:sz="4"/>
          <w:insideV w:val="single" w:color="auto" w:sz="4"/>
        </w:tblBorders>
      </w:tblPr>
      <w:tblGrid>
        <w:gridCol w:w="1620"/>
        <w:gridCol w:w="7740"/>
      </w:tblGrid>
      <w:tr>
        <w:tc>
          <w:tcPr>
            <w:tcW w:type="dxa" w:w="1620"/>
            <w:tcBorders>
              <w:top w:val="none" w:color="FFFFFF" w:sz="0"/>
              <w:left w:val="none" w:color="FFFFFF" w:sz="0"/>
              <w:bottom w:val="none" w:color="FFFFFF" w:sz="0"/>
              <w:right w:val="none" w:color="FFFFFF" w:sz="0"/>
            </w:tcBorders>
            <w:shd w:fill="E8F4F4" w:val="clear"/>
            <w:tcMar>
              <w:top w:type="dxa" w:w="100"/>
              <w:left w:type="dxa" w:w="140"/>
              <w:bottom w:type="dxa" w:w="100"/>
              <w:right w:type="dxa" w:w="140"/>
            </w:tcMar>
            <w:vAlign w:val="top"/>
          </w:tcPr>
          <w:p>
            <w:r>
              <w:rPr>
                <w:rFonts w:ascii="Arial" w:cs="Arial" w:eastAsia="Arial" w:hAnsi="Arial"/>
                <w:b/>
                <w:bCs/>
                <w:color w:val="002654"/>
                <w:sz w:val="20"/>
                <w:szCs w:val="20"/>
              </w:rPr>
              <w:t xml:space="preserve">March 2026</w:t>
            </w:r>
          </w:p>
        </w:tc>
        <w:tc>
          <w:tcPr>
            <w:tcW w:type="dxa" w:w="7740"/>
            <w:tcBorders>
              <w:top w:val="none" w:color="FFFFFF" w:sz="0"/>
              <w:left w:val="none" w:color="FFFFFF" w:sz="0"/>
              <w:bottom w:val="none" w:color="FFFFFF" w:sz="0"/>
              <w:right w:val="none" w:color="FFFFFF" w:sz="0"/>
            </w:tcBorders>
            <w:tcMar>
              <w:top w:type="dxa" w:w="100"/>
              <w:left w:type="dxa" w:w="200"/>
              <w:bottom w:type="dxa" w:w="100"/>
              <w:right w:type="dxa" w:w="140"/>
            </w:tcMar>
            <w:vAlign w:val="top"/>
          </w:tcPr>
          <w:p>
            <w:r>
              <w:rPr>
                <w:rFonts w:ascii="Arial" w:cs="Arial" w:eastAsia="Arial" w:hAnsi="Arial"/>
                <w:b/>
                <w:bCs/>
                <w:color w:val="002654"/>
                <w:sz w:val="22"/>
                <w:szCs w:val="22"/>
              </w:rPr>
              <w:t xml:space="preserve">PCS Database Phase 2 proposal delivered — retainer work begins</w:t>
            </w:r>
          </w:p>
          <w:p>
            <w:pPr>
              <w:spacing w:before="40"/>
            </w:pPr>
            <w:r>
              <w:rPr>
                <w:rFonts w:ascii="Arial" w:cs="Arial" w:eastAsia="Arial" w:hAnsi="Arial"/>
                <w:color w:val="555555"/>
                <w:sz w:val="20"/>
                <w:szCs w:val="20"/>
              </w:rPr>
              <w:t xml:space="preserve">Scope expanded again. The PCS database grew to 11 relational Notion databases with a custom Command Center web interface. Five build tiers proposed ($4.5K–$55K range depending on depth). Retainer options introduced: Standard $4,000/mo, Priority $6,000/mo (includes named backup contractor). This is the date from which back-pay for the Budget B retainer is calculated — consulting, platform adaptation, and stakeholder alignment work has been ongoing since March 1 without a signed agreement.</w:t>
            </w:r>
          </w:p>
        </w:tc>
      </w:tr>
    </w:tbl>
    <w:p>
      <w:pPr>
        <w:spacing w:after="40" w:before="40"/>
      </w:pPr>
      <w:r>
        <w:t xml:space="preserve"/>
      </w:r>
    </w:p>
    <w:tbl>
      <w:tblPr>
        <w:tblW w:type="dxa" w:w="9360"/>
        <w:tblBorders>
          <w:top w:val="none"/>
          <w:left w:val="none"/>
          <w:bottom w:val="none"/>
          <w:right w:val="none"/>
          <w:insideH w:val="single" w:color="auto" w:sz="4"/>
          <w:insideV w:val="single" w:color="auto" w:sz="4"/>
        </w:tblBorders>
      </w:tblPr>
      <w:tblGrid>
        <w:gridCol w:w="1620"/>
        <w:gridCol w:w="7740"/>
      </w:tblGrid>
      <w:tr>
        <w:tc>
          <w:tcPr>
            <w:tcW w:type="dxa" w:w="1620"/>
            <w:tcBorders>
              <w:top w:val="none" w:color="FFFFFF" w:sz="0"/>
              <w:left w:val="none" w:color="FFFFFF" w:sz="0"/>
              <w:bottom w:val="none" w:color="FFFFFF" w:sz="0"/>
              <w:right w:val="none" w:color="FFFFFF" w:sz="0"/>
            </w:tcBorders>
            <w:shd w:fill="E8F4F4" w:val="clear"/>
            <w:tcMar>
              <w:top w:type="dxa" w:w="100"/>
              <w:left w:type="dxa" w:w="140"/>
              <w:bottom w:type="dxa" w:w="100"/>
              <w:right w:type="dxa" w:w="140"/>
            </w:tcMar>
            <w:vAlign w:val="top"/>
          </w:tcPr>
          <w:p>
            <w:r>
              <w:rPr>
                <w:rFonts w:ascii="Arial" w:cs="Arial" w:eastAsia="Arial" w:hAnsi="Arial"/>
                <w:b/>
                <w:bCs/>
                <w:color w:val="002654"/>
                <w:sz w:val="20"/>
                <w:szCs w:val="20"/>
              </w:rPr>
              <w:t xml:space="preserve">Apr 13–14, 2026</w:t>
            </w:r>
          </w:p>
        </w:tc>
        <w:tc>
          <w:tcPr>
            <w:tcW w:type="dxa" w:w="7740"/>
            <w:tcBorders>
              <w:top w:val="none" w:color="FFFFFF" w:sz="0"/>
              <w:left w:val="none" w:color="FFFFFF" w:sz="0"/>
              <w:bottom w:val="none" w:color="FFFFFF" w:sz="0"/>
              <w:right w:val="none" w:color="FFFFFF" w:sz="0"/>
            </w:tcBorders>
            <w:tcMar>
              <w:top w:type="dxa" w:w="100"/>
              <w:left w:type="dxa" w:w="200"/>
              <w:bottom w:type="dxa" w:w="100"/>
              <w:right w:type="dxa" w:w="140"/>
            </w:tcMar>
            <w:vAlign w:val="top"/>
          </w:tcPr>
          <w:p>
            <w:r>
              <w:rPr>
                <w:rFonts w:ascii="Arial" w:cs="Arial" w:eastAsia="Arial" w:hAnsi="Arial"/>
                <w:b/>
                <w:bCs/>
                <w:color w:val="002654"/>
                <w:sz w:val="22"/>
                <w:szCs w:val="22"/>
              </w:rPr>
              <w:t xml:space="preserve">Meeting with Sharon Matheny. SOW signed.</w:t>
            </w:r>
          </w:p>
          <w:p>
            <w:pPr>
              <w:spacing w:before="40"/>
            </w:pPr>
            <w:r>
              <w:rPr>
                <w:rFonts w:ascii="Arial" w:cs="Arial" w:eastAsia="Arial" w:hAnsi="Arial"/>
                <w:color w:val="555555"/>
                <w:sz w:val="20"/>
                <w:szCs w:val="20"/>
              </w:rPr>
              <w:t xml:space="preserve">Scope, budget, and timeline aligned. Budget A cap: $50,000. Go-live target: June 30, 2026. Retainer: Priority tier at $6,000/mo. MNDA already in place.</w:t>
            </w:r>
          </w:p>
        </w:tc>
      </w:tr>
    </w:tbl>
    <w:p>
      <w:pPr>
        <w:spacing w:after="40" w:before="40"/>
      </w:pPr>
      <w:r>
        <w:t xml:space="preserve"/>
      </w:r>
    </w:p>
    <w:tbl>
      <w:tblPr>
        <w:tblW w:type="dxa" w:w="9360"/>
        <w:tblBorders>
          <w:top w:val="none"/>
          <w:left w:val="none"/>
          <w:bottom w:val="none"/>
          <w:right w:val="none"/>
          <w:insideH w:val="single" w:color="auto" w:sz="4"/>
          <w:insideV w:val="single" w:color="auto" w:sz="4"/>
        </w:tblBorders>
      </w:tblPr>
      <w:tblGrid>
        <w:gridCol w:w="1620"/>
        <w:gridCol w:w="7740"/>
      </w:tblGrid>
      <w:tr>
        <w:tc>
          <w:tcPr>
            <w:tcW w:type="dxa" w:w="1620"/>
            <w:tcBorders>
              <w:top w:val="none" w:color="FFFFFF" w:sz="0"/>
              <w:left w:val="none" w:color="FFFFFF" w:sz="0"/>
              <w:bottom w:val="none" w:color="FFFFFF" w:sz="0"/>
              <w:right w:val="none" w:color="FFFFFF" w:sz="0"/>
            </w:tcBorders>
            <w:shd w:fill="E8F4F4" w:val="clear"/>
            <w:tcMar>
              <w:top w:type="dxa" w:w="100"/>
              <w:left w:type="dxa" w:w="140"/>
              <w:bottom w:type="dxa" w:w="100"/>
              <w:right w:type="dxa" w:w="140"/>
            </w:tcMar>
            <w:vAlign w:val="top"/>
          </w:tcPr>
          <w:p>
            <w:r>
              <w:rPr>
                <w:rFonts w:ascii="Arial" w:cs="Arial" w:eastAsia="Arial" w:hAnsi="Arial"/>
                <w:b/>
                <w:bCs/>
                <w:color w:val="002654"/>
                <w:sz w:val="20"/>
                <w:szCs w:val="20"/>
              </w:rPr>
              <w:t xml:space="preserve">Apr 16, 2026</w:t>
            </w:r>
          </w:p>
        </w:tc>
        <w:tc>
          <w:tcPr>
            <w:tcW w:type="dxa" w:w="7740"/>
            <w:tcBorders>
              <w:top w:val="none" w:color="FFFFFF" w:sz="0"/>
              <w:left w:val="none" w:color="FFFFFF" w:sz="0"/>
              <w:bottom w:val="none" w:color="FFFFFF" w:sz="0"/>
              <w:right w:val="none" w:color="FFFFFF" w:sz="0"/>
            </w:tcBorders>
            <w:tcMar>
              <w:top w:type="dxa" w:w="100"/>
              <w:left w:type="dxa" w:w="200"/>
              <w:bottom w:type="dxa" w:w="100"/>
              <w:right w:type="dxa" w:w="140"/>
            </w:tcMar>
            <w:vAlign w:val="top"/>
          </w:tcPr>
          <w:p>
            <w:r>
              <w:rPr>
                <w:rFonts w:ascii="Arial" w:cs="Arial" w:eastAsia="Arial" w:hAnsi="Arial"/>
                <w:b/>
                <w:bCs/>
                <w:color w:val="002654"/>
                <w:sz w:val="22"/>
                <w:szCs w:val="22"/>
              </w:rPr>
              <w:t xml:space="preserve">Lauren Bosio (Product Development) joined the engagement</w:t>
            </w:r>
          </w:p>
          <w:p>
            <w:pPr>
              <w:spacing w:before="40"/>
            </w:pPr>
            <w:r>
              <w:rPr>
                <w:rFonts w:ascii="Arial" w:cs="Arial" w:eastAsia="Arial" w:hAnsi="Arial"/>
                <w:color w:val="555555"/>
                <w:sz w:val="20"/>
                <w:szCs w:val="20"/>
              </w:rPr>
              <w:t xml:space="preserve">Lauren's CAI-PBE system — Claims, Active Ingredients, Products, Benefits in SmartSheet — revealed four critical schema gaps in the existing PCS build: (1) claim prefix separation, (2) AI nomenclature standardization, (3) benefit categories, (4) demographics. A PCS Gap Analysis was produced. These gaps are not optional refinements; they are blockers to cross-departmental use.</w:t>
            </w:r>
          </w:p>
        </w:tc>
      </w:tr>
    </w:tbl>
    <w:p>
      <w:pPr>
        <w:spacing w:after="40" w:before="40"/>
      </w:pPr>
      <w:r>
        <w:t xml:space="preserve"/>
      </w:r>
    </w:p>
    <w:tbl>
      <w:tblPr>
        <w:tblW w:type="dxa" w:w="9360"/>
        <w:tblBorders>
          <w:top w:val="none"/>
          <w:left w:val="none"/>
          <w:bottom w:val="none"/>
          <w:right w:val="none"/>
          <w:insideH w:val="single" w:color="auto" w:sz="4"/>
          <w:insideV w:val="single" w:color="auto" w:sz="4"/>
        </w:tblBorders>
      </w:tblPr>
      <w:tblGrid>
        <w:gridCol w:w="1620"/>
        <w:gridCol w:w="7740"/>
      </w:tblGrid>
      <w:tr>
        <w:tc>
          <w:tcPr>
            <w:tcW w:type="dxa" w:w="1620"/>
            <w:tcBorders>
              <w:top w:val="none" w:color="FFFFFF" w:sz="0"/>
              <w:left w:val="none" w:color="FFFFFF" w:sz="0"/>
              <w:bottom w:val="none" w:color="FFFFFF" w:sz="0"/>
              <w:right w:val="none" w:color="FFFFFF" w:sz="0"/>
            </w:tcBorders>
            <w:shd w:fill="E8F4F4" w:val="clear"/>
            <w:tcMar>
              <w:top w:type="dxa" w:w="100"/>
              <w:left w:type="dxa" w:w="140"/>
              <w:bottom w:type="dxa" w:w="100"/>
              <w:right w:type="dxa" w:w="140"/>
            </w:tcMar>
            <w:vAlign w:val="top"/>
          </w:tcPr>
          <w:p>
            <w:r>
              <w:rPr>
                <w:rFonts w:ascii="Arial" w:cs="Arial" w:eastAsia="Arial" w:hAnsi="Arial"/>
                <w:b/>
                <w:bCs/>
                <w:color w:val="002654"/>
                <w:sz w:val="20"/>
                <w:szCs w:val="20"/>
              </w:rPr>
              <w:t xml:space="preserve">Apr 17, 2026</w:t>
            </w:r>
          </w:p>
        </w:tc>
        <w:tc>
          <w:tcPr>
            <w:tcW w:type="dxa" w:w="7740"/>
            <w:tcBorders>
              <w:top w:val="none" w:color="FFFFFF" w:sz="0"/>
              <w:left w:val="none" w:color="FFFFFF" w:sz="0"/>
              <w:bottom w:val="none" w:color="FFFFFF" w:sz="0"/>
              <w:right w:val="none" w:color="FFFFFF" w:sz="0"/>
            </w:tcBorders>
            <w:tcMar>
              <w:top w:type="dxa" w:w="100"/>
              <w:left w:type="dxa" w:w="200"/>
              <w:bottom w:type="dxa" w:w="100"/>
              <w:right w:type="dxa" w:w="140"/>
            </w:tcMar>
            <w:vAlign w:val="top"/>
          </w:tcPr>
          <w:p>
            <w:r>
              <w:rPr>
                <w:rFonts w:ascii="Arial" w:cs="Arial" w:eastAsia="Arial" w:hAnsi="Arial"/>
                <w:b/>
                <w:bCs/>
                <w:color w:val="002654"/>
                <w:sz w:val="22"/>
                <w:szCs w:val="22"/>
              </w:rPr>
              <w:t xml:space="preserve">Sharon introduced two significant new requirements</w:t>
            </w:r>
          </w:p>
          <w:p>
            <w:pPr>
              <w:spacing w:before="40"/>
            </w:pPr>
            <w:r>
              <w:rPr>
                <w:rFonts w:ascii="Arial" w:cs="Arial" w:eastAsia="Arial" w:hAnsi="Arial"/>
                <w:color w:val="555555"/>
                <w:sz w:val="20"/>
                <w:szCs w:val="20"/>
              </w:rPr>
              <w:t xml:space="preserve">Requirement 1: Cochrane Risk of Bias 2 (RoB 2) integration — REVISED to layer onto the existing SQR-RCT platform rather than build from scratch (materially reduces cost and timeline). Requirement 2: Auto-PCS Generator — an Ingredient x Dose x Claim catalog that can auto-generate PCS documents from formula specifications. This is Sharon's flagship new ask and represents a substantial capability leap. Deferred to 2027 due to Budget A cap.</w:t>
            </w:r>
          </w:p>
        </w:tc>
      </w:tr>
    </w:tbl>
    <w:p>
      <w:pPr>
        <w:spacing w:after="40" w:before="40"/>
      </w:pPr>
      <w:r>
        <w:t xml:space="preserve"/>
      </w:r>
    </w:p>
    <w:tbl>
      <w:tblPr>
        <w:tblW w:type="dxa" w:w="9360"/>
        <w:tblBorders>
          <w:top w:val="none"/>
          <w:left w:val="none"/>
          <w:bottom w:val="none"/>
          <w:right w:val="none"/>
          <w:insideH w:val="single" w:color="auto" w:sz="4"/>
          <w:insideV w:val="single" w:color="auto" w:sz="4"/>
        </w:tblBorders>
      </w:tblPr>
      <w:tblGrid>
        <w:gridCol w:w="1620"/>
        <w:gridCol w:w="7740"/>
      </w:tblGrid>
      <w:tr>
        <w:tc>
          <w:tcPr>
            <w:tcW w:type="dxa" w:w="1620"/>
            <w:tcBorders>
              <w:top w:val="none" w:color="FFFFFF" w:sz="0"/>
              <w:left w:val="none" w:color="FFFFFF" w:sz="0"/>
              <w:bottom w:val="none" w:color="FFFFFF" w:sz="0"/>
              <w:right w:val="none" w:color="FFFFFF" w:sz="0"/>
            </w:tcBorders>
            <w:shd w:fill="E8F4F4" w:val="clear"/>
            <w:tcMar>
              <w:top w:type="dxa" w:w="100"/>
              <w:left w:type="dxa" w:w="140"/>
              <w:bottom w:type="dxa" w:w="100"/>
              <w:right w:type="dxa" w:w="140"/>
            </w:tcMar>
            <w:vAlign w:val="top"/>
          </w:tcPr>
          <w:p>
            <w:r>
              <w:rPr>
                <w:rFonts w:ascii="Arial" w:cs="Arial" w:eastAsia="Arial" w:hAnsi="Arial"/>
                <w:b/>
                <w:bCs/>
                <w:color w:val="002654"/>
                <w:sz w:val="20"/>
                <w:szCs w:val="20"/>
              </w:rPr>
              <w:t xml:space="preserve">Apr 19, 2026</w:t>
            </w:r>
          </w:p>
        </w:tc>
        <w:tc>
          <w:tcPr>
            <w:tcW w:type="dxa" w:w="7740"/>
            <w:tcBorders>
              <w:top w:val="none" w:color="FFFFFF" w:sz="0"/>
              <w:left w:val="none" w:color="FFFFFF" w:sz="0"/>
              <w:bottom w:val="none" w:color="FFFFFF" w:sz="0"/>
              <w:right w:val="none" w:color="FFFFFF" w:sz="0"/>
            </w:tcBorders>
            <w:tcMar>
              <w:top w:type="dxa" w:w="100"/>
              <w:left w:type="dxa" w:w="200"/>
              <w:bottom w:type="dxa" w:w="100"/>
              <w:right w:type="dxa" w:w="140"/>
            </w:tcMar>
            <w:vAlign w:val="top"/>
          </w:tcPr>
          <w:p>
            <w:r>
              <w:rPr>
                <w:rFonts w:ascii="Arial" w:cs="Arial" w:eastAsia="Arial" w:hAnsi="Arial"/>
                <w:b/>
                <w:bCs/>
                <w:color w:val="002654"/>
                <w:sz w:val="22"/>
                <w:szCs w:val="22"/>
              </w:rPr>
              <w:t xml:space="preserve">Multi-Profile Data Architecture document produced</w:t>
            </w:r>
          </w:p>
          <w:p>
            <w:pPr>
              <w:spacing w:before="40"/>
            </w:pPr>
            <w:r>
              <w:rPr>
                <w:rFonts w:ascii="Arial" w:cs="Arial" w:eastAsia="Arial" w:hAnsi="Arial"/>
                <w:color w:val="555555"/>
                <w:sz w:val="20"/>
                <w:szCs w:val="20"/>
              </w:rPr>
              <w:t xml:space="preserve">Synthesized Lauren's inputs into a six-week build plan for the multi-departmental data layer (PD, Research, RA, Marketing views sharing one schema). Introduced claim_prefixes, core_benefits, benefit_categories, and canonical_claims refactor as the architectural backbone.</w:t>
            </w:r>
          </w:p>
        </w:tc>
      </w:tr>
    </w:tbl>
    <w:p>
      <w:pPr>
        <w:spacing w:after="40" w:before="40"/>
      </w:pPr>
      <w:r>
        <w:t xml:space="preserve"/>
      </w:r>
    </w:p>
    <w:tbl>
      <w:tblPr>
        <w:tblW w:type="dxa" w:w="9360"/>
        <w:tblBorders>
          <w:top w:val="none"/>
          <w:left w:val="none"/>
          <w:bottom w:val="none"/>
          <w:right w:val="none"/>
          <w:insideH w:val="single" w:color="auto" w:sz="4"/>
          <w:insideV w:val="single" w:color="auto" w:sz="4"/>
        </w:tblBorders>
      </w:tblPr>
      <w:tblGrid>
        <w:gridCol w:w="1620"/>
        <w:gridCol w:w="7740"/>
      </w:tblGrid>
      <w:tr>
        <w:tc>
          <w:tcPr>
            <w:tcW w:type="dxa" w:w="1620"/>
            <w:tcBorders>
              <w:top w:val="none" w:color="FFFFFF" w:sz="0"/>
              <w:left w:val="none" w:color="FFFFFF" w:sz="0"/>
              <w:bottom w:val="none" w:color="FFFFFF" w:sz="0"/>
              <w:right w:val="none" w:color="FFFFFF" w:sz="0"/>
            </w:tcBorders>
            <w:shd w:fill="E8F4F4" w:val="clear"/>
            <w:tcMar>
              <w:top w:type="dxa" w:w="100"/>
              <w:left w:type="dxa" w:w="140"/>
              <w:bottom w:type="dxa" w:w="100"/>
              <w:right w:type="dxa" w:w="140"/>
            </w:tcMar>
            <w:vAlign w:val="top"/>
          </w:tcPr>
          <w:p>
            <w:r>
              <w:rPr>
                <w:rFonts w:ascii="Arial" w:cs="Arial" w:eastAsia="Arial" w:hAnsi="Arial"/>
                <w:b/>
                <w:bCs/>
                <w:color w:val="002654"/>
                <w:sz w:val="20"/>
                <w:szCs w:val="20"/>
              </w:rPr>
              <w:t xml:space="preserve">Apr 22, 2026</w:t>
            </w:r>
          </w:p>
        </w:tc>
        <w:tc>
          <w:tcPr>
            <w:tcW w:type="dxa" w:w="7740"/>
            <w:tcBorders>
              <w:top w:val="none" w:color="FFFFFF" w:sz="0"/>
              <w:left w:val="none" w:color="FFFFFF" w:sz="0"/>
              <w:bottom w:val="none" w:color="FFFFFF" w:sz="0"/>
              <w:right w:val="none" w:color="FFFFFF" w:sz="0"/>
            </w:tcBorders>
            <w:tcMar>
              <w:top w:type="dxa" w:w="100"/>
              <w:left w:type="dxa" w:w="200"/>
              <w:bottom w:type="dxa" w:w="100"/>
              <w:right w:type="dxa" w:w="140"/>
            </w:tcMar>
            <w:vAlign w:val="top"/>
          </w:tcPr>
          <w:p>
            <w:r>
              <w:rPr>
                <w:rFonts w:ascii="Arial" w:cs="Arial" w:eastAsia="Arial" w:hAnsi="Arial"/>
                <w:b/>
                <w:bCs/>
                <w:color w:val="002654"/>
                <w:sz w:val="22"/>
                <w:szCs w:val="22"/>
              </w:rPr>
              <w:t xml:space="preserve">Lauren shared 'standardisations of substantiation data'</w:t>
            </w:r>
          </w:p>
          <w:p>
            <w:pPr>
              <w:spacing w:before="40"/>
            </w:pPr>
            <w:r>
              <w:rPr>
                <w:rFonts w:ascii="Arial" w:cs="Arial" w:eastAsia="Arial" w:hAnsi="Arial"/>
                <w:color w:val="555555"/>
                <w:sz w:val="20"/>
                <w:szCs w:val="20"/>
              </w:rPr>
              <w:t xml:space="preserve">Additional schema context surfaced four more important (non-blocking) gaps: SKU/format standardization, material number tracking, cross-portfolio claim views, and claim frequency analysis. These inform 2027 planning. Rate-card value of Budget A deliverables now estimated at ~$71,400 — exceeds the $50,000 cap. Excess features reclassified as Budget B retainer scope.</w:t>
            </w:r>
          </w:p>
        </w:tc>
      </w:tr>
    </w:tbl>
    <w:p>
      <w:pPr>
        <w:spacing w:after="40" w:before="40"/>
      </w:pPr>
      <w:r>
        <w:t xml:space="preserve"/>
      </w:r>
    </w:p>
    <w:tbl>
      <w:tblPr>
        <w:tblW w:type="dxa" w:w="9360"/>
        <w:tblBorders>
          <w:top w:val="none"/>
          <w:left w:val="none"/>
          <w:bottom w:val="none"/>
          <w:right w:val="none"/>
          <w:insideH w:val="single" w:color="auto" w:sz="4"/>
          <w:insideV w:val="single" w:color="auto" w:sz="4"/>
        </w:tblBorders>
      </w:tblPr>
      <w:tblGrid>
        <w:gridCol w:w="1620"/>
        <w:gridCol w:w="7740"/>
      </w:tblGrid>
      <w:tr>
        <w:tc>
          <w:tcPr>
            <w:tcW w:type="dxa" w:w="1620"/>
            <w:tcBorders>
              <w:top w:val="none" w:color="FFFFFF" w:sz="0"/>
              <w:left w:val="none" w:color="FFFFFF" w:sz="0"/>
              <w:bottom w:val="none" w:color="FFFFFF" w:sz="0"/>
              <w:right w:val="none" w:color="FFFFFF" w:sz="0"/>
            </w:tcBorders>
            <w:shd w:fill="E8F4F4" w:val="clear"/>
            <w:tcMar>
              <w:top w:type="dxa" w:w="100"/>
              <w:left w:type="dxa" w:w="140"/>
              <w:bottom w:type="dxa" w:w="100"/>
              <w:right w:type="dxa" w:w="140"/>
            </w:tcMar>
            <w:vAlign w:val="top"/>
          </w:tcPr>
          <w:p>
            <w:r>
              <w:rPr>
                <w:rFonts w:ascii="Arial" w:cs="Arial" w:eastAsia="Arial" w:hAnsi="Arial"/>
                <w:b/>
                <w:bCs/>
                <w:color w:val="002654"/>
                <w:sz w:val="20"/>
                <w:szCs w:val="20"/>
              </w:rPr>
              <w:t xml:space="preserve">May 14, 2026</w:t>
            </w:r>
          </w:p>
        </w:tc>
        <w:tc>
          <w:tcPr>
            <w:tcW w:type="dxa" w:w="7740"/>
            <w:tcBorders>
              <w:top w:val="none" w:color="FFFFFF" w:sz="0"/>
              <w:left w:val="none" w:color="FFFFFF" w:sz="0"/>
              <w:bottom w:val="none" w:color="FFFFFF" w:sz="0"/>
              <w:right w:val="none" w:color="FFFFFF" w:sz="0"/>
            </w:tcBorders>
            <w:tcMar>
              <w:top w:type="dxa" w:w="100"/>
              <w:left w:type="dxa" w:w="200"/>
              <w:bottom w:type="dxa" w:w="100"/>
              <w:right w:type="dxa" w:w="140"/>
            </w:tcMar>
            <w:vAlign w:val="top"/>
          </w:tcPr>
          <w:p>
            <w:r>
              <w:rPr>
                <w:rFonts w:ascii="Arial" w:cs="Arial" w:eastAsia="Arial" w:hAnsi="Arial"/>
                <w:b/>
                <w:bCs/>
                <w:color w:val="002654"/>
                <w:sz w:val="22"/>
                <w:szCs w:val="22"/>
              </w:rPr>
              <w:t xml:space="preserve">Platform demo with Lauren Bosio — AICS workflow alignment</w:t>
            </w:r>
          </w:p>
          <w:p>
            <w:pPr>
              <w:spacing w:before="40"/>
            </w:pPr>
            <w:r>
              <w:rPr>
                <w:rFonts w:ascii="Arial" w:cs="Arial" w:eastAsia="Arial" w:hAnsi="Arial"/>
                <w:color w:val="555555"/>
                <w:sz w:val="20"/>
                <w:szCs w:val="20"/>
              </w:rPr>
              <w:t xml:space="preserve">Critical milestone: Lauren and the Nordic research team formally aligned on transitioning AICS (Active Ingredient Claim Substantiation) document generation to the new platform. Lauren has been creating AICS documents manually and sharing them with Garrett via Google Drive — the platform exists and is ready for this workflow. Action items from this session: Garrett to send updated SOW and contract, and to contact Sharon with urgency. Contract execution is the gate.</w:t>
            </w:r>
          </w:p>
        </w:tc>
      </w:tr>
    </w:tbl>
    <w:p>
      <w:pPr>
        <w:spacing w:after="200" w:before="200"/>
      </w:pPr>
      <w:r>
        <w:t xml:space="preserve"/>
      </w:r>
    </w:p>
    <w:p>
      <w:r>
        <w:br w:type="page"/>
      </w:r>
    </w:p>
    <w:p>
      <w:pPr>
        <w:pStyle w:val="Heading1"/>
      </w:pPr>
      <w:r>
        <w:rPr>
          <w:rFonts w:ascii="Arial" w:cs="Arial" w:eastAsia="Arial" w:hAnsi="Arial"/>
          <w:b/>
          <w:bCs/>
          <w:color w:val="002654"/>
          <w:sz w:val="32"/>
          <w:szCs w:val="32"/>
        </w:rPr>
        <w:t xml:space="preserve">2. What Has Been Built</w:t>
      </w:r>
    </w:p>
    <w:p>
      <w:pPr>
        <w:pBdr>
          <w:bottom w:val="single" w:color="006B6B" w:sz="12" w:space="1"/>
        </w:pBdr>
        <w:spacing w:after="200" w:before="0"/>
      </w:pPr>
      <w:r>
        <w:t xml:space="preserve"/>
      </w:r>
    </w:p>
    <w:p>
      <w:pPr>
        <w:spacing w:after="60" w:before="60"/>
      </w:pPr>
      <w:r>
        <w:rPr>
          <w:rFonts w:ascii="Arial" w:cs="Arial" w:eastAsia="Arial" w:hAnsi="Arial"/>
          <w:b w:val="false"/>
          <w:bCs w:val="false"/>
          <w:color w:val="555555"/>
          <w:sz w:val="22"/>
          <w:szCs w:val="22"/>
        </w:rPr>
        <w:t xml:space="preserve">The following assets exist in production as of May 2026. All were built primarily on trust, before a signed contract. The market-value comparison is based on agency day-rate benchmarks ($150–$250/hr) for comparable systems.</w:t>
      </w:r>
    </w:p>
    <w:p>
      <w:pPr>
        <w:spacing w:after="80" w:before="80"/>
      </w:pPr>
      <w:r>
        <w:t xml:space="preserve"/>
      </w:r>
    </w:p>
    <w:p>
      <w:pPr>
        <w:pStyle w:val="Heading2"/>
      </w:pPr>
      <w:r>
        <w:rPr>
          <w:rFonts w:ascii="Arial" w:cs="Arial" w:eastAsia="Arial" w:hAnsi="Arial"/>
          <w:b/>
          <w:bCs/>
          <w:color w:val="006B6B"/>
          <w:sz w:val="26"/>
          <w:szCs w:val="26"/>
        </w:rPr>
        <w:t xml:space="preserve">2.1  SQR-RCT Research Review Platform</w:t>
      </w:r>
    </w:p>
    <w:p>
      <w:pPr>
        <w:spacing w:after="60" w:before="60"/>
      </w:pPr>
      <w:r>
        <w:rPr>
          <w:rFonts w:ascii="Arial" w:cs="Arial" w:eastAsia="Arial" w:hAnsi="Arial"/>
          <w:b w:val="false"/>
          <w:bCs w:val="false"/>
          <w:color w:val="333333"/>
          <w:sz w:val="22"/>
          <w:szCs w:val="22"/>
        </w:rPr>
        <w:t xml:space="preserve">Live at nordic.windedvertigo.com — a fully custom Next.js production application.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002654" w:sz="1"/>
              <w:left w:val="single" w:color="002654" w:sz="1"/>
              <w:bottom w:val="single" w:color="002654" w:sz="1"/>
              <w:right w:val="single" w:color="002654" w:sz="1"/>
            </w:tcBorders>
            <w:shd w:fill="00265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Component</w:t>
            </w:r>
          </w:p>
        </w:tc>
        <w:tc>
          <w:tcPr>
            <w:tcW w:type="dxa" w:w="6240"/>
            <w:tcBorders>
              <w:top w:val="single" w:color="002654" w:sz="1"/>
              <w:left w:val="single" w:color="002654" w:sz="1"/>
              <w:bottom w:val="single" w:color="002654" w:sz="1"/>
              <w:right w:val="single" w:color="002654" w:sz="1"/>
            </w:tcBorders>
            <w:shd w:fill="00265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Codebase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9,200+ lines of production TypeScript/Next.js code. Waves 4.x through 8 complete.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Rubric System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11-criterion rubric. V1 is frozen and in active use; V2 is data-driven with configurable criterion weighting.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AI Reviewer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Single-article review and batch processing pipeline. Outputs structured rubric scores with citation-level justifications.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IRR Analytics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Full inter-rater reliability suite: ICC, Cohen's Kappa, Fleiss' Kappa, PABAK. Research-grade statistical outputs.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Expert Network Portal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Reviewer onboarding, assignment, and tracking. Current usage: 36 articles, 53 reviews, 6 active reviewers.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Validation Study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22,000-word peer-quality research report comparing 5 quality frameworks, with 60+ references. Publishable in current form.</w:t>
            </w:r>
          </w:p>
        </w:tc>
      </w:tr>
    </w:tbl>
    <w:p>
      <w:pPr>
        <w:spacing w:after="160" w:before="160"/>
      </w:pPr>
      <w:r>
        <w:t xml:space="preserve"/>
      </w:r>
    </w:p>
    <w:p>
      <w:pPr>
        <w:pStyle w:val="Heading2"/>
      </w:pPr>
      <w:r>
        <w:rPr>
          <w:rFonts w:ascii="Arial" w:cs="Arial" w:eastAsia="Arial" w:hAnsi="Arial"/>
          <w:b/>
          <w:bCs/>
          <w:color w:val="006B6B"/>
          <w:sz w:val="26"/>
          <w:szCs w:val="26"/>
        </w:rPr>
        <w:t xml:space="preserve">2.2  PCS Database &amp; Command Center</w:t>
      </w:r>
    </w:p>
    <w:p>
      <w:pPr>
        <w:spacing w:after="60" w:before="60"/>
      </w:pPr>
      <w:r>
        <w:rPr>
          <w:rFonts w:ascii="Arial" w:cs="Arial" w:eastAsia="Arial" w:hAnsi="Arial"/>
          <w:b w:val="false"/>
          <w:bCs w:val="false"/>
          <w:color w:val="333333"/>
          <w:sz w:val="22"/>
          <w:szCs w:val="22"/>
        </w:rPr>
        <w:t xml:space="preserve">11 relational Notion databases with a custom web Command Center at port.windedvertigo.com/pcs.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02654" w:sz="1"/>
              <w:left w:val="single" w:color="002654" w:sz="1"/>
              <w:bottom w:val="single" w:color="002654" w:sz="1"/>
              <w:right w:val="single" w:color="002654" w:sz="1"/>
            </w:tcBorders>
            <w:shd w:fill="00265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Database</w:t>
            </w:r>
          </w:p>
        </w:tc>
        <w:tc>
          <w:tcPr>
            <w:tcW w:type="dxa" w:w="6960"/>
            <w:tcBorders>
              <w:top w:val="single" w:color="002654" w:sz="1"/>
              <w:left w:val="single" w:color="002654" w:sz="1"/>
              <w:bottom w:val="single" w:color="002654" w:sz="1"/>
              <w:right w:val="single" w:color="002654" w:sz="1"/>
            </w:tcBorders>
            <w:shd w:fill="00265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Products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Master product registry with versioning, category, and formula linkage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Versions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SKU-level version tracking with effective dates and regulatory status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Claims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Structured claim library with type, regulatory status, and evidence linkage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Evidence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Evidence records linked to claims, with quality tier and source metadata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Formulas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Formula compositions linking active ingredients to products and doses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Supplement Facts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Parsed supplement facts panel data per SKU</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Revision History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for all PCS changes with author and rationale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Canonical Claims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Normalised master claim set eliminating duplicates across products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Evidence Packets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Bundled evidence sets supporting specific canonical claims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Claim Wording Variants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Approved claim language variations for regulatory and marketing contexts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PCS Requests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Intake queue for new PCS generation requests from internal teams</w:t>
            </w:r>
          </w:p>
        </w:tc>
      </w:tr>
    </w:tbl>
    <w:p>
      <w:pPr>
        <w:spacing w:after="200" w:before="200"/>
      </w:pPr>
      <w:r>
        <w:t xml:space="preserve"/>
      </w:r>
    </w:p>
    <w:p>
      <w:pPr>
        <w:pStyle w:val="Heading2"/>
      </w:pPr>
      <w:r>
        <w:rPr>
          <w:rFonts w:ascii="Arial" w:cs="Arial" w:eastAsia="Arial" w:hAnsi="Arial"/>
          <w:b/>
          <w:bCs/>
          <w:color w:val="006B6B"/>
          <w:sz w:val="26"/>
          <w:szCs w:val="26"/>
        </w:rPr>
        <w:t xml:space="preserve">2.3  Market Value vs. Budget A Investment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430"/>
        <w:gridCol w:w="2430"/>
        <w:gridCol w:w="1000"/>
      </w:tblGrid>
      <w:tr>
        <w:tc>
          <w:tcPr>
            <w:tcW w:type="dxa" w:w="3500"/>
            <w:tcBorders>
              <w:top w:val="single" w:color="002654" w:sz="1"/>
              <w:left w:val="single" w:color="002654" w:sz="1"/>
              <w:bottom w:val="single" w:color="002654" w:sz="1"/>
              <w:right w:val="single" w:color="002654" w:sz="1"/>
            </w:tcBorders>
            <w:shd w:fill="00265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Asset</w:t>
            </w:r>
          </w:p>
        </w:tc>
        <w:tc>
          <w:tcPr>
            <w:tcW w:type="dxa" w:w="2430"/>
            <w:tcBorders>
              <w:top w:val="single" w:color="002654" w:sz="1"/>
              <w:left w:val="single" w:color="002654" w:sz="1"/>
              <w:bottom w:val="single" w:color="002654" w:sz="1"/>
              <w:right w:val="single" w:color="002654" w:sz="1"/>
            </w:tcBorders>
            <w:shd w:fill="00265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Agency Market Value</w:t>
            </w:r>
          </w:p>
        </w:tc>
        <w:tc>
          <w:tcPr>
            <w:tcW w:type="dxa" w:w="2430"/>
            <w:tcBorders>
              <w:top w:val="single" w:color="002654" w:sz="1"/>
              <w:left w:val="single" w:color="002654" w:sz="1"/>
              <w:bottom w:val="single" w:color="002654" w:sz="1"/>
              <w:right w:val="single" w:color="002654" w:sz="1"/>
            </w:tcBorders>
            <w:shd w:fill="00265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Budget A Value Delivered</w:t>
            </w:r>
          </w:p>
        </w:tc>
        <w:tc>
          <w:tcPr>
            <w:tcW w:type="dxa" w:w="1000"/>
            <w:tcBorders>
              <w:top w:val="single" w:color="002654" w:sz="1"/>
              <w:left w:val="single" w:color="002654" w:sz="1"/>
              <w:bottom w:val="single" w:color="002654" w:sz="1"/>
              <w:right w:val="single" w:color="002654" w:sz="1"/>
            </w:tcBorders>
            <w:shd w:fill="00265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Delta</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SQR-RCT Platform (full system)</w:t>
            </w:r>
          </w:p>
        </w:tc>
        <w:tc>
          <w:tcPr>
            <w:tcW w:type="dxa" w:w="24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$55,000 – $90,000</w:t>
            </w:r>
          </w:p>
        </w:tc>
        <w:tc>
          <w:tcPr>
            <w:tcW w:type="dxa" w:w="24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$37,000 – $48,000</w:t>
            </w:r>
          </w:p>
        </w:tc>
        <w:tc>
          <w:tcPr>
            <w:tcW w:type="dxa" w:w="1000"/>
            <w:tcBorders>
              <w:top w:val="single" w:color="CCCCCC" w:sz="1"/>
              <w:left w:val="single" w:color="CCCCCC" w:sz="1"/>
              <w:bottom w:val="single" w:color="CCCCCC" w:sz="1"/>
              <w:right w:val="single" w:color="CCCCCC" w:sz="1"/>
            </w:tcBorders>
            <w:shd w:fill="E8F4F4" w:val="clear"/>
            <w:tcMar>
              <w:top w:type="dxa" w:w="80"/>
              <w:left w:type="dxa" w:w="140"/>
              <w:bottom w:type="dxa" w:w="80"/>
              <w:right w:type="dxa" w:w="140"/>
            </w:tcMar>
          </w:tcPr>
          <w:p>
            <w:r>
              <w:rPr>
                <w:rFonts w:ascii="Arial" w:cs="Arial" w:eastAsia="Arial" w:hAnsi="Arial"/>
                <w:b/>
                <w:bCs/>
                <w:color w:val="002654"/>
                <w:sz w:val="20"/>
                <w:szCs w:val="20"/>
              </w:rPr>
              <w:t xml:space="preserve">+$18K–42K</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PCS Database (11 DBs + Command Center)</w:t>
            </w:r>
          </w:p>
        </w:tc>
        <w:tc>
          <w:tcPr>
            <w:tcW w:type="dxa" w:w="24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$20,000 – $30,000</w:t>
            </w:r>
          </w:p>
        </w:tc>
        <w:tc>
          <w:tcPr>
            <w:tcW w:type="dxa" w:w="24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$8,000 – $12,000</w:t>
            </w:r>
          </w:p>
        </w:tc>
        <w:tc>
          <w:tcPr>
            <w:tcW w:type="dxa" w:w="1000"/>
            <w:tcBorders>
              <w:top w:val="single" w:color="CCCCCC" w:sz="1"/>
              <w:left w:val="single" w:color="CCCCCC" w:sz="1"/>
              <w:bottom w:val="single" w:color="CCCCCC" w:sz="1"/>
              <w:right w:val="single" w:color="CCCCCC" w:sz="1"/>
            </w:tcBorders>
            <w:shd w:fill="E8F4F4" w:val="clear"/>
            <w:tcMar>
              <w:top w:type="dxa" w:w="80"/>
              <w:left w:type="dxa" w:w="140"/>
              <w:bottom w:type="dxa" w:w="80"/>
              <w:right w:type="dxa" w:w="140"/>
            </w:tcMar>
          </w:tcPr>
          <w:p>
            <w:r>
              <w:rPr>
                <w:rFonts w:ascii="Arial" w:cs="Arial" w:eastAsia="Arial" w:hAnsi="Arial"/>
                <w:b/>
                <w:bCs/>
                <w:color w:val="002654"/>
                <w:sz w:val="20"/>
                <w:szCs w:val="20"/>
              </w:rPr>
              <w:t xml:space="preserve">+$12K–18K</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Validation Study Report (22K words, 60+ refs)</w:t>
            </w:r>
          </w:p>
        </w:tc>
        <w:tc>
          <w:tcPr>
            <w:tcW w:type="dxa" w:w="24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$10,000 – $15,000</w:t>
            </w:r>
          </w:p>
        </w:tc>
        <w:tc>
          <w:tcPr>
            <w:tcW w:type="dxa" w:w="24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$8,000</w:t>
            </w:r>
          </w:p>
        </w:tc>
        <w:tc>
          <w:tcPr>
            <w:tcW w:type="dxa" w:w="1000"/>
            <w:tcBorders>
              <w:top w:val="single" w:color="CCCCCC" w:sz="1"/>
              <w:left w:val="single" w:color="CCCCCC" w:sz="1"/>
              <w:bottom w:val="single" w:color="CCCCCC" w:sz="1"/>
              <w:right w:val="single" w:color="CCCCCC" w:sz="1"/>
            </w:tcBorders>
            <w:shd w:fill="E8F4F4" w:val="clear"/>
            <w:tcMar>
              <w:top w:type="dxa" w:w="80"/>
              <w:left w:type="dxa" w:w="140"/>
              <w:bottom w:type="dxa" w:w="80"/>
              <w:right w:type="dxa" w:w="140"/>
            </w:tcMar>
          </w:tcPr>
          <w:p>
            <w:r>
              <w:rPr>
                <w:rFonts w:ascii="Arial" w:cs="Arial" w:eastAsia="Arial" w:hAnsi="Arial"/>
                <w:b/>
                <w:bCs/>
                <w:color w:val="002654"/>
                <w:sz w:val="20"/>
                <w:szCs w:val="20"/>
              </w:rPr>
              <w:t xml:space="preserve">+$2K–7K</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Schema gaps + multi-profile architecture (Apr 16–22)</w:t>
            </w:r>
          </w:p>
        </w:tc>
        <w:tc>
          <w:tcPr>
            <w:tcW w:type="dxa" w:w="24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$12,000 – $20,000</w:t>
            </w:r>
          </w:p>
        </w:tc>
        <w:tc>
          <w:tcPr>
            <w:tcW w:type="dxa" w:w="24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$8,400 – $11,400</w:t>
            </w:r>
          </w:p>
        </w:tc>
        <w:tc>
          <w:tcPr>
            <w:tcW w:type="dxa" w:w="1000"/>
            <w:tcBorders>
              <w:top w:val="single" w:color="CCCCCC" w:sz="1"/>
              <w:left w:val="single" w:color="CCCCCC" w:sz="1"/>
              <w:bottom w:val="single" w:color="CCCCCC" w:sz="1"/>
              <w:right w:val="single" w:color="CCCCCC" w:sz="1"/>
            </w:tcBorders>
            <w:shd w:fill="E8F4F4" w:val="clear"/>
            <w:tcMar>
              <w:top w:type="dxa" w:w="80"/>
              <w:left w:type="dxa" w:w="140"/>
              <w:bottom w:type="dxa" w:w="80"/>
              <w:right w:type="dxa" w:w="140"/>
            </w:tcMar>
          </w:tcPr>
          <w:p>
            <w:r>
              <w:rPr>
                <w:rFonts w:ascii="Arial" w:cs="Arial" w:eastAsia="Arial" w:hAnsi="Arial"/>
                <w:b/>
                <w:bCs/>
                <w:color w:val="002654"/>
                <w:sz w:val="20"/>
                <w:szCs w:val="20"/>
              </w:rPr>
              <w:t xml:space="preserve">+$3K–9K</w:t>
            </w:r>
          </w:p>
        </w:tc>
      </w:tr>
      <w:tr>
        <w:tc>
          <w:tcPr>
            <w:tcW w:type="dxa" w:w="3500"/>
            <w:tcBorders>
              <w:top w:val="single" w:color="CCCCCC" w:sz="1"/>
              <w:left w:val="single" w:color="CCCCCC" w:sz="1"/>
              <w:bottom w:val="single" w:color="CCCCCC" w:sz="1"/>
              <w:right w:val="single" w:color="CCCCCC" w:sz="1"/>
            </w:tcBorders>
            <w:shd w:fill="002654" w:val="clear"/>
            <w:tcMar>
              <w:top w:type="dxa" w:w="80"/>
              <w:left w:type="dxa" w:w="140"/>
              <w:bottom w:type="dxa" w:w="80"/>
              <w:right w:type="dxa" w:w="140"/>
            </w:tcMar>
          </w:tcPr>
          <w:p>
            <w:r>
              <w:rPr>
                <w:rFonts w:ascii="Arial" w:cs="Arial" w:eastAsia="Arial" w:hAnsi="Arial"/>
                <w:b/>
                <w:bCs/>
                <w:color w:val="FFFFFF"/>
                <w:sz w:val="20"/>
                <w:szCs w:val="20"/>
              </w:rPr>
              <w:t xml:space="preserve">TOTAL RATE-CARD VALUE DELIVERED (Budget A)</w:t>
            </w:r>
          </w:p>
        </w:tc>
        <w:tc>
          <w:tcPr>
            <w:tcW w:type="dxa" w:w="2430"/>
            <w:tcBorders>
              <w:top w:val="single" w:color="CCCCCC" w:sz="1"/>
              <w:left w:val="single" w:color="CCCCCC" w:sz="1"/>
              <w:bottom w:val="single" w:color="CCCCCC" w:sz="1"/>
              <w:right w:val="single" w:color="CCCCCC" w:sz="1"/>
            </w:tcBorders>
            <w:shd w:fill="002654" w:val="clear"/>
            <w:tcMar>
              <w:top w:type="dxa" w:w="80"/>
              <w:left w:type="dxa" w:w="140"/>
              <w:bottom w:type="dxa" w:w="80"/>
              <w:right w:type="dxa" w:w="140"/>
            </w:tcMar>
          </w:tcPr>
          <w:p>
            <w:r>
              <w:rPr>
                <w:rFonts w:ascii="Arial" w:cs="Arial" w:eastAsia="Arial" w:hAnsi="Arial"/>
                <w:b/>
                <w:bCs/>
                <w:color w:val="FFFFFF"/>
                <w:sz w:val="20"/>
                <w:szCs w:val="20"/>
              </w:rPr>
              <w:t xml:space="preserve">$97,000 – $155,000</w:t>
            </w:r>
          </w:p>
        </w:tc>
        <w:tc>
          <w:tcPr>
            <w:tcW w:type="dxa" w:w="2430"/>
            <w:tcBorders>
              <w:top w:val="single" w:color="CCCCCC" w:sz="1"/>
              <w:left w:val="single" w:color="CCCCCC" w:sz="1"/>
              <w:bottom w:val="single" w:color="CCCCCC" w:sz="1"/>
              <w:right w:val="single" w:color="CCCCCC" w:sz="1"/>
            </w:tcBorders>
            <w:shd w:fill="002654" w:val="clear"/>
            <w:tcMar>
              <w:top w:type="dxa" w:w="80"/>
              <w:left w:type="dxa" w:w="140"/>
              <w:bottom w:type="dxa" w:w="80"/>
              <w:right w:type="dxa" w:w="140"/>
            </w:tcMar>
          </w:tcPr>
          <w:p>
            <w:r>
              <w:rPr>
                <w:rFonts w:ascii="Arial" w:cs="Arial" w:eastAsia="Arial" w:hAnsi="Arial"/>
                <w:b/>
                <w:bCs/>
                <w:color w:val="FFFFFF"/>
                <w:sz w:val="20"/>
                <w:szCs w:val="20"/>
              </w:rPr>
              <w:t xml:space="preserve">~$71,400</w:t>
            </w:r>
          </w:p>
        </w:tc>
        <w:tc>
          <w:tcPr>
            <w:tcW w:type="dxa" w:w="1000"/>
            <w:tcBorders>
              <w:top w:val="single" w:color="CCCCCC" w:sz="1"/>
              <w:left w:val="single" w:color="CCCCCC" w:sz="1"/>
              <w:bottom w:val="single" w:color="CCCCCC" w:sz="1"/>
              <w:right w:val="single" w:color="CCCCCC" w:sz="1"/>
            </w:tcBorders>
            <w:shd w:fill="006B6B" w:val="clear"/>
            <w:tcMar>
              <w:top w:type="dxa" w:w="80"/>
              <w:left w:type="dxa" w:w="140"/>
              <w:bottom w:type="dxa" w:w="80"/>
              <w:right w:type="dxa" w:w="140"/>
            </w:tcMar>
          </w:tcPr>
          <w:p>
            <w:r>
              <w:rPr>
                <w:rFonts w:ascii="Arial" w:cs="Arial" w:eastAsia="Arial" w:hAnsi="Arial"/>
                <w:b/>
                <w:bCs/>
                <w:color w:val="FFFFFF"/>
                <w:sz w:val="20"/>
                <w:szCs w:val="20"/>
              </w:rPr>
              <w:t xml:space="preserve">Cap: $50K</w:t>
            </w:r>
          </w:p>
        </w:tc>
      </w:tr>
    </w:tbl>
    <w:p>
      <w:pPr>
        <w:spacing w:after="100" w:before="100"/>
      </w:pPr>
      <w:r>
        <w:t xml:space="preserve"/>
      </w:r>
    </w:p>
    <w:p>
      <w:pPr>
        <w:spacing w:after="60" w:before="60"/>
      </w:pPr>
      <w:r>
        <w:rPr>
          <w:rFonts w:ascii="Arial" w:cs="Arial" w:eastAsia="Arial" w:hAnsi="Arial"/>
          <w:b w:val="false"/>
          <w:bCs w:val="false"/>
          <w:color w:val="555555"/>
          <w:sz w:val="22"/>
          <w:szCs w:val="22"/>
        </w:rPr>
        <w:t xml:space="preserve">Rate-card value delivered under Budget A exceeds the $50,000 cap by approximately $21,400. Features beyond the cap have been reclassified as Budget B (retainer) scope — the work was done in good faith to serve Nordic's stakeholders. The $50,000 Budget A fixed fee is the agreed ceiling and remains unchanged.</w:t>
      </w:r>
    </w:p>
    <w:p>
      <w:pPr>
        <w:spacing w:after="200" w:before="200"/>
      </w:pPr>
      <w:r>
        <w:t xml:space="preserve"/>
      </w:r>
    </w:p>
    <w:p>
      <w:r>
        <w:br w:type="page"/>
      </w:r>
    </w:p>
    <w:p>
      <w:pPr>
        <w:pStyle w:val="Heading1"/>
      </w:pPr>
      <w:r>
        <w:rPr>
          <w:rFonts w:ascii="Arial" w:cs="Arial" w:eastAsia="Arial" w:hAnsi="Arial"/>
          <w:b/>
          <w:bCs/>
          <w:color w:val="002654"/>
          <w:sz w:val="32"/>
          <w:szCs w:val="32"/>
        </w:rPr>
        <w:t xml:space="preserve">3. Budget Structure &amp; Contract Payment</w:t>
      </w:r>
    </w:p>
    <w:p>
      <w:pPr>
        <w:pBdr>
          <w:bottom w:val="single" w:color="006B6B" w:sz="12" w:space="1"/>
        </w:pBdr>
        <w:spacing w:after="200" w:before="0"/>
      </w:pPr>
      <w:r>
        <w:t xml:space="preserve"/>
      </w:r>
    </w:p>
    <w:p>
      <w:pPr>
        <w:spacing w:after="60" w:before="60"/>
      </w:pPr>
      <w:r>
        <w:rPr>
          <w:rFonts w:ascii="Arial" w:cs="Arial" w:eastAsia="Arial" w:hAnsi="Arial"/>
          <w:b w:val="false"/>
          <w:bCs w:val="false"/>
          <w:color w:val="555555"/>
          <w:sz w:val="22"/>
          <w:szCs w:val="22"/>
        </w:rPr>
        <w:t xml:space="preserve">This engagement has two distinct commercial components. Both are active now. Only Budget A has a signed agreement — Budget B has been running without a contract since March 1.</w:t>
      </w:r>
    </w:p>
    <w:p>
      <w:pPr>
        <w:spacing w:after="80" w:before="80"/>
      </w:pPr>
      <w:r>
        <w:t xml:space="preserve"/>
      </w:r>
    </w:p>
    <w:p>
      <w:pPr>
        <w:pStyle w:val="Heading2"/>
      </w:pPr>
      <w:r>
        <w:rPr>
          <w:rFonts w:ascii="Arial" w:cs="Arial" w:eastAsia="Arial" w:hAnsi="Arial"/>
          <w:b/>
          <w:bCs/>
          <w:color w:val="006B6B"/>
          <w:sz w:val="26"/>
          <w:szCs w:val="26"/>
        </w:rPr>
        <w:t xml:space="preserve">3.1  Budget A — Platform Build (Fixed Fee)</w:t>
      </w:r>
    </w:p>
    <w:p>
      <w:pPr>
        <w:spacing w:after="60" w:before="60"/>
      </w:pPr>
      <w:r>
        <w:rPr>
          <w:rFonts w:ascii="Arial" w:cs="Arial" w:eastAsia="Arial" w:hAnsi="Arial"/>
          <w:b w:val="false"/>
          <w:bCs w:val="false"/>
          <w:color w:val="333333"/>
          <w:sz w:val="22"/>
          <w:szCs w:val="22"/>
        </w:rPr>
        <w:t xml:space="preserve">Budget A covers all platform build work: the SQR-RCT system, PCS database, Command Center, Validation Study, and the 2026 scope phases (schema gaps, multi-profile architecture, RoB 2 extension). This is product delivery — the work is substantially complete.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000"/>
        <w:gridCol w:w="2000"/>
      </w:tblGrid>
      <w:tr>
        <w:tc>
          <w:tcPr>
            <w:tcW w:type="dxa" w:w="5360"/>
            <w:tcBorders>
              <w:top w:val="single" w:color="002654" w:sz="1"/>
              <w:left w:val="single" w:color="002654" w:sz="1"/>
              <w:bottom w:val="single" w:color="002654" w:sz="1"/>
              <w:right w:val="single" w:color="002654" w:sz="1"/>
            </w:tcBorders>
            <w:shd w:fill="00265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Budget A Terms</w:t>
            </w:r>
          </w:p>
        </w:tc>
        <w:tc>
          <w:tcPr>
            <w:tcW w:type="dxa" w:w="2000"/>
            <w:tcBorders>
              <w:top w:val="single" w:color="002654" w:sz="1"/>
              <w:left w:val="single" w:color="002654" w:sz="1"/>
              <w:bottom w:val="single" w:color="002654" w:sz="1"/>
              <w:right w:val="single" w:color="002654" w:sz="1"/>
            </w:tcBorders>
            <w:shd w:fill="00265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Amount</w:t>
            </w:r>
          </w:p>
        </w:tc>
        <w:tc>
          <w:tcPr>
            <w:tcW w:type="dxa" w:w="2000"/>
            <w:tcBorders>
              <w:top w:val="single" w:color="002654" w:sz="1"/>
              <w:left w:val="single" w:color="002654" w:sz="1"/>
              <w:bottom w:val="single" w:color="002654" w:sz="1"/>
              <w:right w:val="single" w:color="002654" w:sz="1"/>
            </w:tcBorders>
            <w:shd w:fill="00265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Timing</w:t>
            </w:r>
          </w:p>
        </w:tc>
      </w:tr>
      <w:tr>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Fixed build fee — Phases 1–4, SQR-RCT + PCS + Validation Study + RoB 2 extension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$50,000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002654"/>
                <w:sz w:val="20"/>
                <w:szCs w:val="20"/>
              </w:rPr>
              <w:t xml:space="preserve">Invoice at signing</w:t>
            </w:r>
          </w:p>
        </w:tc>
      </w:tr>
      <w:tr>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Rate-card value of work delivered (agency benchmark)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~$71,400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Delivered</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2654" w:sz="1"/>
              <w:left w:val="single" w:color="002654" w:sz="1"/>
              <w:bottom w:val="single" w:color="002654" w:sz="1"/>
              <w:right w:val="single" w:color="002654" w:sz="1"/>
            </w:tcBorders>
            <w:shd w:fill="002654" w:val="clear"/>
            <w:tcMar>
              <w:top w:type="dxa" w:w="160"/>
              <w:left w:type="dxa" w:w="280"/>
              <w:bottom w:type="dxa" w:w="160"/>
              <w:right w:type="dxa" w:w="280"/>
            </w:tcMar>
          </w:tcPr>
          <w:p>
            <w:pPr>
              <w:spacing w:after="80"/>
            </w:pPr>
            <w:r>
              <w:rPr>
                <w:rFonts w:ascii="Arial" w:cs="Arial" w:eastAsia="Arial" w:hAnsi="Arial"/>
                <w:b/>
                <w:bCs/>
                <w:color w:val="FFFFFF"/>
                <w:sz w:val="22"/>
                <w:szCs w:val="22"/>
              </w:rPr>
              <w:t xml:space="preserve">Budget A Payment Terms</w:t>
            </w:r>
          </w:p>
          <w:p>
            <w:pPr>
              <w:spacing w:after="0"/>
            </w:pPr>
            <w:r>
              <w:rPr>
                <w:rFonts w:ascii="Arial" w:cs="Arial" w:eastAsia="Arial" w:hAnsi="Arial"/>
                <w:color w:val="E8F4F4"/>
                <w:sz w:val="20"/>
                <w:szCs w:val="20"/>
              </w:rPr>
              <w:t xml:space="preserve">The full $50,000 Budget A fee is invoiced upon contract signing. Work is substantially delivered; the previous milestone-split structure (50% on signature / 50% on go-live) no longer reflects the delivery status. An invoice will be issued on the date the contract is executed.</w:t>
            </w:r>
          </w:p>
        </w:tc>
      </w:tr>
    </w:tbl>
    <w:p>
      <w:pPr>
        <w:spacing w:after="160" w:before="160"/>
      </w:pPr>
      <w:r>
        <w:t xml:space="preserve"/>
      </w:r>
    </w:p>
    <w:p>
      <w:pPr>
        <w:pStyle w:val="Heading2"/>
      </w:pPr>
      <w:r>
        <w:rPr>
          <w:rFonts w:ascii="Arial" w:cs="Arial" w:eastAsia="Arial" w:hAnsi="Arial"/>
          <w:b/>
          <w:bCs/>
          <w:color w:val="006B6B"/>
          <w:sz w:val="26"/>
          <w:szCs w:val="26"/>
        </w:rPr>
        <w:t xml:space="preserve">3.2  Budget B — Retainer (Active Since March 1, 2026)</w:t>
      </w:r>
    </w:p>
    <w:p>
      <w:pPr>
        <w:spacing w:after="60" w:before="60"/>
      </w:pPr>
      <w:r>
        <w:rPr>
          <w:rFonts w:ascii="Arial" w:cs="Arial" w:eastAsia="Arial" w:hAnsi="Arial"/>
          <w:b w:val="false"/>
          <w:bCs w:val="false"/>
          <w:color w:val="333333"/>
          <w:sz w:val="22"/>
          <w:szCs w:val="22"/>
        </w:rPr>
        <w:t xml:space="preserve">Budget B is not a maintenance arrangement — it is an active consulting, onboarding, and platform adaptation engagement. Since March 1, winded.vertigo has been doing the work of the retainer: aligning with Lauren Bosio on AICS workflows, adapting the platform to Nordic's evolving needs, advising on research methodology, managing data governance, and onboarding the Nordic team to the new systems. This work has been ongoing without a signed agreement or payment.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002654" w:sz="1"/>
              <w:left w:val="single" w:color="002654" w:sz="1"/>
              <w:bottom w:val="single" w:color="002654" w:sz="1"/>
              <w:right w:val="single" w:color="002654" w:sz="1"/>
            </w:tcBorders>
            <w:shd w:fill="00265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Budget B Tier</w:t>
            </w:r>
          </w:p>
        </w:tc>
        <w:tc>
          <w:tcPr>
            <w:tcW w:type="dxa" w:w="2930"/>
            <w:tcBorders>
              <w:top w:val="single" w:color="002654" w:sz="1"/>
              <w:left w:val="single" w:color="002654" w:sz="1"/>
              <w:bottom w:val="single" w:color="002654" w:sz="1"/>
              <w:right w:val="single" w:color="002654" w:sz="1"/>
            </w:tcBorders>
            <w:shd w:fill="00265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Monthly Rate</w:t>
            </w:r>
          </w:p>
        </w:tc>
        <w:tc>
          <w:tcPr>
            <w:tcW w:type="dxa" w:w="2930"/>
            <w:tcBorders>
              <w:top w:val="single" w:color="002654" w:sz="1"/>
              <w:left w:val="single" w:color="002654" w:sz="1"/>
              <w:bottom w:val="single" w:color="002654" w:sz="1"/>
              <w:right w:val="single" w:color="002654" w:sz="1"/>
            </w:tcBorders>
            <w:shd w:fill="00265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What's Included</w:t>
            </w:r>
          </w:p>
        </w:tc>
      </w:tr>
      <w:tr>
        <w:tc>
          <w:tcPr>
            <w:tcW w:type="dxa" w:w="3500"/>
            <w:tcBorders>
              <w:top w:val="single" w:color="CCCCCC" w:sz="1"/>
              <w:left w:val="single" w:color="CCCCCC" w:sz="1"/>
              <w:bottom w:val="single" w:color="CCCCCC" w:sz="1"/>
              <w:right w:val="single" w:color="CCCCCC" w:sz="1"/>
            </w:tcBorders>
            <w:shd w:fill="E8F4F4" w:val="clear"/>
            <w:tcMar>
              <w:top w:type="dxa" w:w="80"/>
              <w:left w:type="dxa" w:w="140"/>
              <w:bottom w:type="dxa" w:w="80"/>
              <w:right w:type="dxa" w:w="140"/>
            </w:tcMar>
          </w:tcPr>
          <w:p>
            <w:r>
              <w:rPr>
                <w:rFonts w:ascii="Arial" w:cs="Arial" w:eastAsia="Arial" w:hAnsi="Arial"/>
                <w:b/>
                <w:bCs/>
                <w:color w:val="002654"/>
                <w:sz w:val="20"/>
                <w:szCs w:val="20"/>
              </w:rPr>
              <w:t xml:space="preserve">Priority (recommended)</w:t>
            </w:r>
          </w:p>
        </w:tc>
        <w:tc>
          <w:tcPr>
            <w:tcW w:type="dxa" w:w="2930"/>
            <w:tcBorders>
              <w:top w:val="single" w:color="CCCCCC" w:sz="1"/>
              <w:left w:val="single" w:color="CCCCCC" w:sz="1"/>
              <w:bottom w:val="single" w:color="CCCCCC" w:sz="1"/>
              <w:right w:val="single" w:color="CCCCCC" w:sz="1"/>
            </w:tcBorders>
            <w:shd w:fill="E8F4F4" w:val="clear"/>
            <w:tcMar>
              <w:top w:type="dxa" w:w="80"/>
              <w:left w:type="dxa" w:w="140"/>
              <w:bottom w:type="dxa" w:w="80"/>
              <w:right w:type="dxa" w:w="140"/>
            </w:tcMar>
          </w:tcPr>
          <w:p>
            <w:r>
              <w:rPr>
                <w:rFonts w:ascii="Arial" w:cs="Arial" w:eastAsia="Arial" w:hAnsi="Arial"/>
                <w:b/>
                <w:bCs/>
                <w:color w:val="002654"/>
                <w:sz w:val="20"/>
                <w:szCs w:val="20"/>
              </w:rPr>
              <w:t xml:space="preserve">$6,000/mo</w:t>
            </w:r>
          </w:p>
        </w:tc>
        <w:tc>
          <w:tcPr>
            <w:tcW w:type="dxa" w:w="29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retainer responsibilities + named backup contractor (August Kinloch)</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Standard</w:t>
            </w:r>
          </w:p>
        </w:tc>
        <w:tc>
          <w:tcPr>
            <w:tcW w:type="dxa" w:w="29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$4,000/mo</w:t>
            </w:r>
          </w:p>
        </w:tc>
        <w:tc>
          <w:tcPr>
            <w:tcW w:type="dxa" w:w="29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retainer responsibilities — primary coverage only</w:t>
            </w:r>
          </w:p>
        </w:tc>
      </w:tr>
    </w:tbl>
    <w:p>
      <w:pPr>
        <w:spacing w:after="120" w:before="120"/>
      </w:pPr>
      <w:r>
        <w:t xml:space="preserve"/>
      </w:r>
    </w:p>
    <w:p>
      <w:pPr>
        <w:pStyle w:val="Heading2"/>
      </w:pPr>
      <w:r>
        <w:rPr>
          <w:rFonts w:ascii="Arial" w:cs="Arial" w:eastAsia="Arial" w:hAnsi="Arial"/>
          <w:b/>
          <w:bCs/>
          <w:color w:val="006B6B"/>
          <w:sz w:val="26"/>
          <w:szCs w:val="26"/>
        </w:rPr>
        <w:t xml:space="preserve">3.3  Back-Pay for Retainer Work (March 1 – Contract Execution)</w:t>
      </w:r>
    </w:p>
    <w:p>
      <w:pPr>
        <w:spacing w:after="60" w:before="60"/>
      </w:pPr>
      <w:r>
        <w:rPr>
          <w:rFonts w:ascii="Arial" w:cs="Arial" w:eastAsia="Arial" w:hAnsi="Arial"/>
          <w:b w:val="false"/>
          <w:bCs w:val="false"/>
          <w:color w:val="333333"/>
          <w:sz w:val="22"/>
          <w:szCs w:val="22"/>
        </w:rPr>
        <w:t xml:space="preserve">Because retainer-scope work has been underway since March 1 without payment, back-pay is owed from March 1 to the contract execution date. This is calculated at the Priority tier ($6,000/mo) given the level of engagement during this period.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002654" w:sz="1"/>
              <w:left w:val="single" w:color="002654" w:sz="1"/>
              <w:bottom w:val="single" w:color="002654" w:sz="1"/>
              <w:right w:val="single" w:color="002654" w:sz="1"/>
            </w:tcBorders>
            <w:shd w:fill="00265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Period</w:t>
            </w:r>
          </w:p>
        </w:tc>
        <w:tc>
          <w:tcPr>
            <w:tcW w:type="dxa" w:w="3180"/>
            <w:tcBorders>
              <w:top w:val="single" w:color="002654" w:sz="1"/>
              <w:left w:val="single" w:color="002654" w:sz="1"/>
              <w:bottom w:val="single" w:color="002654" w:sz="1"/>
              <w:right w:val="single" w:color="002654" w:sz="1"/>
            </w:tcBorders>
            <w:shd w:fill="00265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Rate</w:t>
            </w:r>
          </w:p>
        </w:tc>
        <w:tc>
          <w:tcPr>
            <w:tcW w:type="dxa" w:w="3180"/>
            <w:tcBorders>
              <w:top w:val="single" w:color="002654" w:sz="1"/>
              <w:left w:val="single" w:color="002654" w:sz="1"/>
              <w:bottom w:val="single" w:color="002654" w:sz="1"/>
              <w:right w:val="single" w:color="002654" w:sz="1"/>
            </w:tcBorders>
            <w:shd w:fill="00265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Amount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March 2026 (full month)</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$6,000/mo Priority tier</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$6,000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April 2026 (full month)</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$6,000/mo Priority tier</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$6,000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May 2026 (prorated to signing)</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$194/day from May 1</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~$194 x days elapsed</w:t>
            </w:r>
          </w:p>
        </w:tc>
      </w:tr>
      <w:tr>
        <w:tc>
          <w:tcPr>
            <w:tcW w:type="dxa" w:w="3000"/>
            <w:tcBorders>
              <w:top w:val="single" w:color="CCCCCC" w:sz="1"/>
              <w:left w:val="single" w:color="CCCCCC" w:sz="1"/>
              <w:bottom w:val="single" w:color="CCCCCC" w:sz="1"/>
              <w:right w:val="single" w:color="CCCCCC" w:sz="1"/>
            </w:tcBorders>
            <w:shd w:fill="002654" w:val="clear"/>
            <w:tcMar>
              <w:top w:type="dxa" w:w="80"/>
              <w:left w:type="dxa" w:w="140"/>
              <w:bottom w:type="dxa" w:w="80"/>
              <w:right w:type="dxa" w:w="140"/>
            </w:tcMar>
          </w:tcPr>
          <w:p>
            <w:r>
              <w:rPr>
                <w:rFonts w:ascii="Arial" w:cs="Arial" w:eastAsia="Arial" w:hAnsi="Arial"/>
                <w:b/>
                <w:bCs/>
                <w:color w:val="FFFFFF"/>
                <w:sz w:val="20"/>
                <w:szCs w:val="20"/>
              </w:rPr>
              <w:t xml:space="preserve">Minimum back-pay at signing</w:t>
            </w:r>
          </w:p>
        </w:tc>
        <w:tc>
          <w:tcPr>
            <w:tcW w:type="dxa" w:w="3180"/>
            <w:tcBorders>
              <w:top w:val="single" w:color="CCCCCC" w:sz="1"/>
              <w:left w:val="single" w:color="CCCCCC" w:sz="1"/>
              <w:bottom w:val="single" w:color="CCCCCC" w:sz="1"/>
              <w:right w:val="single" w:color="CCCCCC" w:sz="1"/>
            </w:tcBorders>
            <w:shd w:fill="002654" w:val="clear"/>
            <w:tcMar>
              <w:top w:type="dxa" w:w="80"/>
              <w:left w:type="dxa" w:w="140"/>
              <w:bottom w:type="dxa" w:w="80"/>
              <w:right w:type="dxa" w:w="140"/>
            </w:tcMar>
          </w:tcPr>
          <w:p>
            <w:r>
              <w:rPr>
                <w:rFonts w:ascii="Arial" w:cs="Arial" w:eastAsia="Arial" w:hAnsi="Arial"/>
                <w:b w:val="false"/>
                <w:bCs w:val="false"/>
                <w:color w:val="FFFFFF"/>
                <w:sz w:val="20"/>
                <w:szCs w:val="20"/>
              </w:rPr>
              <w:t xml:space="preserve">March + April (2 full months)</w:t>
            </w:r>
          </w:p>
        </w:tc>
        <w:tc>
          <w:tcPr>
            <w:tcW w:type="dxa" w:w="3180"/>
            <w:tcBorders>
              <w:top w:val="single" w:color="CCCCCC" w:sz="1"/>
              <w:left w:val="single" w:color="CCCCCC" w:sz="1"/>
              <w:bottom w:val="single" w:color="CCCCCC" w:sz="1"/>
              <w:right w:val="single" w:color="CCCCCC" w:sz="1"/>
            </w:tcBorders>
            <w:shd w:fill="002654" w:val="clear"/>
            <w:tcMar>
              <w:top w:type="dxa" w:w="80"/>
              <w:left w:type="dxa" w:w="140"/>
              <w:bottom w:type="dxa" w:w="80"/>
              <w:right w:type="dxa" w:w="140"/>
            </w:tcMar>
          </w:tcPr>
          <w:p>
            <w:r>
              <w:rPr>
                <w:rFonts w:ascii="Arial" w:cs="Arial" w:eastAsia="Arial" w:hAnsi="Arial"/>
                <w:b/>
                <w:bCs/>
                <w:color w:val="FFFFFF"/>
                <w:sz w:val="20"/>
                <w:szCs w:val="20"/>
              </w:rPr>
              <w:t xml:space="preserve">$12,000</w:t>
            </w:r>
          </w:p>
        </w:tc>
      </w:tr>
      <w:tr>
        <w:tc>
          <w:tcPr>
            <w:tcW w:type="dxa" w:w="3000"/>
            <w:tcBorders>
              <w:top w:val="single" w:color="CCCCCC" w:sz="1"/>
              <w:left w:val="single" w:color="CCCCCC" w:sz="1"/>
              <w:bottom w:val="single" w:color="CCCCCC" w:sz="1"/>
              <w:right w:val="single" w:color="CCCCCC" w:sz="1"/>
            </w:tcBorders>
            <w:shd w:fill="006B6B" w:val="clear"/>
            <w:tcMar>
              <w:top w:type="dxa" w:w="80"/>
              <w:left w:type="dxa" w:w="140"/>
              <w:bottom w:type="dxa" w:w="80"/>
              <w:right w:type="dxa" w:w="140"/>
            </w:tcMar>
          </w:tcPr>
          <w:p>
            <w:r>
              <w:rPr>
                <w:rFonts w:ascii="Arial" w:cs="Arial" w:eastAsia="Arial" w:hAnsi="Arial"/>
                <w:b w:val="false"/>
                <w:bCs w:val="false"/>
                <w:color w:val="FFFFFF"/>
                <w:sz w:val="20"/>
                <w:szCs w:val="20"/>
              </w:rPr>
              <w:t xml:space="preserve">If signed end of May 2026</w:t>
            </w:r>
          </w:p>
        </w:tc>
        <w:tc>
          <w:tcPr>
            <w:tcW w:type="dxa" w:w="3180"/>
            <w:tcBorders>
              <w:top w:val="single" w:color="CCCCCC" w:sz="1"/>
              <w:left w:val="single" w:color="CCCCCC" w:sz="1"/>
              <w:bottom w:val="single" w:color="CCCCCC" w:sz="1"/>
              <w:right w:val="single" w:color="CCCCCC" w:sz="1"/>
            </w:tcBorders>
            <w:shd w:fill="006B6B" w:val="clear"/>
            <w:tcMar>
              <w:top w:type="dxa" w:w="80"/>
              <w:left w:type="dxa" w:w="140"/>
              <w:bottom w:type="dxa" w:w="80"/>
              <w:right w:type="dxa" w:w="140"/>
            </w:tcMar>
          </w:tcPr>
          <w:p>
            <w:r>
              <w:rPr>
                <w:rFonts w:ascii="Arial" w:cs="Arial" w:eastAsia="Arial" w:hAnsi="Arial"/>
                <w:b w:val="false"/>
                <w:bCs w:val="false"/>
                <w:color w:val="FFFFFF"/>
                <w:sz w:val="20"/>
                <w:szCs w:val="20"/>
              </w:rPr>
              <w:t xml:space="preserve">March + April + all of May</w:t>
            </w:r>
          </w:p>
        </w:tc>
        <w:tc>
          <w:tcPr>
            <w:tcW w:type="dxa" w:w="3180"/>
            <w:tcBorders>
              <w:top w:val="single" w:color="CCCCCC" w:sz="1"/>
              <w:left w:val="single" w:color="CCCCCC" w:sz="1"/>
              <w:bottom w:val="single" w:color="CCCCCC" w:sz="1"/>
              <w:right w:val="single" w:color="CCCCCC" w:sz="1"/>
            </w:tcBorders>
            <w:shd w:fill="006B6B" w:val="clear"/>
            <w:tcMar>
              <w:top w:type="dxa" w:w="80"/>
              <w:left w:type="dxa" w:w="140"/>
              <w:bottom w:type="dxa" w:w="80"/>
              <w:right w:type="dxa" w:w="140"/>
            </w:tcMar>
          </w:tcPr>
          <w:p>
            <w:r>
              <w:rPr>
                <w:rFonts w:ascii="Arial" w:cs="Arial" w:eastAsia="Arial" w:hAnsi="Arial"/>
                <w:b/>
                <w:bCs/>
                <w:color w:val="FFFFFF"/>
                <w:sz w:val="20"/>
                <w:szCs w:val="20"/>
              </w:rPr>
              <w:t xml:space="preserve">~$18,000</w:t>
            </w:r>
          </w:p>
        </w:tc>
      </w:tr>
    </w:tbl>
    <w:p>
      <w:pPr>
        <w:spacing w:after="100" w:before="100"/>
      </w:pPr>
      <w:r>
        <w:t xml:space="preserve"/>
      </w:r>
    </w:p>
    <w:p>
      <w:pPr>
        <w:spacing w:after="60" w:before="60"/>
      </w:pPr>
      <w:r>
        <w:rPr>
          <w:rFonts w:ascii="Arial" w:cs="Arial" w:eastAsia="Arial" w:hAnsi="Arial"/>
          <w:b w:val="false"/>
          <w:bCs w:val="false"/>
          <w:color w:val="555555"/>
          <w:sz w:val="22"/>
          <w:szCs w:val="22"/>
        </w:rPr>
        <w:t xml:space="preserve">Rate flexibility: winded.vertigo is willing to negotiate the ongoing retainer rate if Budget A and back-pay are honored in full at signing. The back-pay and Budget A fixed fee are not subject to rate negotiation.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B6B" w:sz="1"/>
              <w:left w:val="single" w:color="006B6B" w:sz="1"/>
              <w:bottom w:val="single" w:color="006B6B" w:sz="1"/>
              <w:right w:val="single" w:color="006B6B" w:sz="1"/>
            </w:tcBorders>
            <w:shd w:fill="E8F4F4" w:val="clear"/>
            <w:tcMar>
              <w:top w:type="dxa" w:w="160"/>
              <w:left w:type="dxa" w:w="280"/>
              <w:bottom w:type="dxa" w:w="160"/>
              <w:right w:type="dxa" w:w="280"/>
            </w:tcMar>
          </w:tcPr>
          <w:p>
            <w:pPr>
              <w:spacing w:after="80"/>
            </w:pPr>
            <w:r>
              <w:rPr>
                <w:rFonts w:ascii="Arial" w:cs="Arial" w:eastAsia="Arial" w:hAnsi="Arial"/>
                <w:b/>
                <w:bCs/>
                <w:color w:val="002654"/>
                <w:sz w:val="22"/>
                <w:szCs w:val="22"/>
              </w:rPr>
              <w:t xml:space="preserve">Total Due at Signing (Priority Tier)</w:t>
            </w:r>
          </w:p>
          <w:p>
            <w:pPr>
              <w:spacing w:after="40"/>
            </w:pPr>
            <w:r>
              <w:rPr>
                <w:rFonts w:ascii="Arial" w:cs="Arial" w:eastAsia="Arial" w:hAnsi="Arial"/>
                <w:b/>
                <w:bCs/>
                <w:color w:val="002654"/>
                <w:sz w:val="20"/>
                <w:szCs w:val="20"/>
              </w:rPr>
              <w:t xml:space="preserve">Budget A fixed fee:  $50,000</w:t>
            </w:r>
          </w:p>
          <w:p>
            <w:pPr>
              <w:spacing w:after="40"/>
            </w:pPr>
            <w:r>
              <w:rPr>
                <w:rFonts w:ascii="Arial" w:cs="Arial" w:eastAsia="Arial" w:hAnsi="Arial"/>
                <w:b/>
                <w:bCs/>
                <w:color w:val="002654"/>
                <w:sz w:val="20"/>
                <w:szCs w:val="20"/>
              </w:rPr>
              <w:t xml:space="preserve">Budget B back-pay (March + April):  $12,000</w:t>
            </w:r>
          </w:p>
          <w:p>
            <w:pPr>
              <w:spacing w:after="40"/>
            </w:pPr>
            <w:r>
              <w:rPr>
                <w:rFonts w:ascii="Arial" w:cs="Arial" w:eastAsia="Arial" w:hAnsi="Arial"/>
                <w:color w:val="555555"/>
                <w:sz w:val="20"/>
                <w:szCs w:val="20"/>
              </w:rPr>
              <w:t xml:space="preserve">Budget B back-pay (prorated May):  ~$194/day from May 1</w:t>
            </w:r>
          </w:p>
          <w:p>
            <w:pPr>
              <w:spacing w:after="0"/>
            </w:pPr>
            <w:r>
              <w:rPr>
                <w:rFonts w:ascii="Arial" w:cs="Arial" w:eastAsia="Arial" w:hAnsi="Arial"/>
                <w:color w:val="555555"/>
                <w:sz w:val="20"/>
                <w:szCs w:val="20"/>
              </w:rPr>
              <w:t xml:space="preserve">Ongoing Budget B retainer:  $6,000/mo Priority / $4,000/mo Standard (first month due at signing, then Net 30 monthly)</w:t>
            </w:r>
          </w:p>
        </w:tc>
      </w:tr>
    </w:tbl>
    <w:p>
      <w:pPr>
        <w:spacing w:after="200" w:before="200"/>
      </w:pPr>
      <w:r>
        <w:t xml:space="preserve"/>
      </w:r>
    </w:p>
    <w:p>
      <w:r>
        <w:br w:type="page"/>
      </w:r>
    </w:p>
    <w:p>
      <w:pPr>
        <w:pStyle w:val="Heading1"/>
      </w:pPr>
      <w:r>
        <w:rPr>
          <w:rFonts w:ascii="Arial" w:cs="Arial" w:eastAsia="Arial" w:hAnsi="Arial"/>
          <w:b/>
          <w:bCs/>
          <w:color w:val="002654"/>
          <w:sz w:val="32"/>
          <w:szCs w:val="32"/>
        </w:rPr>
        <w:t xml:space="preserve">4. 2026 Approved Scope of Work</w:t>
      </w:r>
    </w:p>
    <w:p>
      <w:pPr>
        <w:pBdr>
          <w:bottom w:val="single" w:color="006B6B" w:sz="12" w:space="1"/>
        </w:pBdr>
        <w:spacing w:after="200" w:before="0"/>
      </w:pPr>
      <w:r>
        <w:t xml:space="preserve"/>
      </w:r>
    </w:p>
    <w:p>
      <w:pPr>
        <w:spacing w:after="60" w:before="60"/>
      </w:pPr>
      <w:r>
        <w:rPr>
          <w:rFonts w:ascii="Arial" w:cs="Arial" w:eastAsia="Arial" w:hAnsi="Arial"/>
          <w:b w:val="false"/>
          <w:bCs w:val="false"/>
          <w:color w:val="555555"/>
          <w:sz w:val="22"/>
          <w:szCs w:val="22"/>
        </w:rPr>
        <w:t xml:space="preserve">The scope below reflects what falls within the approved 2026 budget (Budget A) and goes live by June 30, 2026. It covers the four foundational phases identified in the April 16–19 planning work.</w:t>
      </w:r>
    </w:p>
    <w:p>
      <w:pPr>
        <w:spacing w:after="80" w:before="80"/>
      </w:pPr>
      <w:r>
        <w:t xml:space="preserve"/>
      </w:r>
    </w:p>
    <w:p>
      <w:pPr>
        <w:pStyle w:val="Heading2"/>
      </w:pPr>
      <w:r>
        <w:rPr>
          <w:rFonts w:ascii="Arial" w:cs="Arial" w:eastAsia="Arial" w:hAnsi="Arial"/>
          <w:b/>
          <w:bCs/>
          <w:color w:val="006B6B"/>
          <w:sz w:val="26"/>
          <w:szCs w:val="26"/>
        </w:rPr>
        <w:t xml:space="preserve">Phase 1 — Foundation: Critical Schema Gaps</w:t>
      </w:r>
    </w:p>
    <w:p>
      <w:pPr>
        <w:spacing w:after="60" w:before="60"/>
      </w:pPr>
      <w:r>
        <w:rPr>
          <w:rFonts w:ascii="Arial" w:cs="Arial" w:eastAsia="Arial" w:hAnsi="Arial"/>
          <w:b w:val="false"/>
          <w:bCs w:val="false"/>
          <w:color w:val="333333"/>
          <w:sz w:val="22"/>
          <w:szCs w:val="22"/>
        </w:rPr>
        <w:t xml:space="preserve">Weeks 1–2. Prerequisite for everything that follows. The four gaps identified in the April 16 session with Lauren block cross-departmental use of the PCS database.</w:t>
      </w:r>
    </w:p>
    <w:p>
      <w:pPr>
        <w:spacing w:after="60" w:before="60"/>
      </w:pPr>
      <w:r>
        <w:t xml:space="preserve"/>
      </w:r>
    </w:p>
    <w:p>
      <w:pPr>
        <w:pStyle w:val="ListParagraph"/>
        <w:numPr>
          <w:ilvl w:val="0"/>
          <w:numId w:val="2"/>
        </w:numPr>
        <w:spacing w:after="40" w:before="40"/>
      </w:pPr>
      <w:r>
        <w:rPr>
          <w:rFonts w:ascii="Arial" w:cs="Arial" w:eastAsia="Arial" w:hAnsi="Arial"/>
          <w:b w:val="false"/>
          <w:bCs w:val="false"/>
          <w:color w:val="333333"/>
          <w:sz w:val="22"/>
          <w:szCs w:val="22"/>
        </w:rPr>
        <w:t xml:space="preserve">Claim prefix separation — introduce claim_prefixes table to distinguish health claims, structure/function claims, ingredient claims, and qualified health claims at the schema level</w:t>
      </w:r>
    </w:p>
    <w:p>
      <w:pPr>
        <w:pStyle w:val="ListParagraph"/>
        <w:numPr>
          <w:ilvl w:val="0"/>
          <w:numId w:val="2"/>
        </w:numPr>
        <w:spacing w:after="40" w:before="40"/>
      </w:pPr>
      <w:r>
        <w:rPr>
          <w:rFonts w:ascii="Arial" w:cs="Arial" w:eastAsia="Arial" w:hAnsi="Arial"/>
          <w:b w:val="false"/>
          <w:bCs w:val="false"/>
          <w:color w:val="333333"/>
          <w:sz w:val="22"/>
          <w:szCs w:val="22"/>
        </w:rPr>
        <w:t xml:space="preserve">AI nomenclature standardization — build ingredient name normalization layer to reconcile Lauren's SmartSheet naming with the SQR-RCT database</w:t>
      </w:r>
    </w:p>
    <w:p>
      <w:pPr>
        <w:pStyle w:val="ListParagraph"/>
        <w:numPr>
          <w:ilvl w:val="0"/>
          <w:numId w:val="2"/>
        </w:numPr>
        <w:spacing w:after="40" w:before="40"/>
      </w:pPr>
      <w:r>
        <w:rPr>
          <w:rFonts w:ascii="Arial" w:cs="Arial" w:eastAsia="Arial" w:hAnsi="Arial"/>
          <w:b w:val="false"/>
          <w:bCs w:val="false"/>
          <w:color w:val="333333"/>
          <w:sz w:val="22"/>
          <w:szCs w:val="22"/>
        </w:rPr>
        <w:t xml:space="preserve">Benefit categories framework — implement hierarchical benefit taxonomy (core_benefits + benefit_categories) aligned to Lauren's CAI-PBE system</w:t>
      </w:r>
    </w:p>
    <w:p>
      <w:pPr>
        <w:pStyle w:val="ListParagraph"/>
        <w:numPr>
          <w:ilvl w:val="0"/>
          <w:numId w:val="2"/>
        </w:numPr>
        <w:spacing w:after="40" w:before="40"/>
      </w:pPr>
      <w:r>
        <w:rPr>
          <w:rFonts w:ascii="Arial" w:cs="Arial" w:eastAsia="Arial" w:hAnsi="Arial"/>
          <w:b w:val="false"/>
          <w:bCs w:val="false"/>
          <w:color w:val="333333"/>
          <w:sz w:val="22"/>
          <w:szCs w:val="22"/>
        </w:rPr>
        <w:t xml:space="preserve">Demographics schema update — add age range, population group, and health status fields to Evidence records to support targeted substantiation</w:t>
      </w:r>
    </w:p>
    <w:p>
      <w:pPr>
        <w:spacing w:after="120" w:before="120"/>
      </w:pPr>
      <w:r>
        <w:t xml:space="preserve"/>
      </w:r>
    </w:p>
    <w:p>
      <w:pPr>
        <w:pStyle w:val="Heading2"/>
      </w:pPr>
      <w:r>
        <w:rPr>
          <w:rFonts w:ascii="Arial" w:cs="Arial" w:eastAsia="Arial" w:hAnsi="Arial"/>
          <w:b/>
          <w:bCs/>
          <w:color w:val="006B6B"/>
          <w:sz w:val="26"/>
          <w:szCs w:val="26"/>
        </w:rPr>
        <w:t xml:space="preserve">Phase 2 — Multi-Profile Data Architecture</w:t>
      </w:r>
    </w:p>
    <w:p>
      <w:pPr>
        <w:spacing w:after="60" w:before="60"/>
      </w:pPr>
      <w:r>
        <w:rPr>
          <w:rFonts w:ascii="Arial" w:cs="Arial" w:eastAsia="Arial" w:hAnsi="Arial"/>
          <w:b w:val="false"/>
          <w:bCs w:val="false"/>
          <w:color w:val="333333"/>
          <w:sz w:val="22"/>
          <w:szCs w:val="22"/>
        </w:rPr>
        <w:t xml:space="preserve">Weeks 3–4. One schema, four departmental views. Different teams (Product Development, Research, Regulatory Affairs, Marketing) need the same underlying data presented through radically different lenses.</w:t>
      </w:r>
    </w:p>
    <w:p>
      <w:pPr>
        <w:spacing w:after="60" w:before="60"/>
      </w:pPr>
      <w:r>
        <w:t xml:space="preserve"/>
      </w:r>
    </w:p>
    <w:p>
      <w:pPr>
        <w:pStyle w:val="ListParagraph"/>
        <w:numPr>
          <w:ilvl w:val="0"/>
          <w:numId w:val="2"/>
        </w:numPr>
        <w:spacing w:after="40" w:before="40"/>
      </w:pPr>
      <w:r>
        <w:rPr>
          <w:rFonts w:ascii="Arial" w:cs="Arial" w:eastAsia="Arial" w:hAnsi="Arial"/>
          <w:b w:val="false"/>
          <w:bCs w:val="false"/>
          <w:color w:val="333333"/>
          <w:sz w:val="22"/>
          <w:szCs w:val="22"/>
        </w:rPr>
        <w:t xml:space="preserve">Canonical claims refactor — rebuild the canonical_claims table as the shared backbone across all four departmental views</w:t>
      </w:r>
    </w:p>
    <w:p>
      <w:pPr>
        <w:pStyle w:val="ListParagraph"/>
        <w:numPr>
          <w:ilvl w:val="0"/>
          <w:numId w:val="2"/>
        </w:numPr>
        <w:spacing w:after="40" w:before="40"/>
      </w:pPr>
      <w:r>
        <w:rPr>
          <w:rFonts w:ascii="Arial" w:cs="Arial" w:eastAsia="Arial" w:hAnsi="Arial"/>
          <w:b w:val="false"/>
          <w:bCs w:val="false"/>
          <w:color w:val="333333"/>
          <w:sz w:val="22"/>
          <w:szCs w:val="22"/>
        </w:rPr>
        <w:t xml:space="preserve">Product Development view — formula cost-driver linkage, ingredient substitution flags, dose optimization context</w:t>
      </w:r>
    </w:p>
    <w:p>
      <w:pPr>
        <w:pStyle w:val="ListParagraph"/>
        <w:numPr>
          <w:ilvl w:val="0"/>
          <w:numId w:val="2"/>
        </w:numPr>
        <w:spacing w:after="40" w:before="40"/>
      </w:pPr>
      <w:r>
        <w:rPr>
          <w:rFonts w:ascii="Arial" w:cs="Arial" w:eastAsia="Arial" w:hAnsi="Arial"/>
          <w:b w:val="false"/>
          <w:bCs w:val="false"/>
          <w:color w:val="333333"/>
          <w:sz w:val="22"/>
          <w:szCs w:val="22"/>
        </w:rPr>
        <w:t xml:space="preserve">Research view — evidence quality tiers, IRR-validated sources, study design metadata</w:t>
      </w:r>
    </w:p>
    <w:p>
      <w:pPr>
        <w:pStyle w:val="ListParagraph"/>
        <w:numPr>
          <w:ilvl w:val="0"/>
          <w:numId w:val="2"/>
        </w:numPr>
        <w:spacing w:after="40" w:before="40"/>
      </w:pPr>
      <w:r>
        <w:rPr>
          <w:rFonts w:ascii="Arial" w:cs="Arial" w:eastAsia="Arial" w:hAnsi="Arial"/>
          <w:b w:val="false"/>
          <w:bCs w:val="false"/>
          <w:color w:val="333333"/>
          <w:sz w:val="22"/>
          <w:szCs w:val="22"/>
        </w:rPr>
        <w:t xml:space="preserve">Regulatory Affairs view — claim regulatory status, risk flags, discrepancy detection against current label claims</w:t>
      </w:r>
    </w:p>
    <w:p>
      <w:pPr>
        <w:pStyle w:val="ListParagraph"/>
        <w:numPr>
          <w:ilvl w:val="0"/>
          <w:numId w:val="2"/>
        </w:numPr>
        <w:spacing w:after="40" w:before="40"/>
      </w:pPr>
      <w:r>
        <w:rPr>
          <w:rFonts w:ascii="Arial" w:cs="Arial" w:eastAsia="Arial" w:hAnsi="Arial"/>
          <w:b w:val="false"/>
          <w:bCs w:val="false"/>
          <w:color w:val="333333"/>
          <w:sz w:val="22"/>
          <w:szCs w:val="22"/>
        </w:rPr>
        <w:t xml:space="preserve">Marketing view — approved claim language variants, benefit-category grouping for campaign use</w:t>
      </w:r>
    </w:p>
    <w:p>
      <w:pPr>
        <w:pStyle w:val="ListParagraph"/>
        <w:numPr>
          <w:ilvl w:val="0"/>
          <w:numId w:val="2"/>
        </w:numPr>
        <w:spacing w:after="40" w:before="40"/>
      </w:pPr>
      <w:r>
        <w:rPr>
          <w:rFonts w:ascii="Arial" w:cs="Arial" w:eastAsia="Arial" w:hAnsi="Arial"/>
          <w:b w:val="false"/>
          <w:bCs w:val="false"/>
          <w:color w:val="333333"/>
          <w:sz w:val="22"/>
          <w:szCs w:val="22"/>
        </w:rPr>
        <w:t xml:space="preserve">Ingredients library — seeded from both Garrett's PCS build and Lauren's CAI-PBE system, deduplicated and normalised</w:t>
      </w:r>
    </w:p>
    <w:p>
      <w:pPr>
        <w:spacing w:after="120" w:before="120"/>
      </w:pPr>
      <w:r>
        <w:t xml:space="preserve"/>
      </w:r>
    </w:p>
    <w:p>
      <w:pPr>
        <w:pStyle w:val="Heading2"/>
      </w:pPr>
      <w:r>
        <w:rPr>
          <w:rFonts w:ascii="Arial" w:cs="Arial" w:eastAsia="Arial" w:hAnsi="Arial"/>
          <w:b/>
          <w:bCs/>
          <w:color w:val="006B6B"/>
          <w:sz w:val="26"/>
          <w:szCs w:val="26"/>
        </w:rPr>
        <w:t xml:space="preserve">Phase 3 — Cross-Functional Connections</w:t>
      </w:r>
    </w:p>
    <w:p>
      <w:pPr>
        <w:spacing w:after="60" w:before="60"/>
      </w:pPr>
      <w:r>
        <w:rPr>
          <w:rFonts w:ascii="Arial" w:cs="Arial" w:eastAsia="Arial" w:hAnsi="Arial"/>
          <w:b w:val="false"/>
          <w:bCs w:val="false"/>
          <w:color w:val="333333"/>
          <w:sz w:val="22"/>
          <w:szCs w:val="22"/>
        </w:rPr>
        <w:t xml:space="preserve">Weeks 5–6. Connecting the multi-profile architecture to real operational workflows for RA and PD.</w:t>
      </w:r>
    </w:p>
    <w:p>
      <w:pPr>
        <w:spacing w:after="60" w:before="60"/>
      </w:pPr>
      <w:r>
        <w:t xml:space="preserve"/>
      </w:r>
    </w:p>
    <w:p>
      <w:pPr>
        <w:pStyle w:val="ListParagraph"/>
        <w:numPr>
          <w:ilvl w:val="0"/>
          <w:numId w:val="2"/>
        </w:numPr>
        <w:spacing w:after="40" w:before="40"/>
      </w:pPr>
      <w:r>
        <w:rPr>
          <w:rFonts w:ascii="Arial" w:cs="Arial" w:eastAsia="Arial" w:hAnsi="Arial"/>
          <w:b w:val="false"/>
          <w:bCs w:val="false"/>
          <w:color w:val="333333"/>
          <w:sz w:val="22"/>
          <w:szCs w:val="22"/>
        </w:rPr>
        <w:t xml:space="preserve">Benefits library and marketing benefit chart — full benefits taxonomy seeded and linked to canonical claims; chart view for marketing team use</w:t>
      </w:r>
    </w:p>
    <w:p>
      <w:pPr>
        <w:pStyle w:val="ListParagraph"/>
        <w:numPr>
          <w:ilvl w:val="0"/>
          <w:numId w:val="2"/>
        </w:numPr>
        <w:spacing w:after="40" w:before="40"/>
      </w:pPr>
      <w:r>
        <w:rPr>
          <w:rFonts w:ascii="Arial" w:cs="Arial" w:eastAsia="Arial" w:hAnsi="Arial"/>
          <w:b w:val="false"/>
          <w:bCs w:val="false"/>
          <w:color w:val="333333"/>
          <w:sz w:val="22"/>
          <w:szCs w:val="22"/>
        </w:rPr>
        <w:t xml:space="preserve">RA discrepancy detector — automated flagging when a product's label claims are not fully backed by current evidence records in the database</w:t>
      </w:r>
    </w:p>
    <w:p>
      <w:pPr>
        <w:pStyle w:val="ListParagraph"/>
        <w:numPr>
          <w:ilvl w:val="0"/>
          <w:numId w:val="2"/>
        </w:numPr>
        <w:spacing w:after="40" w:before="40"/>
      </w:pPr>
      <w:r>
        <w:rPr>
          <w:rFonts w:ascii="Arial" w:cs="Arial" w:eastAsia="Arial" w:hAnsi="Arial"/>
          <w:b w:val="false"/>
          <w:bCs w:val="false"/>
          <w:color w:val="333333"/>
          <w:sz w:val="22"/>
          <w:szCs w:val="22"/>
        </w:rPr>
        <w:t xml:space="preserve">PD cost-optimization report — surfaces high-cost ingredients with lower-dose alternatives carrying equivalent or superior evidence support</w:t>
      </w:r>
    </w:p>
    <w:p>
      <w:pPr>
        <w:spacing w:after="120" w:before="120"/>
      </w:pPr>
      <w:r>
        <w:t xml:space="preserve"/>
      </w:r>
    </w:p>
    <w:p>
      <w:pPr>
        <w:pStyle w:val="Heading2"/>
      </w:pPr>
      <w:r>
        <w:rPr>
          <w:rFonts w:ascii="Arial" w:cs="Arial" w:eastAsia="Arial" w:hAnsi="Arial"/>
          <w:b/>
          <w:bCs/>
          <w:color w:val="006B6B"/>
          <w:sz w:val="26"/>
          <w:szCs w:val="26"/>
        </w:rPr>
        <w:t xml:space="preserve">Phase 4 — Cochrane RoB 2 Extension</w:t>
      </w:r>
    </w:p>
    <w:p>
      <w:pPr>
        <w:spacing w:after="60" w:before="60"/>
      </w:pPr>
      <w:r>
        <w:rPr>
          <w:rFonts w:ascii="Arial" w:cs="Arial" w:eastAsia="Arial" w:hAnsi="Arial"/>
          <w:b w:val="false"/>
          <w:bCs w:val="false"/>
          <w:color w:val="333333"/>
          <w:sz w:val="22"/>
          <w:szCs w:val="22"/>
        </w:rPr>
        <w:t xml:space="preserve">Weeks 7–10. Sharon's requirement, revised to layer onto the existing SQR-RCT platform rather than build a standalone tool. This revision saves 4–6 weeks of development time.</w:t>
      </w:r>
    </w:p>
    <w:p>
      <w:pPr>
        <w:spacing w:after="60" w:before="60"/>
      </w:pPr>
      <w:r>
        <w:t xml:space="preserve"/>
      </w:r>
    </w:p>
    <w:p>
      <w:pPr>
        <w:pStyle w:val="ListParagraph"/>
        <w:numPr>
          <w:ilvl w:val="0"/>
          <w:numId w:val="2"/>
        </w:numPr>
        <w:spacing w:after="40" w:before="40"/>
      </w:pPr>
      <w:r>
        <w:rPr>
          <w:rFonts w:ascii="Arial" w:cs="Arial" w:eastAsia="Arial" w:hAnsi="Arial"/>
          <w:b w:val="false"/>
          <w:bCs w:val="false"/>
          <w:color w:val="333333"/>
          <w:sz w:val="22"/>
          <w:szCs w:val="22"/>
        </w:rPr>
        <w:t xml:space="preserve">RoB 2 domain mapping — map the five RoB 2 domains (randomization, deviations, missing data, measurement, selection) onto the existing 11-criterion rubric structure</w:t>
      </w:r>
    </w:p>
    <w:p>
      <w:pPr>
        <w:pStyle w:val="ListParagraph"/>
        <w:numPr>
          <w:ilvl w:val="0"/>
          <w:numId w:val="2"/>
        </w:numPr>
        <w:spacing w:after="40" w:before="40"/>
      </w:pPr>
      <w:r>
        <w:rPr>
          <w:rFonts w:ascii="Arial" w:cs="Arial" w:eastAsia="Arial" w:hAnsi="Arial"/>
          <w:b w:val="false"/>
          <w:bCs w:val="false"/>
          <w:color w:val="333333"/>
          <w:sz w:val="22"/>
          <w:szCs w:val="22"/>
        </w:rPr>
        <w:t xml:space="preserve">Applicability module — assess applicability of each study to Nordic's specific product population (dose, duration, population match)</w:t>
      </w:r>
    </w:p>
    <w:p>
      <w:pPr>
        <w:pStyle w:val="ListParagraph"/>
        <w:numPr>
          <w:ilvl w:val="0"/>
          <w:numId w:val="2"/>
        </w:numPr>
        <w:spacing w:after="40" w:before="40"/>
      </w:pPr>
      <w:r>
        <w:rPr>
          <w:rFonts w:ascii="Arial" w:cs="Arial" w:eastAsia="Arial" w:hAnsi="Arial"/>
          <w:b w:val="false"/>
          <w:bCs w:val="false"/>
          <w:color w:val="333333"/>
          <w:sz w:val="22"/>
          <w:szCs w:val="22"/>
        </w:rPr>
        <w:t xml:space="preserve">NutriGrade rollup — automated NutriGrade score calculation from RoB 2 domain assessments and meta-analysis quality indicators</w:t>
      </w:r>
    </w:p>
    <w:p>
      <w:pPr>
        <w:pStyle w:val="ListParagraph"/>
        <w:numPr>
          <w:ilvl w:val="0"/>
          <w:numId w:val="2"/>
        </w:numPr>
        <w:spacing w:after="40" w:before="40"/>
      </w:pPr>
      <w:r>
        <w:rPr>
          <w:rFonts w:ascii="Arial" w:cs="Arial" w:eastAsia="Arial" w:hAnsi="Arial"/>
          <w:b w:val="false"/>
          <w:bCs w:val="false"/>
          <w:color w:val="333333"/>
          <w:sz w:val="22"/>
          <w:szCs w:val="22"/>
        </w:rPr>
        <w:t xml:space="preserve">Conversational LLM UX — 6-layer architecture for evidence ingestion, RoB 2 extraction, applicability assessment, NutriGrade calculation, narrative generation, and reviewer override</w:t>
      </w:r>
    </w:p>
    <w:p>
      <w:pPr>
        <w:pStyle w:val="ListParagraph"/>
        <w:numPr>
          <w:ilvl w:val="0"/>
          <w:numId w:val="2"/>
        </w:numPr>
        <w:spacing w:after="40" w:before="40"/>
      </w:pPr>
      <w:r>
        <w:rPr>
          <w:rFonts w:ascii="Arial" w:cs="Arial" w:eastAsia="Arial" w:hAnsi="Arial"/>
          <w:b w:val="false"/>
          <w:bCs w:val="false"/>
          <w:color w:val="333333"/>
          <w:sz w:val="22"/>
          <w:szCs w:val="22"/>
        </w:rPr>
        <w:t xml:space="preserve">Integration with existing Expert Network — RoB 2 assessments feed into the same reviewer portal and IRR analytics already in use</w:t>
      </w:r>
    </w:p>
    <w:p>
      <w:pPr>
        <w:spacing w:after="200" w:before="200"/>
      </w:pPr>
      <w:r>
        <w:t xml:space="preserve"/>
      </w:r>
    </w:p>
    <w:p>
      <w:r>
        <w:br w:type="page"/>
      </w:r>
    </w:p>
    <w:p>
      <w:pPr>
        <w:pStyle w:val="Heading1"/>
      </w:pPr>
      <w:r>
        <w:rPr>
          <w:rFonts w:ascii="Arial" w:cs="Arial" w:eastAsia="Arial" w:hAnsi="Arial"/>
          <w:b/>
          <w:bCs/>
          <w:color w:val="002654"/>
          <w:sz w:val="32"/>
          <w:szCs w:val="32"/>
        </w:rPr>
        <w:t xml:space="preserve">5. Budget B — Retainer Scope &amp; Value</w:t>
      </w:r>
    </w:p>
    <w:p>
      <w:pPr>
        <w:pBdr>
          <w:bottom w:val="single" w:color="006B6B" w:sz="12" w:space="1"/>
        </w:pBdr>
        <w:spacing w:after="200" w:before="0"/>
      </w:pPr>
      <w:r>
        <w:t xml:space="preserve"/>
      </w:r>
    </w:p>
    <w:p>
      <w:pPr>
        <w:spacing w:after="60" w:before="60"/>
      </w:pPr>
      <w:r>
        <w:rPr>
          <w:rFonts w:ascii="Arial" w:cs="Arial" w:eastAsia="Arial" w:hAnsi="Arial"/>
          <w:b w:val="false"/>
          <w:bCs w:val="false"/>
          <w:color w:val="555555"/>
          <w:sz w:val="22"/>
          <w:szCs w:val="22"/>
        </w:rPr>
        <w:t xml:space="preserve">The retainer is not a maintenance contract. It is an active consulting and platform stewardship partnership covering five responsibility areas. The work is already happening — the retainer formalizes and sustains it.</w:t>
      </w:r>
    </w:p>
    <w:p>
      <w:pPr>
        <w:spacing w:after="80" w:before="80"/>
      </w:pPr>
      <w:r>
        <w:t xml:space="preserve"/>
      </w:r>
    </w:p>
    <w:p>
      <w:pPr>
        <w:pStyle w:val="Heading2"/>
      </w:pPr>
      <w:r>
        <w:rPr>
          <w:rFonts w:ascii="Arial" w:cs="Arial" w:eastAsia="Arial" w:hAnsi="Arial"/>
          <w:b/>
          <w:bCs/>
          <w:color w:val="006B6B"/>
          <w:sz w:val="26"/>
          <w:szCs w:val="26"/>
        </w:rPr>
        <w:t xml:space="preserve">5.1  What the Retainer Actually Covers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60"/>
        <w:gridCol w:w="2700"/>
      </w:tblGrid>
      <w:tr>
        <w:tc>
          <w:tcPr>
            <w:tcW w:type="dxa" w:w="2200"/>
            <w:tcBorders>
              <w:top w:val="single" w:color="002654" w:sz="1"/>
              <w:left w:val="single" w:color="002654" w:sz="1"/>
              <w:bottom w:val="single" w:color="002654" w:sz="1"/>
              <w:right w:val="single" w:color="002654" w:sz="1"/>
            </w:tcBorders>
            <w:shd w:fill="00265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Responsibility</w:t>
            </w:r>
          </w:p>
        </w:tc>
        <w:tc>
          <w:tcPr>
            <w:tcW w:type="dxa" w:w="4460"/>
            <w:tcBorders>
              <w:top w:val="single" w:color="002654" w:sz="1"/>
              <w:left w:val="single" w:color="002654" w:sz="1"/>
              <w:bottom w:val="single" w:color="002654" w:sz="1"/>
              <w:right w:val="single" w:color="002654" w:sz="1"/>
            </w:tcBorders>
            <w:shd w:fill="00265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What It Covers</w:t>
            </w:r>
          </w:p>
        </w:tc>
        <w:tc>
          <w:tcPr>
            <w:tcW w:type="dxa" w:w="2700"/>
            <w:tcBorders>
              <w:top w:val="single" w:color="002654" w:sz="1"/>
              <w:left w:val="single" w:color="002654" w:sz="1"/>
              <w:bottom w:val="single" w:color="002654" w:sz="1"/>
              <w:right w:val="single" w:color="002654" w:sz="1"/>
            </w:tcBorders>
            <w:shd w:fill="00265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Standalone Market Cost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Platform Onboarding &amp; Adoption</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Active support for Lauren, Gina, and the RA and Product Development teams as they transition workflows to the new platform. Includes AICS generation migration from manual document creation to the database-integrated workflow confirmed May 14, 2026.</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$2,500–$6,000/mo (onboarding specialist)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Platform Operations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Uptime monitoring, deployments, dependency updates, security patches, and infrastructure changes for SQR-RCT and PCS Command Center. Named backup contractor (August Kinloch) included at Priority tier.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$2,000–$5,000/mo (junior dev)</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Adaptive Feature Development</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Continuous adaptation of platform to stakeholder feedback, schema evolution, and emerging workflows. One AI-automatable or dev-assisted feature per month. This is the primary Budget B work that has been underway since March.</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$2,000–$6,000/mo (1 feature)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Database Maintenance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Keeping 11+ Notion databases accurate, schema-consistent, and free of relational drift. Without active maintenance, relational integrity degrades within 3–6 months of production use.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$1,000–$2,000/mo (data ops)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Data Protection Lead</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Because winded.vertigo holds Nordic research data on the SQR-RCT platform, a designated data protection lead is required. Garrett assumes this role, covering data governance, access controls, breach protocols, and exit-term compliance. Nordic does not need to staff or contract this role separately.</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$500–$1,500/mo (DPL contractor)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Research Advising</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Maintaining momentum on the Validation Study — study design refinements, journal selection, authorship structuring, statistical review, and submission preparation. Also advising on emerging evidence standards relevant to Nordic's product categories.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$1,500–$3,000/mo (research consultant)</w:t>
            </w:r>
          </w:p>
        </w:tc>
      </w:tr>
      <w:tr>
        <w:tc>
          <w:tcPr>
            <w:tcW w:type="dxa" w:w="2200"/>
            <w:tcBorders>
              <w:top w:val="single" w:color="CCCCCC" w:sz="1"/>
              <w:left w:val="single" w:color="CCCCCC" w:sz="1"/>
              <w:bottom w:val="single" w:color="CCCCCC" w:sz="1"/>
              <w:right w:val="single" w:color="CCCCCC" w:sz="1"/>
            </w:tcBorders>
            <w:shd w:fill="002654" w:val="clear"/>
            <w:tcMar>
              <w:top w:type="dxa" w:w="80"/>
              <w:left w:type="dxa" w:w="140"/>
              <w:bottom w:type="dxa" w:w="80"/>
              <w:right w:type="dxa" w:w="140"/>
            </w:tcMar>
          </w:tcPr>
          <w:p>
            <w:r>
              <w:rPr>
                <w:rFonts w:ascii="Arial" w:cs="Arial" w:eastAsia="Arial" w:hAnsi="Arial"/>
                <w:b/>
                <w:bCs/>
                <w:color w:val="FFFFFF"/>
                <w:sz w:val="20"/>
                <w:szCs w:val="20"/>
              </w:rPr>
              <w:t xml:space="preserve">TOTAL STANDALONE COST</w:t>
            </w:r>
          </w:p>
        </w:tc>
        <w:tc>
          <w:tcPr>
            <w:tcW w:type="dxa" w:w="4460"/>
            <w:tcBorders>
              <w:top w:val="single" w:color="CCCCCC" w:sz="1"/>
              <w:left w:val="single" w:color="CCCCCC" w:sz="1"/>
              <w:bottom w:val="single" w:color="CCCCCC" w:sz="1"/>
              <w:right w:val="single" w:color="CCCCCC" w:sz="1"/>
            </w:tcBorders>
            <w:shd w:fill="002654" w:val="clear"/>
            <w:tcMar>
              <w:top w:type="dxa" w:w="80"/>
              <w:left w:type="dxa" w:w="140"/>
              <w:bottom w:type="dxa" w:w="80"/>
              <w:right w:type="dxa" w:w="140"/>
            </w:tcMar>
          </w:tcPr>
          <w:p>
            <w:r>
              <w:rPr>
                <w:rFonts w:ascii="Arial" w:cs="Arial" w:eastAsia="Arial" w:hAnsi="Arial"/>
                <w:b w:val="false"/>
                <w:bCs w:val="false"/>
                <w:color w:val="FFFFFF"/>
                <w:sz w:val="20"/>
                <w:szCs w:val="20"/>
              </w:rPr>
              <w:t xml:space="preserve">All six responsibilities staffed or contracted separately</w:t>
            </w:r>
          </w:p>
        </w:tc>
        <w:tc>
          <w:tcPr>
            <w:tcW w:type="dxa" w:w="2700"/>
            <w:tcBorders>
              <w:top w:val="single" w:color="CCCCCC" w:sz="1"/>
              <w:left w:val="single" w:color="CCCCCC" w:sz="1"/>
              <w:bottom w:val="single" w:color="CCCCCC" w:sz="1"/>
              <w:right w:val="single" w:color="CCCCCC" w:sz="1"/>
            </w:tcBorders>
            <w:shd w:fill="002654" w:val="clear"/>
            <w:tcMar>
              <w:top w:type="dxa" w:w="80"/>
              <w:left w:type="dxa" w:w="140"/>
              <w:bottom w:type="dxa" w:w="80"/>
              <w:right w:type="dxa" w:w="140"/>
            </w:tcMar>
          </w:tcPr>
          <w:p>
            <w:r>
              <w:rPr>
                <w:rFonts w:ascii="Arial" w:cs="Arial" w:eastAsia="Arial" w:hAnsi="Arial"/>
                <w:b/>
                <w:bCs/>
                <w:color w:val="FFFFFF"/>
                <w:sz w:val="20"/>
                <w:szCs w:val="20"/>
              </w:rPr>
              <w:t xml:space="preserve">$9,500–$23,500/mo</w:t>
            </w:r>
          </w:p>
        </w:tc>
      </w:tr>
      <w:tr>
        <w:tc>
          <w:tcPr>
            <w:tcW w:type="dxa" w:w="2200"/>
            <w:tcBorders>
              <w:top w:val="single" w:color="CCCCCC" w:sz="1"/>
              <w:left w:val="single" w:color="CCCCCC" w:sz="1"/>
              <w:bottom w:val="single" w:color="CCCCCC" w:sz="1"/>
              <w:right w:val="single" w:color="CCCCCC" w:sz="1"/>
            </w:tcBorders>
            <w:shd w:fill="006B6B" w:val="clear"/>
            <w:tcMar>
              <w:top w:type="dxa" w:w="80"/>
              <w:left w:type="dxa" w:w="140"/>
              <w:bottom w:type="dxa" w:w="80"/>
              <w:right w:type="dxa" w:w="140"/>
            </w:tcMar>
          </w:tcPr>
          <w:p>
            <w:r>
              <w:rPr>
                <w:rFonts w:ascii="Arial" w:cs="Arial" w:eastAsia="Arial" w:hAnsi="Arial"/>
                <w:b/>
                <w:bCs/>
                <w:color w:val="FFFFFF"/>
                <w:sz w:val="20"/>
                <w:szCs w:val="20"/>
              </w:rPr>
              <w:t xml:space="preserve">BUDGET B — PRIORITY RETAINER</w:t>
            </w:r>
          </w:p>
        </w:tc>
        <w:tc>
          <w:tcPr>
            <w:tcW w:type="dxa" w:w="4460"/>
            <w:tcBorders>
              <w:top w:val="single" w:color="CCCCCC" w:sz="1"/>
              <w:left w:val="single" w:color="CCCCCC" w:sz="1"/>
              <w:bottom w:val="single" w:color="CCCCCC" w:sz="1"/>
              <w:right w:val="single" w:color="CCCCCC" w:sz="1"/>
            </w:tcBorders>
            <w:shd w:fill="006B6B" w:val="clear"/>
            <w:tcMar>
              <w:top w:type="dxa" w:w="80"/>
              <w:left w:type="dxa" w:w="140"/>
              <w:bottom w:type="dxa" w:w="80"/>
              <w:right w:type="dxa" w:w="140"/>
            </w:tcMar>
          </w:tcPr>
          <w:p>
            <w:r>
              <w:rPr>
                <w:rFonts w:ascii="Arial" w:cs="Arial" w:eastAsia="Arial" w:hAnsi="Arial"/>
                <w:b w:val="false"/>
                <w:bCs w:val="false"/>
                <w:color w:val="FFFFFF"/>
                <w:sz w:val="20"/>
                <w:szCs w:val="20"/>
              </w:rPr>
              <w:t xml:space="preserve">All six responsibilities + named backup (August Kinloch), one relationship, one invoice</w:t>
            </w:r>
          </w:p>
        </w:tc>
        <w:tc>
          <w:tcPr>
            <w:tcW w:type="dxa" w:w="2700"/>
            <w:tcBorders>
              <w:top w:val="single" w:color="CCCCCC" w:sz="1"/>
              <w:left w:val="single" w:color="CCCCCC" w:sz="1"/>
              <w:bottom w:val="single" w:color="CCCCCC" w:sz="1"/>
              <w:right w:val="single" w:color="CCCCCC" w:sz="1"/>
            </w:tcBorders>
            <w:shd w:fill="006B6B" w:val="clear"/>
            <w:tcMar>
              <w:top w:type="dxa" w:w="80"/>
              <w:left w:type="dxa" w:w="140"/>
              <w:bottom w:type="dxa" w:w="80"/>
              <w:right w:type="dxa" w:w="140"/>
            </w:tcMar>
          </w:tcPr>
          <w:p>
            <w:r>
              <w:rPr>
                <w:rFonts w:ascii="Arial" w:cs="Arial" w:eastAsia="Arial" w:hAnsi="Arial"/>
                <w:b/>
                <w:bCs/>
                <w:color w:val="FFFFFF"/>
                <w:sz w:val="20"/>
                <w:szCs w:val="20"/>
              </w:rPr>
              <w:t xml:space="preserve">$6,000/mo</w:t>
            </w:r>
          </w:p>
        </w:tc>
      </w:tr>
      <w:tr>
        <w:tc>
          <w:tcPr>
            <w:tcW w:type="dxa" w:w="2200"/>
            <w:tcBorders>
              <w:top w:val="single" w:color="CCCCCC" w:sz="1"/>
              <w:left w:val="single" w:color="CCCCCC" w:sz="1"/>
              <w:bottom w:val="single" w:color="CCCCCC" w:sz="1"/>
              <w:right w:val="single" w:color="CCCCCC" w:sz="1"/>
            </w:tcBorders>
            <w:shd w:fill="006B6B" w:val="clear"/>
            <w:tcMar>
              <w:top w:type="dxa" w:w="80"/>
              <w:left w:type="dxa" w:w="140"/>
              <w:bottom w:type="dxa" w:w="80"/>
              <w:right w:type="dxa" w:w="140"/>
            </w:tcMar>
          </w:tcPr>
          <w:p>
            <w:r>
              <w:rPr>
                <w:rFonts w:ascii="Arial" w:cs="Arial" w:eastAsia="Arial" w:hAnsi="Arial"/>
                <w:b/>
                <w:bCs/>
                <w:color w:val="FFFFFF"/>
                <w:sz w:val="20"/>
                <w:szCs w:val="20"/>
              </w:rPr>
              <w:t xml:space="preserve">BUDGET B — STANDARD RETAINER</w:t>
            </w:r>
          </w:p>
        </w:tc>
        <w:tc>
          <w:tcPr>
            <w:tcW w:type="dxa" w:w="4460"/>
            <w:tcBorders>
              <w:top w:val="single" w:color="CCCCCC" w:sz="1"/>
              <w:left w:val="single" w:color="CCCCCC" w:sz="1"/>
              <w:bottom w:val="single" w:color="CCCCCC" w:sz="1"/>
              <w:right w:val="single" w:color="CCCCCC" w:sz="1"/>
            </w:tcBorders>
            <w:shd w:fill="006B6B" w:val="clear"/>
            <w:tcMar>
              <w:top w:type="dxa" w:w="80"/>
              <w:left w:type="dxa" w:w="140"/>
              <w:bottom w:type="dxa" w:w="80"/>
              <w:right w:type="dxa" w:w="140"/>
            </w:tcMar>
          </w:tcPr>
          <w:p>
            <w:r>
              <w:rPr>
                <w:rFonts w:ascii="Arial" w:cs="Arial" w:eastAsia="Arial" w:hAnsi="Arial"/>
                <w:b w:val="false"/>
                <w:bCs w:val="false"/>
                <w:color w:val="FFFFFF"/>
                <w:sz w:val="20"/>
                <w:szCs w:val="20"/>
              </w:rPr>
              <w:t xml:space="preserve">All six responsibilities, primary coverage only</w:t>
            </w:r>
          </w:p>
        </w:tc>
        <w:tc>
          <w:tcPr>
            <w:tcW w:type="dxa" w:w="2700"/>
            <w:tcBorders>
              <w:top w:val="single" w:color="CCCCCC" w:sz="1"/>
              <w:left w:val="single" w:color="CCCCCC" w:sz="1"/>
              <w:bottom w:val="single" w:color="CCCCCC" w:sz="1"/>
              <w:right w:val="single" w:color="CCCCCC" w:sz="1"/>
            </w:tcBorders>
            <w:shd w:fill="006B6B" w:val="clear"/>
            <w:tcMar>
              <w:top w:type="dxa" w:w="80"/>
              <w:left w:type="dxa" w:w="140"/>
              <w:bottom w:type="dxa" w:w="80"/>
              <w:right w:type="dxa" w:w="140"/>
            </w:tcMar>
          </w:tcPr>
          <w:p>
            <w:r>
              <w:rPr>
                <w:rFonts w:ascii="Arial" w:cs="Arial" w:eastAsia="Arial" w:hAnsi="Arial"/>
                <w:b/>
                <w:bCs/>
                <w:color w:val="FFFFFF"/>
                <w:sz w:val="20"/>
                <w:szCs w:val="20"/>
              </w:rPr>
              <w:t xml:space="preserve">$4,000/mo</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4F00" w:sz="1"/>
              <w:left w:val="single" w:color="7A4F00" w:sz="1"/>
              <w:bottom w:val="single" w:color="7A4F00" w:sz="1"/>
              <w:right w:val="single" w:color="7A4F00" w:sz="1"/>
            </w:tcBorders>
            <w:shd w:fill="FFF8E6" w:val="clear"/>
            <w:tcMar>
              <w:top w:type="dxa" w:w="160"/>
              <w:left w:type="dxa" w:w="280"/>
              <w:bottom w:type="dxa" w:w="160"/>
              <w:right w:type="dxa" w:w="280"/>
            </w:tcMar>
          </w:tcPr>
          <w:p>
            <w:pPr>
              <w:spacing w:after="80"/>
            </w:pPr>
            <w:r>
              <w:rPr>
                <w:rFonts w:ascii="Arial" w:cs="Arial" w:eastAsia="Arial" w:hAnsi="Arial"/>
                <w:b/>
                <w:bCs/>
                <w:color w:val="7A4F00"/>
                <w:sz w:val="22"/>
                <w:szCs w:val="22"/>
              </w:rPr>
              <w:t xml:space="preserve">Live Workflow Gap: AICS Document Generation</w:t>
            </w:r>
          </w:p>
          <w:p>
            <w:pPr>
              <w:spacing w:after="0"/>
            </w:pPr>
            <w:r>
              <w:rPr>
                <w:rFonts w:ascii="Arial" w:cs="Arial" w:eastAsia="Arial" w:hAnsi="Arial"/>
                <w:color w:val="7A4F00"/>
                <w:sz w:val="20"/>
                <w:szCs w:val="20"/>
              </w:rPr>
              <w:t xml:space="preserve">As of May 14, 2026, Lauren Bosio and the research team are creating Active Ingredient Claim Substantiation (AICS) documents manually and sharing them via Google Drive. The platform already has the infrastructure to generate these documents from the database — this workflow just needs to be activated through onboarding and configuration. Until the contract is signed and the retainer begins formally, this transition cannot proceed. Every week of delay means additional manual effort for Lauren's team.</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B6B" w:sz="1"/>
              <w:left w:val="single" w:color="006B6B" w:sz="1"/>
              <w:bottom w:val="single" w:color="006B6B" w:sz="1"/>
              <w:right w:val="single" w:color="006B6B" w:sz="1"/>
            </w:tcBorders>
            <w:shd w:fill="E8F4F4" w:val="clear"/>
            <w:tcMar>
              <w:top w:type="dxa" w:w="160"/>
              <w:left w:type="dxa" w:w="280"/>
              <w:bottom w:type="dxa" w:w="160"/>
              <w:right w:type="dxa" w:w="280"/>
            </w:tcMar>
          </w:tcPr>
          <w:p>
            <w:pPr>
              <w:spacing w:after="80"/>
            </w:pPr>
            <w:r>
              <w:rPr>
                <w:rFonts w:ascii="Arial" w:cs="Arial" w:eastAsia="Arial" w:hAnsi="Arial"/>
                <w:b/>
                <w:bCs/>
                <w:color w:val="002654"/>
                <w:sz w:val="22"/>
                <w:szCs w:val="22"/>
              </w:rPr>
              <w:t xml:space="preserve">Note on Data Protection Lead Role</w:t>
            </w:r>
          </w:p>
          <w:p>
            <w:pPr>
              <w:spacing w:after="0"/>
            </w:pPr>
            <w:r>
              <w:rPr>
                <w:rFonts w:ascii="Arial" w:cs="Arial" w:eastAsia="Arial" w:hAnsi="Arial"/>
                <w:color w:val="555555"/>
                <w:sz w:val="20"/>
                <w:szCs w:val="20"/>
              </w:rPr>
              <w:t xml:space="preserve">The data protection arrangement should be formalised as an addendum to the MNDA or as a separate Data Processing Agreement (DPA) executed alongside this SOW. Key terms: Nordic's data remains Nordic's property and is exportable in full on request at any time. On termination of the retainer, all Nordic data is returned and deleted from winded.vertigo systems within 30 days.</w:t>
            </w:r>
          </w:p>
        </w:tc>
      </w:tr>
    </w:tbl>
    <w:p>
      <w:pPr>
        <w:spacing w:after="200" w:before="200"/>
      </w:pPr>
      <w:r>
        <w:t xml:space="preserve"/>
      </w:r>
    </w:p>
    <w:p>
      <w:r>
        <w:br w:type="page"/>
      </w:r>
    </w:p>
    <w:p>
      <w:pPr>
        <w:pStyle w:val="Heading1"/>
      </w:pPr>
      <w:r>
        <w:rPr>
          <w:rFonts w:ascii="Arial" w:cs="Arial" w:eastAsia="Arial" w:hAnsi="Arial"/>
          <w:b/>
          <w:bCs/>
          <w:color w:val="002654"/>
          <w:sz w:val="32"/>
          <w:szCs w:val="32"/>
        </w:rPr>
        <w:t xml:space="preserve">6. Deferred to 2027</w:t>
      </w:r>
    </w:p>
    <w:p>
      <w:pPr>
        <w:pBdr>
          <w:bottom w:val="single" w:color="006B6B" w:sz="12" w:space="1"/>
        </w:pBdr>
        <w:spacing w:after="200" w:before="0"/>
      </w:pPr>
      <w:r>
        <w:t xml:space="preserve"/>
      </w:r>
    </w:p>
    <w:p>
      <w:pPr>
        <w:spacing w:after="60" w:before="60"/>
      </w:pPr>
      <w:r>
        <w:rPr>
          <w:rFonts w:ascii="Arial" w:cs="Arial" w:eastAsia="Arial" w:hAnsi="Arial"/>
          <w:b w:val="false"/>
          <w:bCs w:val="false"/>
          <w:color w:val="555555"/>
          <w:sz w:val="22"/>
          <w:szCs w:val="22"/>
        </w:rPr>
        <w:t xml:space="preserve">The following capabilities fall outside the 2026 budget and timeline. They are documented here to establish the 2027 roadmap. Cost estimates below are preliminary and will be refined during Q4 2026 planning.</w:t>
      </w:r>
    </w:p>
    <w:p>
      <w:pPr>
        <w:spacing w:after="80" w:before="80"/>
      </w:pPr>
      <w:r>
        <w:t xml:space="preserve"/>
      </w:r>
    </w:p>
    <w:p>
      <w:pPr>
        <w:pStyle w:val="Heading2"/>
      </w:pPr>
      <w:r>
        <w:rPr>
          <w:rFonts w:ascii="Arial" w:cs="Arial" w:eastAsia="Arial" w:hAnsi="Arial"/>
          <w:b/>
          <w:bCs/>
          <w:color w:val="006B6B"/>
          <w:sz w:val="26"/>
          <w:szCs w:val="26"/>
        </w:rPr>
        <w:t xml:space="preserve">6.1  Auto-PCS Generator</w:t>
      </w:r>
    </w:p>
    <w:p>
      <w:pPr>
        <w:spacing w:after="60" w:before="60"/>
      </w:pPr>
      <w:r>
        <w:rPr>
          <w:rFonts w:ascii="Arial" w:cs="Arial" w:eastAsia="Arial" w:hAnsi="Arial"/>
          <w:b w:val="false"/>
          <w:bCs w:val="false"/>
          <w:color w:val="333333"/>
          <w:sz w:val="22"/>
          <w:szCs w:val="22"/>
        </w:rPr>
        <w:t xml:space="preserve">Sharon's flagship new requirement from April 17. An Ingredient x Dose x Claim catalog that automatically generates draft PCS documents from formula specifications. This is a significant capability leap — the kind of tool that transforms PCS from a reactive documentation exercise into a proactive product development input.</w:t>
      </w:r>
    </w:p>
    <w:p>
      <w:pPr>
        <w:spacing w:after="60" w:before="60"/>
      </w:pPr>
      <w:r>
        <w:t xml:space="preserve"/>
      </w:r>
    </w:p>
    <w:p>
      <w:pPr>
        <w:pStyle w:val="ListParagraph"/>
        <w:numPr>
          <w:ilvl w:val="0"/>
          <w:numId w:val="2"/>
        </w:numPr>
        <w:spacing w:after="40" w:before="40"/>
      </w:pPr>
      <w:r>
        <w:rPr>
          <w:rFonts w:ascii="Arial" w:cs="Arial" w:eastAsia="Arial" w:hAnsi="Arial"/>
          <w:b w:val="false"/>
          <w:bCs w:val="false"/>
          <w:color w:val="333333"/>
          <w:sz w:val="22"/>
          <w:szCs w:val="22"/>
        </w:rPr>
        <w:t xml:space="preserve">Ingredient x Dose catalog — cross-reference table linking every ingredient at every clinically-relevant dose to its evidence base, claim eligibility, and regulatory status</w:t>
      </w:r>
    </w:p>
    <w:p>
      <w:pPr>
        <w:pStyle w:val="ListParagraph"/>
        <w:numPr>
          <w:ilvl w:val="0"/>
          <w:numId w:val="2"/>
        </w:numPr>
        <w:spacing w:after="40" w:before="40"/>
      </w:pPr>
      <w:r>
        <w:rPr>
          <w:rFonts w:ascii="Arial" w:cs="Arial" w:eastAsia="Arial" w:hAnsi="Arial"/>
          <w:b w:val="false"/>
          <w:bCs w:val="false"/>
          <w:color w:val="333333"/>
          <w:sz w:val="22"/>
          <w:szCs w:val="22"/>
        </w:rPr>
        <w:t xml:space="preserve">Formula spec intake — structured input for new formulas (ingredients, doses, target claims)</w:t>
      </w:r>
    </w:p>
    <w:p>
      <w:pPr>
        <w:pStyle w:val="ListParagraph"/>
        <w:numPr>
          <w:ilvl w:val="0"/>
          <w:numId w:val="2"/>
        </w:numPr>
        <w:spacing w:after="40" w:before="40"/>
      </w:pPr>
      <w:r>
        <w:rPr>
          <w:rFonts w:ascii="Arial" w:cs="Arial" w:eastAsia="Arial" w:hAnsi="Arial"/>
          <w:b w:val="false"/>
          <w:bCs w:val="false"/>
          <w:color w:val="333333"/>
          <w:sz w:val="22"/>
          <w:szCs w:val="22"/>
        </w:rPr>
        <w:t xml:space="preserve">Auto-PCS generation — draft PCS documents generated from formula spec, pre-populated with relevant evidence packets, claim language variants, and RoB 2 assessments</w:t>
      </w:r>
    </w:p>
    <w:p>
      <w:pPr>
        <w:pStyle w:val="ListParagraph"/>
        <w:numPr>
          <w:ilvl w:val="0"/>
          <w:numId w:val="2"/>
        </w:numPr>
        <w:spacing w:after="40" w:before="40"/>
      </w:pPr>
      <w:r>
        <w:rPr>
          <w:rFonts w:ascii="Arial" w:cs="Arial" w:eastAsia="Arial" w:hAnsi="Arial"/>
          <w:b w:val="false"/>
          <w:bCs w:val="false"/>
          <w:color w:val="333333"/>
          <w:sz w:val="22"/>
          <w:szCs w:val="22"/>
        </w:rPr>
        <w:t xml:space="preserve">Gap detection — automatic flagging where formula spec claims are not supported by current evidence</w:t>
      </w:r>
    </w:p>
    <w:p>
      <w:pPr>
        <w:spacing w:after="60" w:before="60"/>
      </w:pPr>
      <w:r>
        <w:t xml:space="preserve"/>
      </w:r>
    </w:p>
    <w:p>
      <w:pPr>
        <w:spacing w:after="60" w:before="60"/>
      </w:pPr>
      <w:r>
        <w:rPr>
          <w:rFonts w:ascii="Arial" w:cs="Arial" w:eastAsia="Arial" w:hAnsi="Arial"/>
          <w:b/>
          <w:bCs/>
          <w:color w:val="333333"/>
          <w:sz w:val="22"/>
          <w:szCs w:val="22"/>
        </w:rPr>
        <w:t xml:space="preserve">Preliminary estimate: $18,000–$28,000 for full Auto-PCS Generator build, separate from the 2026 SOW. Wave 10 (Evergreen LLM migration): $20,000–$35,000 additional.</w:t>
      </w:r>
    </w:p>
    <w:p>
      <w:pPr>
        <w:spacing w:after="120" w:before="120"/>
      </w:pPr>
      <w:r>
        <w:t xml:space="preserve"/>
      </w:r>
    </w:p>
    <w:p>
      <w:pPr>
        <w:pStyle w:val="Heading2"/>
      </w:pPr>
      <w:r>
        <w:rPr>
          <w:rFonts w:ascii="Arial" w:cs="Arial" w:eastAsia="Arial" w:hAnsi="Arial"/>
          <w:b/>
          <w:bCs/>
          <w:color w:val="006B6B"/>
          <w:sz w:val="26"/>
          <w:szCs w:val="26"/>
        </w:rPr>
        <w:t xml:space="preserve">6.2  Advanced Stakeholder Views (Tiers 3–5)</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c>
          <w:tcPr>
            <w:tcW w:type="dxa" w:w="3000"/>
            <w:tcBorders>
              <w:top w:val="single" w:color="002654" w:sz="1"/>
              <w:left w:val="single" w:color="002654" w:sz="1"/>
              <w:bottom w:val="single" w:color="002654" w:sz="1"/>
              <w:right w:val="single" w:color="002654" w:sz="1"/>
            </w:tcBorders>
            <w:shd w:fill="00265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Capability</w:t>
            </w:r>
          </w:p>
        </w:tc>
        <w:tc>
          <w:tcPr>
            <w:tcW w:type="dxa" w:w="4360"/>
            <w:tcBorders>
              <w:top w:val="single" w:color="002654" w:sz="1"/>
              <w:left w:val="single" w:color="002654" w:sz="1"/>
              <w:bottom w:val="single" w:color="002654" w:sz="1"/>
              <w:right w:val="single" w:color="002654" w:sz="1"/>
            </w:tcBorders>
            <w:shd w:fill="00265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c>
          <w:tcPr>
            <w:tcW w:type="dxa" w:w="2000"/>
            <w:tcBorders>
              <w:top w:val="single" w:color="002654" w:sz="1"/>
              <w:left w:val="single" w:color="002654" w:sz="1"/>
              <w:bottom w:val="single" w:color="002654" w:sz="1"/>
              <w:right w:val="single" w:color="002654" w:sz="1"/>
            </w:tcBorders>
            <w:shd w:fill="00265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Est. Cost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T3 — AI Claim Categorization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AI-powered automated categorization of incoming claims; predictive evidence gap identification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$16,000–$24,000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T4 — Predictive PCS Generation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Full predictive pipeline: formula in, draft PCS out, with regulatory risk scoring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$28,000–$45,000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T5 — Cross-Functional Intelligence Platform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Full cross-portfolio views, executive dashboards, competitive intelligence layer, claim frequency analytics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$35,000–$55,000</w:t>
            </w:r>
          </w:p>
        </w:tc>
      </w:tr>
    </w:tbl>
    <w:p>
      <w:pPr>
        <w:spacing w:after="120" w:before="120"/>
      </w:pPr>
      <w:r>
        <w:t xml:space="preserve"/>
      </w:r>
    </w:p>
    <w:p>
      <w:pPr>
        <w:pStyle w:val="Heading2"/>
      </w:pPr>
      <w:r>
        <w:rPr>
          <w:rFonts w:ascii="Arial" w:cs="Arial" w:eastAsia="Arial" w:hAnsi="Arial"/>
          <w:b/>
          <w:bCs/>
          <w:color w:val="006B6B"/>
          <w:sz w:val="26"/>
          <w:szCs w:val="26"/>
        </w:rPr>
        <w:t xml:space="preserve">6.3  April 22 Schema Items (Non-Blocking, Important)</w:t>
      </w:r>
    </w:p>
    <w:p>
      <w:pPr>
        <w:spacing w:after="60" w:before="60"/>
      </w:pPr>
      <w:r>
        <w:rPr>
          <w:rFonts w:ascii="Arial" w:cs="Arial" w:eastAsia="Arial" w:hAnsi="Arial"/>
          <w:b w:val="false"/>
          <w:bCs w:val="false"/>
          <w:color w:val="333333"/>
          <w:sz w:val="22"/>
          <w:szCs w:val="22"/>
        </w:rPr>
        <w:t xml:space="preserve">These four items surfaced in Lauren's April 22 standardisation document. They are not blockers to the 2026 go-live but should be addressed in H1 2027 to reach full cross-portfolio utility.</w:t>
      </w:r>
    </w:p>
    <w:p>
      <w:pPr>
        <w:spacing w:after="60" w:before="60"/>
      </w:pPr>
      <w:r>
        <w:t xml:space="preserve"/>
      </w:r>
    </w:p>
    <w:p>
      <w:pPr>
        <w:pStyle w:val="ListParagraph"/>
        <w:numPr>
          <w:ilvl w:val="0"/>
          <w:numId w:val="2"/>
        </w:numPr>
        <w:spacing w:after="40" w:before="40"/>
      </w:pPr>
      <w:r>
        <w:rPr>
          <w:rFonts w:ascii="Arial" w:cs="Arial" w:eastAsia="Arial" w:hAnsi="Arial"/>
          <w:b w:val="false"/>
          <w:bCs w:val="false"/>
          <w:color w:val="333333"/>
          <w:sz w:val="22"/>
          <w:szCs w:val="22"/>
        </w:rPr>
        <w:t xml:space="preserve">SKU/format standardization — consistent format-level identifiers across softgels, gummies, liquids, powders</w:t>
      </w:r>
    </w:p>
    <w:p>
      <w:pPr>
        <w:pStyle w:val="ListParagraph"/>
        <w:numPr>
          <w:ilvl w:val="0"/>
          <w:numId w:val="2"/>
        </w:numPr>
        <w:spacing w:after="40" w:before="40"/>
      </w:pPr>
      <w:r>
        <w:rPr>
          <w:rFonts w:ascii="Arial" w:cs="Arial" w:eastAsia="Arial" w:hAnsi="Arial"/>
          <w:b w:val="false"/>
          <w:bCs w:val="false"/>
          <w:color w:val="333333"/>
          <w:sz w:val="22"/>
          <w:szCs w:val="22"/>
        </w:rPr>
        <w:t xml:space="preserve">Material number tracking — internal Nordic material numbers mapped to PCS database records for supply chain alignment</w:t>
      </w:r>
    </w:p>
    <w:p>
      <w:pPr>
        <w:pStyle w:val="ListParagraph"/>
        <w:numPr>
          <w:ilvl w:val="0"/>
          <w:numId w:val="2"/>
        </w:numPr>
        <w:spacing w:after="40" w:before="40"/>
      </w:pPr>
      <w:r>
        <w:rPr>
          <w:rFonts w:ascii="Arial" w:cs="Arial" w:eastAsia="Arial" w:hAnsi="Arial"/>
          <w:b w:val="false"/>
          <w:bCs w:val="false"/>
          <w:color w:val="333333"/>
          <w:sz w:val="22"/>
          <w:szCs w:val="22"/>
        </w:rPr>
        <w:t xml:space="preserve">Cross-portfolio claim views — claims visible across the full Nordic product portfolio, not product-by-product</w:t>
      </w:r>
    </w:p>
    <w:p>
      <w:pPr>
        <w:pStyle w:val="ListParagraph"/>
        <w:numPr>
          <w:ilvl w:val="0"/>
          <w:numId w:val="2"/>
        </w:numPr>
        <w:spacing w:after="40" w:before="40"/>
      </w:pPr>
      <w:r>
        <w:rPr>
          <w:rFonts w:ascii="Arial" w:cs="Arial" w:eastAsia="Arial" w:hAnsi="Arial"/>
          <w:b w:val="false"/>
          <w:bCs w:val="false"/>
          <w:color w:val="333333"/>
          <w:sz w:val="22"/>
          <w:szCs w:val="22"/>
        </w:rPr>
        <w:t xml:space="preserve">Claim frequency analysis — which claims appear most frequently, with what evidence quality, to prioritize validation investment</w:t>
      </w:r>
    </w:p>
    <w:p>
      <w:pPr>
        <w:spacing w:after="200" w:before="200"/>
      </w:pPr>
      <w:r>
        <w:t xml:space="preserve"/>
      </w:r>
    </w:p>
    <w:p>
      <w:r>
        <w:br w:type="page"/>
      </w:r>
    </w:p>
    <w:p>
      <w:pPr>
        <w:pStyle w:val="Heading1"/>
      </w:pPr>
      <w:r>
        <w:rPr>
          <w:rFonts w:ascii="Arial" w:cs="Arial" w:eastAsia="Arial" w:hAnsi="Arial"/>
          <w:b/>
          <w:bCs/>
          <w:color w:val="002654"/>
          <w:sz w:val="32"/>
          <w:szCs w:val="32"/>
        </w:rPr>
        <w:t xml:space="preserve">7. Investment Summary</w:t>
      </w:r>
    </w:p>
    <w:p>
      <w:pPr>
        <w:pBdr>
          <w:bottom w:val="single" w:color="006B6B" w:sz="12" w:space="1"/>
        </w:pBdr>
        <w:spacing w:after="200" w:before="0"/>
      </w:pPr>
      <w:r>
        <w:t xml:space="preserve"/>
      </w:r>
    </w:p>
    <w:p>
      <w:pPr>
        <w:spacing w:after="60" w:before="60"/>
      </w:pPr>
      <w:r>
        <w:t xml:space="preserve"/>
      </w:r>
    </w:p>
    <w:p>
      <w:pPr>
        <w:pStyle w:val="Heading2"/>
      </w:pPr>
      <w:r>
        <w:rPr>
          <w:rFonts w:ascii="Arial" w:cs="Arial" w:eastAsia="Arial" w:hAnsi="Arial"/>
          <w:b/>
          <w:bCs/>
          <w:color w:val="006B6B"/>
          <w:sz w:val="26"/>
          <w:szCs w:val="26"/>
        </w:rPr>
        <w:t xml:space="preserve">7.1  At Contract Signing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000"/>
        <w:gridCol w:w="2000"/>
      </w:tblGrid>
      <w:tr>
        <w:tc>
          <w:tcPr>
            <w:tcW w:type="dxa" w:w="5360"/>
            <w:tcBorders>
              <w:top w:val="single" w:color="002654" w:sz="1"/>
              <w:left w:val="single" w:color="002654" w:sz="1"/>
              <w:bottom w:val="single" w:color="002654" w:sz="1"/>
              <w:right w:val="single" w:color="002654" w:sz="1"/>
            </w:tcBorders>
            <w:shd w:fill="00265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Item</w:t>
            </w:r>
          </w:p>
        </w:tc>
        <w:tc>
          <w:tcPr>
            <w:tcW w:type="dxa" w:w="2000"/>
            <w:tcBorders>
              <w:top w:val="single" w:color="002654" w:sz="1"/>
              <w:left w:val="single" w:color="002654" w:sz="1"/>
              <w:bottom w:val="single" w:color="002654" w:sz="1"/>
              <w:right w:val="single" w:color="002654" w:sz="1"/>
            </w:tcBorders>
            <w:shd w:fill="00265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Amount</w:t>
            </w:r>
          </w:p>
        </w:tc>
        <w:tc>
          <w:tcPr>
            <w:tcW w:type="dxa" w:w="2000"/>
            <w:tcBorders>
              <w:top w:val="single" w:color="002654" w:sz="1"/>
              <w:left w:val="single" w:color="002654" w:sz="1"/>
              <w:bottom w:val="single" w:color="002654" w:sz="1"/>
              <w:right w:val="single" w:color="002654" w:sz="1"/>
            </w:tcBorders>
            <w:shd w:fill="00265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When</w:t>
            </w:r>
          </w:p>
        </w:tc>
      </w:tr>
      <w:tr>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Budget A — Platform build fixed fee (full amount)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002654"/>
                <w:sz w:val="20"/>
                <w:szCs w:val="20"/>
              </w:rPr>
              <w:t xml:space="preserve">$50,000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002654"/>
                <w:sz w:val="20"/>
                <w:szCs w:val="20"/>
              </w:rPr>
              <w:t xml:space="preserve">At signing</w:t>
            </w:r>
          </w:p>
        </w:tc>
      </w:tr>
      <w:tr>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Budget B back-pay — March + April 2026 (Priority tier)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002654"/>
                <w:sz w:val="20"/>
                <w:szCs w:val="20"/>
              </w:rPr>
              <w:t xml:space="preserve">$12,000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002654"/>
                <w:sz w:val="20"/>
                <w:szCs w:val="20"/>
              </w:rPr>
              <w:t xml:space="preserve">At signing</w:t>
            </w:r>
          </w:p>
        </w:tc>
      </w:tr>
      <w:tr>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Budget B back-pay — May 2026 prorated to signing date (@$194/day from May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~$194/day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At signing</w:t>
            </w:r>
          </w:p>
        </w:tc>
      </w:tr>
      <w:tr>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Budget B — First month retainer (Priority or Standard)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$4K or $6K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At signing</w:t>
            </w:r>
          </w:p>
        </w:tc>
      </w:tr>
      <w:tr>
        <w:tc>
          <w:tcPr>
            <w:tcW w:type="dxa" w:w="5360"/>
            <w:tcBorders>
              <w:top w:val="single" w:color="CCCCCC" w:sz="1"/>
              <w:left w:val="single" w:color="CCCCCC" w:sz="1"/>
              <w:bottom w:val="single" w:color="CCCCCC" w:sz="1"/>
              <w:right w:val="single" w:color="CCCCCC" w:sz="1"/>
            </w:tcBorders>
            <w:shd w:fill="002654" w:val="clear"/>
            <w:tcMar>
              <w:top w:type="dxa" w:w="80"/>
              <w:left w:type="dxa" w:w="140"/>
              <w:bottom w:type="dxa" w:w="80"/>
              <w:right w:type="dxa" w:w="140"/>
            </w:tcMar>
          </w:tcPr>
          <w:p>
            <w:r>
              <w:rPr>
                <w:rFonts w:ascii="Arial" w:cs="Arial" w:eastAsia="Arial" w:hAnsi="Arial"/>
                <w:b/>
                <w:bCs/>
                <w:color w:val="FFFFFF"/>
                <w:sz w:val="20"/>
                <w:szCs w:val="20"/>
              </w:rPr>
              <w:t xml:space="preserve">MINIMUM TOTAL DUE AT SIGNING (Priority, signed before May 31)</w:t>
            </w:r>
          </w:p>
        </w:tc>
        <w:tc>
          <w:tcPr>
            <w:tcW w:type="dxa" w:w="2000"/>
            <w:tcBorders>
              <w:top w:val="single" w:color="CCCCCC" w:sz="1"/>
              <w:left w:val="single" w:color="CCCCCC" w:sz="1"/>
              <w:bottom w:val="single" w:color="CCCCCC" w:sz="1"/>
              <w:right w:val="single" w:color="CCCCCC" w:sz="1"/>
            </w:tcBorders>
            <w:shd w:fill="002654" w:val="clear"/>
            <w:tcMar>
              <w:top w:type="dxa" w:w="80"/>
              <w:left w:type="dxa" w:w="140"/>
              <w:bottom w:type="dxa" w:w="80"/>
              <w:right w:type="dxa" w:w="140"/>
            </w:tcMar>
          </w:tcPr>
          <w:p>
            <w:r>
              <w:rPr>
                <w:rFonts w:ascii="Arial" w:cs="Arial" w:eastAsia="Arial" w:hAnsi="Arial"/>
                <w:b/>
                <w:bCs/>
                <w:color w:val="FFFFFF"/>
                <w:sz w:val="20"/>
                <w:szCs w:val="20"/>
              </w:rPr>
              <w:t xml:space="preserve">~$68,000+</w:t>
            </w:r>
          </w:p>
        </w:tc>
        <w:tc>
          <w:tcPr>
            <w:tcW w:type="dxa" w:w="2000"/>
            <w:tcBorders>
              <w:top w:val="single" w:color="CCCCCC" w:sz="1"/>
              <w:left w:val="single" w:color="CCCCCC" w:sz="1"/>
              <w:bottom w:val="single" w:color="CCCCCC" w:sz="1"/>
              <w:right w:val="single" w:color="CCCCCC" w:sz="1"/>
            </w:tcBorders>
            <w:shd w:fill="002654" w:val="clear"/>
            <w:tcMar>
              <w:top w:type="dxa" w:w="80"/>
              <w:left w:type="dxa" w:w="140"/>
              <w:bottom w:type="dxa" w:w="80"/>
              <w:right w:type="dxa" w:w="140"/>
            </w:tcMar>
          </w:tcPr>
          <w:p>
            <w:r>
              <w:rPr>
                <w:rFonts w:ascii="Arial" w:cs="Arial" w:eastAsia="Arial" w:hAnsi="Arial"/>
                <w:b/>
                <w:bCs/>
                <w:color w:val="FFFFFF"/>
                <w:sz w:val="20"/>
                <w:szCs w:val="20"/>
              </w:rPr>
              <w:t xml:space="preserve">Day 1</w:t>
            </w:r>
          </w:p>
        </w:tc>
      </w:tr>
    </w:tbl>
    <w:p>
      <w:pPr>
        <w:spacing w:after="140" w:before="140"/>
      </w:pPr>
      <w:r>
        <w:t xml:space="preserve"/>
      </w:r>
    </w:p>
    <w:p>
      <w:pPr>
        <w:pStyle w:val="Heading2"/>
      </w:pPr>
      <w:r>
        <w:rPr>
          <w:rFonts w:ascii="Arial" w:cs="Arial" w:eastAsia="Arial" w:hAnsi="Arial"/>
          <w:b/>
          <w:bCs/>
          <w:color w:val="006B6B"/>
          <w:sz w:val="26"/>
          <w:szCs w:val="26"/>
        </w:rPr>
        <w:t xml:space="preserve">7.2  Ongoing — Budget B Retainer (Monthly)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000"/>
        <w:gridCol w:w="2000"/>
      </w:tblGrid>
      <w:tr>
        <w:tc>
          <w:tcPr>
            <w:tcW w:type="dxa" w:w="5360"/>
            <w:tcBorders>
              <w:top w:val="single" w:color="002654" w:sz="1"/>
              <w:left w:val="single" w:color="002654" w:sz="1"/>
              <w:bottom w:val="single" w:color="002654" w:sz="1"/>
              <w:right w:val="single" w:color="002654" w:sz="1"/>
            </w:tcBorders>
            <w:shd w:fill="00265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Item</w:t>
            </w:r>
          </w:p>
        </w:tc>
        <w:tc>
          <w:tcPr>
            <w:tcW w:type="dxa" w:w="2000"/>
            <w:tcBorders>
              <w:top w:val="single" w:color="002654" w:sz="1"/>
              <w:left w:val="single" w:color="002654" w:sz="1"/>
              <w:bottom w:val="single" w:color="002654" w:sz="1"/>
              <w:right w:val="single" w:color="002654" w:sz="1"/>
            </w:tcBorders>
            <w:shd w:fill="00265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Amount</w:t>
            </w:r>
          </w:p>
        </w:tc>
        <w:tc>
          <w:tcPr>
            <w:tcW w:type="dxa" w:w="2000"/>
            <w:tcBorders>
              <w:top w:val="single" w:color="002654" w:sz="1"/>
              <w:left w:val="single" w:color="002654" w:sz="1"/>
              <w:bottom w:val="single" w:color="002654" w:sz="1"/>
              <w:right w:val="single" w:color="002654" w:sz="1"/>
            </w:tcBorders>
            <w:shd w:fill="00265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Cadence</w:t>
            </w:r>
          </w:p>
        </w:tc>
      </w:tr>
      <w:tr>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Budget B Priority retainer (includes August Kinloch as named backup)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$6,000/mo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Net 30, in advance</w:t>
            </w:r>
          </w:p>
        </w:tc>
      </w:tr>
      <w:tr>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Budget B Standard retainer (primary coverage only)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$4,000/mo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Net 30, in advance</w:t>
            </w:r>
          </w:p>
        </w:tc>
      </w:tr>
      <w:tr>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Year-one total retainer (12 months, Priority)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$72,000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w:t>
            </w:r>
          </w:p>
        </w:tc>
      </w:tr>
      <w:tr>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Year-one total retainer (12 months, Standard)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$48,000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w:t>
            </w:r>
          </w:p>
        </w:tc>
      </w:tr>
    </w:tbl>
    <w:p>
      <w:pPr>
        <w:spacing w:after="140" w:before="140"/>
      </w:pPr>
      <w:r>
        <w:t xml:space="preserve"/>
      </w:r>
    </w:p>
    <w:p>
      <w:pPr>
        <w:pStyle w:val="Heading2"/>
      </w:pPr>
      <w:r>
        <w:rPr>
          <w:rFonts w:ascii="Arial" w:cs="Arial" w:eastAsia="Arial" w:hAnsi="Arial"/>
          <w:b/>
          <w:bCs/>
          <w:color w:val="006B6B"/>
          <w:sz w:val="26"/>
          <w:szCs w:val="26"/>
        </w:rPr>
        <w:t xml:space="preserve">7.3  2027 Pipeline (Preliminary)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000"/>
        <w:gridCol w:w="2000"/>
      </w:tblGrid>
      <w:tr>
        <w:tc>
          <w:tcPr>
            <w:tcW w:type="dxa" w:w="5360"/>
            <w:tcBorders>
              <w:top w:val="single" w:color="002654" w:sz="1"/>
              <w:left w:val="single" w:color="002654" w:sz="1"/>
              <w:bottom w:val="single" w:color="002654" w:sz="1"/>
              <w:right w:val="single" w:color="002654" w:sz="1"/>
            </w:tcBorders>
            <w:shd w:fill="00265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Item</w:t>
            </w:r>
          </w:p>
        </w:tc>
        <w:tc>
          <w:tcPr>
            <w:tcW w:type="dxa" w:w="2000"/>
            <w:tcBorders>
              <w:top w:val="single" w:color="002654" w:sz="1"/>
              <w:left w:val="single" w:color="002654" w:sz="1"/>
              <w:bottom w:val="single" w:color="002654" w:sz="1"/>
              <w:right w:val="single" w:color="002654" w:sz="1"/>
            </w:tcBorders>
            <w:shd w:fill="00265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Est. Range</w:t>
            </w:r>
          </w:p>
        </w:tc>
        <w:tc>
          <w:tcPr>
            <w:tcW w:type="dxa" w:w="2000"/>
            <w:tcBorders>
              <w:top w:val="single" w:color="002654" w:sz="1"/>
              <w:left w:val="single" w:color="002654" w:sz="1"/>
              <w:bottom w:val="single" w:color="002654" w:sz="1"/>
              <w:right w:val="single" w:color="002654" w:sz="1"/>
            </w:tcBorders>
            <w:shd w:fill="00265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Priority</w:t>
            </w:r>
          </w:p>
        </w:tc>
      </w:tr>
      <w:tr>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Auto-PCS Generator (Phase 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$18,000–$28,000</w:t>
            </w:r>
          </w:p>
        </w:tc>
        <w:tc>
          <w:tcPr>
            <w:tcW w:type="dxa" w:w="2000"/>
            <w:tcBorders>
              <w:top w:val="single" w:color="CCCCCC" w:sz="1"/>
              <w:left w:val="single" w:color="CCCCCC" w:sz="1"/>
              <w:bottom w:val="single" w:color="CCCCCC" w:sz="1"/>
              <w:right w:val="single" w:color="CCCCCC" w:sz="1"/>
            </w:tcBorders>
            <w:shd w:fill="E8F4F4" w:val="clear"/>
            <w:tcMar>
              <w:top w:type="dxa" w:w="80"/>
              <w:left w:type="dxa" w:w="140"/>
              <w:bottom w:type="dxa" w:w="80"/>
              <w:right w:type="dxa" w:w="140"/>
            </w:tcMar>
          </w:tcPr>
          <w:p>
            <w:r>
              <w:rPr>
                <w:rFonts w:ascii="Arial" w:cs="Arial" w:eastAsia="Arial" w:hAnsi="Arial"/>
                <w:b/>
                <w:bCs/>
                <w:color w:val="002654"/>
                <w:sz w:val="20"/>
                <w:szCs w:val="20"/>
              </w:rPr>
              <w:t xml:space="preserve">High</w:t>
            </w:r>
          </w:p>
        </w:tc>
      </w:tr>
      <w:tr>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Wave 10 — Evergreen LLM migration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$20,000–$35,000</w:t>
            </w:r>
          </w:p>
        </w:tc>
        <w:tc>
          <w:tcPr>
            <w:tcW w:type="dxa" w:w="2000"/>
            <w:tcBorders>
              <w:top w:val="single" w:color="CCCCCC" w:sz="1"/>
              <w:left w:val="single" w:color="CCCCCC" w:sz="1"/>
              <w:bottom w:val="single" w:color="CCCCCC" w:sz="1"/>
              <w:right w:val="single" w:color="CCCCCC" w:sz="1"/>
            </w:tcBorders>
            <w:shd w:fill="E8F4F4" w:val="clear"/>
            <w:tcMar>
              <w:top w:type="dxa" w:w="80"/>
              <w:left w:type="dxa" w:w="140"/>
              <w:bottom w:type="dxa" w:w="80"/>
              <w:right w:type="dxa" w:w="140"/>
            </w:tcMar>
          </w:tcPr>
          <w:p>
            <w:r>
              <w:rPr>
                <w:rFonts w:ascii="Arial" w:cs="Arial" w:eastAsia="Arial" w:hAnsi="Arial"/>
                <w:b/>
                <w:bCs/>
                <w:color w:val="002654"/>
                <w:sz w:val="20"/>
                <w:szCs w:val="20"/>
              </w:rPr>
              <w:t xml:space="preserve">High</w:t>
            </w:r>
          </w:p>
        </w:tc>
      </w:tr>
      <w:tr>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April 22 schema items (4 gaps)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$8,000–$14,000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Medium</w:t>
            </w:r>
          </w:p>
        </w:tc>
      </w:tr>
      <w:tr>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Advanced AI capabilities (Tier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$28,000–$55,000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Medium</w:t>
            </w:r>
          </w:p>
        </w:tc>
      </w:tr>
      <w:tr>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Ongoing retainer (12 months)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$48,000–$72,000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t>
            </w:r>
          </w:p>
        </w:tc>
      </w:tr>
    </w:tbl>
    <w:p>
      <w:pPr>
        <w:spacing w:after="200" w:before="200"/>
      </w:pPr>
      <w:r>
        <w:t xml:space="preserve"/>
      </w:r>
    </w:p>
    <w:p>
      <w:r>
        <w:br w:type="page"/>
      </w:r>
    </w:p>
    <w:p>
      <w:pPr>
        <w:pStyle w:val="Heading1"/>
      </w:pPr>
      <w:r>
        <w:rPr>
          <w:rFonts w:ascii="Arial" w:cs="Arial" w:eastAsia="Arial" w:hAnsi="Arial"/>
          <w:b/>
          <w:bCs/>
          <w:color w:val="002654"/>
          <w:sz w:val="32"/>
          <w:szCs w:val="32"/>
        </w:rPr>
        <w:t xml:space="preserve">8. Terms and Next Steps</w:t>
      </w:r>
    </w:p>
    <w:p>
      <w:pPr>
        <w:pBdr>
          <w:bottom w:val="single" w:color="006B6B" w:sz="12" w:space="1"/>
        </w:pBdr>
        <w:spacing w:after="200" w:before="0"/>
      </w:pPr>
      <w:r>
        <w:t xml:space="preserve"/>
      </w:r>
    </w:p>
    <w:p>
      <w:pPr>
        <w:spacing w:after="80" w:before="80"/>
      </w:pPr>
      <w:r>
        <w:t xml:space="preserve"/>
      </w:r>
    </w:p>
    <w:p>
      <w:pPr>
        <w:pStyle w:val="Heading2"/>
      </w:pPr>
      <w:r>
        <w:rPr>
          <w:rFonts w:ascii="Arial" w:cs="Arial" w:eastAsia="Arial" w:hAnsi="Arial"/>
          <w:b/>
          <w:bCs/>
          <w:color w:val="006B6B"/>
          <w:sz w:val="26"/>
          <w:szCs w:val="26"/>
        </w:rPr>
        <w:t xml:space="preserve">8.1  Governing Documents</w:t>
      </w:r>
    </w:p>
    <w:p>
      <w:pPr>
        <w:pStyle w:val="ListParagraph"/>
        <w:numPr>
          <w:ilvl w:val="0"/>
          <w:numId w:val="2"/>
        </w:numPr>
        <w:spacing w:after="40" w:before="40"/>
      </w:pPr>
      <w:r>
        <w:rPr>
          <w:rFonts w:ascii="Arial" w:cs="Arial" w:eastAsia="Arial" w:hAnsi="Arial"/>
          <w:b w:val="false"/>
          <w:bCs w:val="false"/>
          <w:color w:val="333333"/>
          <w:sz w:val="22"/>
          <w:szCs w:val="22"/>
        </w:rPr>
        <w:t xml:space="preserve">MNDA: Executed prior to this SOW</w:t>
      </w:r>
    </w:p>
    <w:p>
      <w:pPr>
        <w:pStyle w:val="ListParagraph"/>
        <w:numPr>
          <w:ilvl w:val="0"/>
          <w:numId w:val="2"/>
        </w:numPr>
        <w:spacing w:after="40" w:before="40"/>
      </w:pPr>
      <w:r>
        <w:rPr>
          <w:rFonts w:ascii="Arial" w:cs="Arial" w:eastAsia="Arial" w:hAnsi="Arial"/>
          <w:b w:val="false"/>
          <w:bCs w:val="false"/>
          <w:color w:val="333333"/>
          <w:sz w:val="22"/>
          <w:szCs w:val="22"/>
        </w:rPr>
        <w:t xml:space="preserve">SOW (signed April 14, 2026): Governs build scope and payment terms — updated by this document</w:t>
      </w:r>
    </w:p>
    <w:p>
      <w:pPr>
        <w:pStyle w:val="ListParagraph"/>
        <w:numPr>
          <w:ilvl w:val="0"/>
          <w:numId w:val="2"/>
        </w:numPr>
        <w:spacing w:after="40" w:before="40"/>
      </w:pPr>
      <w:r>
        <w:rPr>
          <w:rFonts w:ascii="Arial" w:cs="Arial" w:eastAsia="Arial" w:hAnsi="Arial"/>
          <w:b w:val="false"/>
          <w:bCs w:val="false"/>
          <w:color w:val="333333"/>
          <w:sz w:val="22"/>
          <w:szCs w:val="22"/>
        </w:rPr>
        <w:t xml:space="preserve">Data Processing Agreement (DPA): To be executed; formalises data protection arrangement</w:t>
      </w:r>
    </w:p>
    <w:p>
      <w:pPr>
        <w:spacing w:after="120" w:before="120"/>
      </w:pPr>
      <w:r>
        <w:t xml:space="preserve"/>
      </w:r>
    </w:p>
    <w:p>
      <w:pPr>
        <w:pStyle w:val="Heading2"/>
      </w:pPr>
      <w:r>
        <w:rPr>
          <w:rFonts w:ascii="Arial" w:cs="Arial" w:eastAsia="Arial" w:hAnsi="Arial"/>
          <w:b/>
          <w:bCs/>
          <w:color w:val="006B6B"/>
          <w:sz w:val="26"/>
          <w:szCs w:val="26"/>
        </w:rPr>
        <w:t xml:space="preserve">8.2  Standard Terms</w:t>
      </w:r>
    </w:p>
    <w:p>
      <w:pPr>
        <w:pStyle w:val="ListParagraph"/>
        <w:numPr>
          <w:ilvl w:val="0"/>
          <w:numId w:val="2"/>
        </w:numPr>
        <w:spacing w:after="40" w:before="40"/>
      </w:pPr>
      <w:r>
        <w:rPr>
          <w:rFonts w:ascii="Arial" w:cs="Arial" w:eastAsia="Arial" w:hAnsi="Arial"/>
          <w:b w:val="false"/>
          <w:bCs w:val="false"/>
          <w:color w:val="333333"/>
          <w:sz w:val="22"/>
          <w:szCs w:val="22"/>
        </w:rPr>
        <w:t xml:space="preserve">Effective date: May 1, 2026 (Budget B back-pay calculated from March 1, 2026)</w:t>
      </w:r>
    </w:p>
    <w:p>
      <w:pPr>
        <w:pStyle w:val="ListParagraph"/>
        <w:numPr>
          <w:ilvl w:val="0"/>
          <w:numId w:val="2"/>
        </w:numPr>
        <w:spacing w:after="40" w:before="40"/>
      </w:pPr>
      <w:r>
        <w:rPr>
          <w:rFonts w:ascii="Arial" w:cs="Arial" w:eastAsia="Arial" w:hAnsi="Arial"/>
          <w:b w:val="false"/>
          <w:bCs w:val="false"/>
          <w:color w:val="333333"/>
          <w:sz w:val="22"/>
          <w:szCs w:val="22"/>
        </w:rPr>
        <w:t xml:space="preserve">Retainer term: 12-month initial term, auto-renewable annually on 60-day written notice</w:t>
      </w:r>
    </w:p>
    <w:p>
      <w:pPr>
        <w:pStyle w:val="ListParagraph"/>
        <w:numPr>
          <w:ilvl w:val="0"/>
          <w:numId w:val="2"/>
        </w:numPr>
        <w:spacing w:after="40" w:before="40"/>
      </w:pPr>
      <w:r>
        <w:rPr>
          <w:rFonts w:ascii="Arial" w:cs="Arial" w:eastAsia="Arial" w:hAnsi="Arial"/>
          <w:b w:val="false"/>
          <w:bCs w:val="false"/>
          <w:color w:val="333333"/>
          <w:sz w:val="22"/>
          <w:szCs w:val="22"/>
        </w:rPr>
        <w:t xml:space="preserve">Retainer payment: Net 30, monthly in advance</w:t>
      </w:r>
    </w:p>
    <w:p>
      <w:pPr>
        <w:pStyle w:val="ListParagraph"/>
        <w:numPr>
          <w:ilvl w:val="0"/>
          <w:numId w:val="2"/>
        </w:numPr>
        <w:spacing w:after="40" w:before="40"/>
      </w:pPr>
      <w:r>
        <w:rPr>
          <w:rFonts w:ascii="Arial" w:cs="Arial" w:eastAsia="Arial" w:hAnsi="Arial"/>
          <w:b w:val="false"/>
          <w:bCs w:val="false"/>
          <w:color w:val="333333"/>
          <w:sz w:val="22"/>
          <w:szCs w:val="22"/>
        </w:rPr>
        <w:t xml:space="preserve">Budget A fee: Full $50,000 invoiced at contract signing — work substantially delivered</w:t>
      </w:r>
    </w:p>
    <w:p>
      <w:pPr>
        <w:pStyle w:val="ListParagraph"/>
        <w:numPr>
          <w:ilvl w:val="0"/>
          <w:numId w:val="2"/>
        </w:numPr>
        <w:spacing w:after="40" w:before="40"/>
      </w:pPr>
      <w:r>
        <w:rPr>
          <w:rFonts w:ascii="Arial" w:cs="Arial" w:eastAsia="Arial" w:hAnsi="Arial"/>
          <w:b w:val="false"/>
          <w:bCs w:val="false"/>
          <w:color w:val="333333"/>
          <w:sz w:val="22"/>
          <w:szCs w:val="22"/>
        </w:rPr>
        <w:t xml:space="preserve">Back-pay: March + April 2026 at Priority tier rate ($12,000) + prorated May, invoiced at signing</w:t>
      </w:r>
    </w:p>
    <w:p>
      <w:pPr>
        <w:pStyle w:val="ListParagraph"/>
        <w:numPr>
          <w:ilvl w:val="0"/>
          <w:numId w:val="2"/>
        </w:numPr>
        <w:spacing w:after="40" w:before="40"/>
      </w:pPr>
      <w:r>
        <w:rPr>
          <w:rFonts w:ascii="Arial" w:cs="Arial" w:eastAsia="Arial" w:hAnsi="Arial"/>
          <w:b w:val="false"/>
          <w:bCs w:val="false"/>
          <w:color w:val="333333"/>
          <w:sz w:val="22"/>
          <w:szCs w:val="22"/>
        </w:rPr>
        <w:t xml:space="preserve">Data ownership: Nordic's data remains Nordic's property at all times</w:t>
      </w:r>
    </w:p>
    <w:p>
      <w:pPr>
        <w:pStyle w:val="ListParagraph"/>
        <w:numPr>
          <w:ilvl w:val="0"/>
          <w:numId w:val="2"/>
        </w:numPr>
        <w:spacing w:after="40" w:before="40"/>
      </w:pPr>
      <w:r>
        <w:rPr>
          <w:rFonts w:ascii="Arial" w:cs="Arial" w:eastAsia="Arial" w:hAnsi="Arial"/>
          <w:b w:val="false"/>
          <w:bCs w:val="false"/>
          <w:color w:val="333333"/>
          <w:sz w:val="22"/>
          <w:szCs w:val="22"/>
        </w:rPr>
        <w:t xml:space="preserve">Data portability: Full export available on request in standard formats (JSON, CSV, PDF)</w:t>
      </w:r>
    </w:p>
    <w:p>
      <w:pPr>
        <w:pStyle w:val="ListParagraph"/>
        <w:numPr>
          <w:ilvl w:val="0"/>
          <w:numId w:val="2"/>
        </w:numPr>
        <w:spacing w:after="40" w:before="40"/>
      </w:pPr>
      <w:r>
        <w:rPr>
          <w:rFonts w:ascii="Arial" w:cs="Arial" w:eastAsia="Arial" w:hAnsi="Arial"/>
          <w:b w:val="false"/>
          <w:bCs w:val="false"/>
          <w:color w:val="333333"/>
          <w:sz w:val="22"/>
          <w:szCs w:val="22"/>
        </w:rPr>
        <w:t xml:space="preserve">Exit terms: On retainer termination, all Nordic data returned and deleted from winded.vertigo systems within 30 days</w:t>
      </w:r>
    </w:p>
    <w:p>
      <w:pPr>
        <w:pStyle w:val="ListParagraph"/>
        <w:numPr>
          <w:ilvl w:val="0"/>
          <w:numId w:val="2"/>
        </w:numPr>
        <w:spacing w:after="40" w:before="40"/>
      </w:pPr>
      <w:r>
        <w:rPr>
          <w:rFonts w:ascii="Arial" w:cs="Arial" w:eastAsia="Arial" w:hAnsi="Arial"/>
          <w:b w:val="false"/>
          <w:bCs w:val="false"/>
          <w:color w:val="333333"/>
          <w:sz w:val="22"/>
          <w:szCs w:val="22"/>
        </w:rPr>
        <w:t xml:space="preserve">Warranty: winded.vertigo warrants platforms will remain operational and available throughout the retainer period</w:t>
      </w:r>
    </w:p>
    <w:p>
      <w:pPr>
        <w:pStyle w:val="ListParagraph"/>
        <w:numPr>
          <w:ilvl w:val="0"/>
          <w:numId w:val="2"/>
        </w:numPr>
        <w:spacing w:after="40" w:before="40"/>
      </w:pPr>
      <w:r>
        <w:rPr>
          <w:rFonts w:ascii="Arial" w:cs="Arial" w:eastAsia="Arial" w:hAnsi="Arial"/>
          <w:b w:val="false"/>
          <w:bCs w:val="false"/>
          <w:color w:val="333333"/>
          <w:sz w:val="22"/>
          <w:szCs w:val="22"/>
        </w:rPr>
        <w:t xml:space="preserve">Named backup (Priority tier): August Kinloch, currently onboarding to the Nordic project</w:t>
      </w:r>
    </w:p>
    <w:p>
      <w:pPr>
        <w:spacing w:after="120" w:before="120"/>
      </w:pPr>
      <w:r>
        <w:t xml:space="preserve"/>
      </w:r>
    </w:p>
    <w:p>
      <w:pPr>
        <w:pStyle w:val="Heading2"/>
      </w:pPr>
      <w:r>
        <w:rPr>
          <w:rFonts w:ascii="Arial" w:cs="Arial" w:eastAsia="Arial" w:hAnsi="Arial"/>
          <w:b/>
          <w:bCs/>
          <w:color w:val="006B6B"/>
          <w:sz w:val="26"/>
          <w:szCs w:val="26"/>
        </w:rPr>
        <w:t xml:space="preserve">8.3  Immediate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6360"/>
        <w:gridCol w:w="2500"/>
      </w:tblGrid>
      <w:tr>
        <w:tc>
          <w:tcPr>
            <w:tcW w:type="dxa" w:w="500"/>
            <w:tcBorders>
              <w:top w:val="single" w:color="002654" w:sz="1"/>
              <w:left w:val="single" w:color="002654" w:sz="1"/>
              <w:bottom w:val="single" w:color="002654" w:sz="1"/>
              <w:right w:val="single" w:color="002654" w:sz="1"/>
            </w:tcBorders>
            <w:shd w:fill="00265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t>
            </w:r>
          </w:p>
        </w:tc>
        <w:tc>
          <w:tcPr>
            <w:tcW w:type="dxa" w:w="6360"/>
            <w:tcBorders>
              <w:top w:val="single" w:color="002654" w:sz="1"/>
              <w:left w:val="single" w:color="002654" w:sz="1"/>
              <w:bottom w:val="single" w:color="002654" w:sz="1"/>
              <w:right w:val="single" w:color="002654" w:sz="1"/>
            </w:tcBorders>
            <w:shd w:fill="00265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Action</w:t>
            </w:r>
          </w:p>
        </w:tc>
        <w:tc>
          <w:tcPr>
            <w:tcW w:type="dxa" w:w="2500"/>
            <w:tcBorders>
              <w:top w:val="single" w:color="002654" w:sz="1"/>
              <w:left w:val="single" w:color="002654" w:sz="1"/>
              <w:bottom w:val="single" w:color="002654" w:sz="1"/>
              <w:right w:val="single" w:color="002654" w:sz="1"/>
            </w:tcBorders>
            <w:shd w:fill="00265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Owner / Date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Sharon reviews this SOW and confirms path to contract signing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Sharon — this week</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2</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Nordic legal / finance reviews contract terms and DPA</w:t>
            </w:r>
          </w:p>
        </w:tc>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555555"/>
                <w:sz w:val="20"/>
                <w:szCs w:val="20"/>
              </w:rPr>
              <w:t xml:space="preserve">Nordic — within 5 business days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Contract + DPA executed; Budget A + back-pay invoiced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Both parties — on execution</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4</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AICS workflow transition kickoff with Lauren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555555"/>
                <w:sz w:val="20"/>
                <w:szCs w:val="20"/>
              </w:rPr>
              <w:t xml:space="preserve">Lauren + Garrett — week of signing</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Phase 1 schema gap work resumes formally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Garrett — week of signing</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6</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Phase 2–3 mid-point check-in with Sharon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555555"/>
                <w:sz w:val="20"/>
                <w:szCs w:val="20"/>
              </w:rPr>
              <w:t xml:space="preserve">Sharon + Garrett — Week 5</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7</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Phase 4 (RoB 2) design review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Sharon + Garrett — Week 7</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8</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Go-live confirmation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555555"/>
                <w:sz w:val="20"/>
                <w:szCs w:val="20"/>
              </w:rPr>
              <w:t xml:space="preserve">Both parties — June 30, 2026</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9</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2027 roadmap planning session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Sharon + Garrett — Q3 2026</w:t>
            </w:r>
          </w:p>
        </w:tc>
      </w:tr>
    </w:tbl>
    <w:p>
      <w:pPr>
        <w:spacing w:after="200" w:before="200"/>
      </w:pPr>
      <w:r>
        <w:t xml:space="preserve"/>
      </w:r>
    </w:p>
    <w:p>
      <w:pPr>
        <w:pBdr>
          <w:bottom w:val="single" w:color="006B6B" w:sz="12" w:space="1"/>
        </w:pBdr>
        <w:spacing w:after="200" w:before="0"/>
      </w:pPr>
      <w:r>
        <w:t xml:space="preserve"/>
      </w:r>
    </w:p>
    <w:p>
      <w:pPr>
        <w:spacing w:after="60" w:before="60"/>
      </w:pPr>
      <w:r>
        <w:t xml:space="preserve"/>
      </w:r>
    </w:p>
    <w:p>
      <w:pPr>
        <w:jc w:val="center"/>
      </w:pPr>
      <w:r>
        <w:rPr>
          <w:rFonts w:ascii="Arial" w:cs="Arial" w:eastAsia="Arial" w:hAnsi="Arial"/>
          <w:color w:val="555555"/>
          <w:sz w:val="20"/>
          <w:szCs w:val="20"/>
        </w:rPr>
        <w:t xml:space="preserve">Prepared by Garrett Jaeger, winded.vertigo LLC | May 2026</w:t>
      </w:r>
    </w:p>
    <w:p>
      <w:pPr>
        <w:jc w:val="center"/>
      </w:pPr>
      <w:r>
        <w:rPr>
          <w:rFonts w:ascii="Arial" w:cs="Arial" w:eastAsia="Arial" w:hAnsi="Arial"/>
          <w:color w:val="006B6B"/>
          <w:sz w:val="20"/>
          <w:szCs w:val="20"/>
        </w:rPr>
        <w:t xml:space="preserve">Questions: garrett@windedvertigo.com</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6B6B" w:sz="6" w:space="1"/>
      </w:pBdr>
      <w:tabs>
        <w:tab w:val="right" w:pos="9360"/>
      </w:tabs>
    </w:pPr>
    <w:r>
      <w:rPr>
        <w:rFonts w:ascii="Arial" w:cs="Arial" w:eastAsia="Arial" w:hAnsi="Arial"/>
        <w:color w:val="555555"/>
        <w:sz w:val="18"/>
        <w:szCs w:val="18"/>
      </w:rPr>
      <w:t xml:space="preserve">winded.vertigo LLC  |  garrett@windedvertigo.com  |  May 2026</w:t>
    </w:r>
    <w:r>
      <w:rPr>
        <w:rFonts w:ascii="Arial" w:cs="Arial" w:eastAsia="Arial" w:hAnsi="Arial"/>
      </w:rPr>
      <w:t xml:space="preserve">	</w:t>
    </w: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6B6B" w:sz="6" w:space="1"/>
      </w:pBdr>
      <w:tabs>
        <w:tab w:val="right" w:pos="9360"/>
      </w:tabs>
    </w:pPr>
    <w:r>
      <w:rPr>
        <w:rFonts w:ascii="Arial" w:cs="Arial" w:eastAsia="Arial" w:hAnsi="Arial"/>
        <w:color w:val="555555"/>
        <w:sz w:val="18"/>
        <w:szCs w:val="18"/>
      </w:rPr>
      <w:t xml:space="preserve">winded.vertigo LLC  |  garrett@windedvertigo.com  |  May 2026</w:t>
    </w:r>
    <w:r>
      <w:rPr>
        <w:rFonts w:ascii="Arial" w:cs="Arial" w:eastAsia="Arial" w:hAnsi="Arial"/>
      </w:rPr>
      <w:t xml:space="preserve">	</w:t>
    </w: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B6B" w:sz="6" w:space="1"/>
      </w:pBdr>
      <w:tabs>
        <w:tab w:val="right" w:pos="9360"/>
      </w:tabs>
    </w:pPr>
    <w:r>
      <w:rPr>
        <w:rFonts w:ascii="Arial" w:cs="Arial" w:eastAsia="Arial" w:hAnsi="Arial"/>
        <w:b/>
        <w:bCs/>
        <w:color w:val="002654"/>
        <w:sz w:val="18"/>
        <w:szCs w:val="18"/>
      </w:rPr>
      <w:t xml:space="preserve">NORDIC NATURALS</w:t>
    </w:r>
    <w:r>
      <w:rPr>
        <w:rFonts w:ascii="Arial" w:cs="Arial" w:eastAsia="Arial" w:hAnsi="Arial"/>
      </w:rPr>
      <w:t xml:space="preserve">	</w:t>
    </w:r>
    <w:r>
      <w:rPr>
        <w:rFonts w:ascii="Arial" w:cs="Arial" w:eastAsia="Arial" w:hAnsi="Arial"/>
        <w:color w:val="555555"/>
        <w:sz w:val="18"/>
        <w:szCs w:val="18"/>
      </w:rPr>
      <w:t xml:space="preserve">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B6B" w:sz="6" w:space="1"/>
      </w:pBdr>
      <w:tabs>
        <w:tab w:val="right" w:pos="9360"/>
      </w:tabs>
    </w:pPr>
    <w:r>
      <w:rPr>
        <w:rFonts w:ascii="Arial" w:cs="Arial" w:eastAsia="Arial" w:hAnsi="Arial"/>
        <w:b/>
        <w:bCs/>
        <w:color w:val="002654"/>
        <w:sz w:val="18"/>
        <w:szCs w:val="18"/>
      </w:rPr>
      <w:t xml:space="preserve">NORDIC NATURALS</w:t>
    </w:r>
    <w:r>
      <w:rPr>
        <w:rFonts w:ascii="Arial" w:cs="Arial" w:eastAsia="Arial" w:hAnsi="Arial"/>
      </w:rPr>
      <w:t xml:space="preserve">	</w:t>
    </w:r>
    <w:r>
      <w:rPr>
        <w:rFonts w:ascii="Arial" w:cs="Arial" w:eastAsia="Arial" w:hAnsi="Arial"/>
        <w:color w:val="555555"/>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265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06B6B"/>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00265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2026-05-15T13:54:46.564Z</dcterms:created>
  <dcterms:modified xsi:type="dcterms:W3CDTF">2026-05-15T13:54:46.578Z</dcterms:modified>
</cp:coreProperties>
</file>

<file path=docProps/custom.xml><?xml version="1.0" encoding="utf-8"?>
<Properties xmlns="http://schemas.openxmlformats.org/officeDocument/2006/custom-properties" xmlns:vt="http://schemas.openxmlformats.org/officeDocument/2006/docPropsVTypes"/>
</file>