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left"/>
      </w:pPr>
      <w:r>
        <w:rPr>
          <w:rFonts w:ascii="Arial" w:cs="Arial" w:eastAsia="Arial" w:hAnsi="Arial"/>
          <w:b/>
          <w:bCs/>
          <w:color w:val="002654"/>
          <w:sz w:val="56"/>
          <w:szCs w:val="56"/>
        </w:rPr>
        <w:t xml:space="preserve">Nordic Naturals</w:t>
      </w:r>
    </w:p>
    <w:p>
      <w:pPr>
        <w:spacing w:after="200" w:before="0"/>
        <w:jc w:val="left"/>
      </w:pPr>
      <w:r>
        <w:rPr>
          <w:rFonts w:ascii="Arial" w:cs="Arial" w:eastAsia="Arial" w:hAnsi="Arial"/>
          <w:b w:val="false"/>
          <w:bCs w:val="false"/>
          <w:color w:val="006B6B"/>
          <w:sz w:val="36"/>
          <w:szCs w:val="36"/>
        </w:rPr>
        <w:t xml:space="preserve">winded.vertigo</w:t>
      </w:r>
    </w:p>
    <w:p>
      <w:pPr>
        <w:pBdr>
          <w:bottom w:val="single" w:color="006B6B" w:sz="12" w:space="1"/>
        </w:pBdr>
        <w:spacing w:after="200" w:before="0"/>
      </w:pPr>
      <w:r>
        <w:t xml:space="preserve"/>
      </w:r>
    </w:p>
    <w:p>
      <w:pPr>
        <w:spacing w:after="120" w:before="200"/>
        <w:jc w:val="left"/>
      </w:pPr>
      <w:r>
        <w:rPr>
          <w:rFonts w:ascii="Arial" w:cs="Arial" w:eastAsia="Arial" w:hAnsi="Arial"/>
          <w:b/>
          <w:bCs/>
          <w:color w:val="002654"/>
          <w:sz w:val="48"/>
          <w:szCs w:val="48"/>
        </w:rPr>
        <w:t xml:space="preserve">2026 Scope of Work</w:t>
      </w:r>
    </w:p>
    <w:p>
      <w:pPr>
        <w:spacing w:after="400" w:before="0"/>
        <w:jc w:val="left"/>
      </w:pPr>
      <w:r>
        <w:rPr>
          <w:rFonts w:ascii="Arial" w:cs="Arial" w:eastAsia="Arial" w:hAnsi="Arial"/>
          <w:color w:val="006B6B"/>
          <w:sz w:val="28"/>
          <w:szCs w:val="28"/>
        </w:rPr>
        <w:t xml:space="preserve">Research Infrastructure, PCS Database &amp; Substantiation Platform</w:t>
      </w:r>
    </w:p>
    <w:p>
      <w:pPr>
        <w:spacing w:after="200" w:before="200"/>
      </w:pPr>
      <w:r>
        <w:t xml:space="preserve"/>
      </w:r>
    </w:p>
    <w:p>
      <w:pPr>
        <w:spacing w:after="80" w:before="0"/>
      </w:pPr>
      <w:r>
        <w:rPr>
          <w:rFonts w:ascii="Arial" w:cs="Arial" w:eastAsia="Arial" w:hAnsi="Arial"/>
          <w:color w:val="555555"/>
          <w:sz w:val="22"/>
          <w:szCs w:val="22"/>
        </w:rPr>
        <w:t xml:space="preserve">Prepared by: Garrett Jaeger, winded.vertigo LLC</w:t>
      </w:r>
    </w:p>
    <w:p>
      <w:pPr>
        <w:spacing w:after="80" w:before="0"/>
      </w:pPr>
      <w:r>
        <w:rPr>
          <w:rFonts w:ascii="Arial" w:cs="Arial" w:eastAsia="Arial" w:hAnsi="Arial"/>
          <w:color w:val="555555"/>
          <w:sz w:val="22"/>
          <w:szCs w:val="22"/>
        </w:rPr>
        <w:t xml:space="preserve">Prepared for: Sharon Matheny, Nordic Naturals</w:t>
      </w:r>
    </w:p>
    <w:p>
      <w:pPr>
        <w:spacing w:after="80" w:before="0"/>
      </w:pPr>
      <w:r>
        <w:rPr>
          <w:rFonts w:ascii="Arial" w:cs="Arial" w:eastAsia="Arial" w:hAnsi="Arial"/>
          <w:color w:val="555555"/>
          <w:sz w:val="22"/>
          <w:szCs w:val="22"/>
        </w:rPr>
        <w:t xml:space="preserve">Date: April 2026  |  MNDA: Executed</w:t>
      </w:r>
    </w:p>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
              <w:left w:val="single" w:color="006B6B" w:sz="1"/>
              <w:bottom w:val="single" w:color="006B6B" w:sz="1"/>
              <w:right w:val="single" w:color="006B6B" w:sz="1"/>
            </w:tcBorders>
            <w:shd w:fill="E8F4F4" w:val="clear"/>
            <w:tcMar>
              <w:top w:type="dxa" w:w="200"/>
              <w:left w:type="dxa" w:w="280"/>
              <w:bottom w:type="dxa" w:w="200"/>
              <w:right w:type="dxa" w:w="280"/>
            </w:tcMar>
          </w:tcPr>
          <w:p>
            <w:pPr>
              <w:spacing w:after="0" w:before="0"/>
            </w:pPr>
            <w:r>
              <w:rPr>
                <w:rFonts w:ascii="Arial" w:cs="Arial" w:eastAsia="Arial" w:hAnsi="Arial"/>
                <w:color w:val="002654"/>
                <w:sz w:val="22"/>
                <w:szCs w:val="22"/>
              </w:rPr>
              <w:t xml:space="preserve">This document updates the scope of work originally signed April 14, 2026 to reflect project evolution through April 22, 2026. It documents what has been built, what the approved 2026 budget covers, what is deferred to 2027, and the full value case for the retainer.</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02654"/>
          <w:sz w:val="32"/>
          <w:szCs w:val="32"/>
        </w:rPr>
        <w:t xml:space="preserve">1. How We Got Here</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This engagement evolved significantly over 18 months. The timeline below captures each major inflection point so the current scope and pricing can be understood in full context — not as a static proposal, but as a reflection of genuine complexity that emerged through doing.</w:t>
      </w:r>
    </w:p>
    <w:p>
      <w:pPr>
        <w:spacing w:after="100" w:before="10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Early 2025</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Initial engagement scoped as a simple SaaS database build</w:t>
            </w:r>
          </w:p>
          <w:p>
            <w:pPr>
              <w:spacing w:before="40"/>
            </w:pPr>
            <w:r>
              <w:rPr>
                <w:rFonts w:ascii="Arial" w:cs="Arial" w:eastAsia="Arial" w:hAnsi="Arial"/>
                <w:color w:val="555555"/>
                <w:sz w:val="20"/>
                <w:szCs w:val="20"/>
              </w:rPr>
              <w:t xml:space="preserve">Original estimates: $5,000–$6,000 for a lightweight claims-tracking tool. This was the baseline assumption before the technical depth of the substantiation workflow became clear.</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Feb 27,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SQR-RCT Platform proposal delivered</w:t>
            </w:r>
          </w:p>
          <w:p>
            <w:pPr>
              <w:spacing w:before="40"/>
            </w:pPr>
            <w:r>
              <w:rPr>
                <w:rFonts w:ascii="Arial" w:cs="Arial" w:eastAsia="Arial" w:hAnsi="Arial"/>
                <w:color w:val="555555"/>
                <w:sz w:val="20"/>
                <w:szCs w:val="20"/>
              </w:rPr>
              <w:t xml:space="preserve">By this point the research review platform had grown into a full production system: 11-criterion rubric (V1 frozen, V2 data-driven), AI Reviewer (single + batch), complete IRR analytics suite (ICC, Cohen's Kappa, Fleiss' Kappa, PABAK), and Expert Network portal. Three pricing tiers delivered — Core $10K, Enhanced $17.5K, Full $25K — plus Validation Study report ($8K). Market value of what had been built: $85K–$130K. Cost to Nordic through this stage: a fraction of that, extended on trust before any contract was signed.</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March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PCS Database Phase 2 proposal delivered</w:t>
            </w:r>
          </w:p>
          <w:p>
            <w:pPr>
              <w:spacing w:before="40"/>
            </w:pPr>
            <w:r>
              <w:rPr>
                <w:rFonts w:ascii="Arial" w:cs="Arial" w:eastAsia="Arial" w:hAnsi="Arial"/>
                <w:color w:val="555555"/>
                <w:sz w:val="20"/>
                <w:szCs w:val="20"/>
              </w:rPr>
              <w:t xml:space="preserve">Scope expanded again. The PCS database grew to 11 relational Notion databases with a custom Command Center web interface. Five build tiers proposed ($4.5K–$55K range depending on depth). Recommended starting point for 2026: Tiers 1+2 combined ($12.5K–$18.5K). Retainer options introduced: Standard $2K–$3.5K/mo, Comprehensive $5K–$8K/mo.</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13–14,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Meeting with Sharon Matheny. SOW signed.</w:t>
            </w:r>
          </w:p>
          <w:p>
            <w:pPr>
              <w:spacing w:before="40"/>
            </w:pPr>
            <w:r>
              <w:rPr>
                <w:rFonts w:ascii="Arial" w:cs="Arial" w:eastAsia="Arial" w:hAnsi="Arial"/>
                <w:color w:val="555555"/>
                <w:sz w:val="20"/>
                <w:szCs w:val="20"/>
              </w:rPr>
              <w:t xml:space="preserve">Scope, budget, and timeline aligned. Go-live target: June 30, 2026. Retainer: active May 1, 2026. Payment: 50% on signature (May 1), 50% on go-live. MNDA already in place.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16,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Lauren Bosio (Product Development) joined the engagement</w:t>
            </w:r>
          </w:p>
          <w:p>
            <w:pPr>
              <w:spacing w:before="40"/>
            </w:pPr>
            <w:r>
              <w:rPr>
                <w:rFonts w:ascii="Arial" w:cs="Arial" w:eastAsia="Arial" w:hAnsi="Arial"/>
                <w:color w:val="555555"/>
                <w:sz w:val="20"/>
                <w:szCs w:val="20"/>
              </w:rPr>
              <w:t xml:space="preserve">Lauren's CAI-PBE system — Claims, Active Ingredients, Products, Benefits in SmartSheet — revealed four critical schema gaps in the existing PCS build: (1) claim prefix separation, (2) AI nomenclature standardization, (3) benefit categories, (4) demographics. A PCS Gap Analysis was produced. These gaps are not optional refinements; they are blockers to cross-departmental use.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17,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Sharon introduced two significant new requirements</w:t>
            </w:r>
          </w:p>
          <w:p>
            <w:pPr>
              <w:spacing w:before="40"/>
            </w:pPr>
            <w:r>
              <w:rPr>
                <w:rFonts w:ascii="Arial" w:cs="Arial" w:eastAsia="Arial" w:hAnsi="Arial"/>
                <w:color w:val="555555"/>
                <w:sz w:val="20"/>
                <w:szCs w:val="20"/>
              </w:rPr>
              <w:t xml:space="preserve">Requirement 1: Cochrane Risk of Bias 2 (RoB 2) integration — REVISED to layer onto the existing SQR-RCT platform rather than build from scratch (materially reduces cost and timeline). Requirement 2: Auto-PCS Generator — an Ingredient x Dose x Claim catalog that can auto-generate PCS documents from formula specifications. This is Sharon's flagship new ask and represents a substantial capability leap.</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19,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Multi-Profile Data Architecture document produced</w:t>
            </w:r>
          </w:p>
          <w:p>
            <w:pPr>
              <w:spacing w:before="40"/>
            </w:pPr>
            <w:r>
              <w:rPr>
                <w:rFonts w:ascii="Arial" w:cs="Arial" w:eastAsia="Arial" w:hAnsi="Arial"/>
                <w:color w:val="555555"/>
                <w:sz w:val="20"/>
                <w:szCs w:val="20"/>
              </w:rPr>
              <w:t xml:space="preserve">Synthesized Lauren's inputs into a six-week build plan for the multi-departmental data layer (PD, Research, RA, Marketing views sharing one schema). Introduced claim_prefixes, core_benefits, benefit_categories, and canonical_claims refactor as the architectural backbone.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22,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Lauren shared 'standardisations of substantiation data'</w:t>
            </w:r>
          </w:p>
          <w:p>
            <w:pPr>
              <w:spacing w:before="40"/>
            </w:pPr>
            <w:r>
              <w:rPr>
                <w:rFonts w:ascii="Arial" w:cs="Arial" w:eastAsia="Arial" w:hAnsi="Arial"/>
                <w:color w:val="555555"/>
                <w:sz w:val="20"/>
                <w:szCs w:val="20"/>
              </w:rPr>
              <w:t xml:space="preserve">Additional schema context surfaced four more important (non-blocking) gaps: SKU/format standardization, material number tracking, cross-portfolio claim views, and claim frequency analysis. These inform 2027 planning.</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2. What Has Been Built</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following assets exist in production as of April 2026. All were built primarily on trust, before a signed contract. The market-value comparison is based on agency day-rate benchmarks ($150–$250/hr) for comparable systems.</w:t>
      </w:r>
    </w:p>
    <w:p>
      <w:pPr>
        <w:spacing w:after="80" w:before="80"/>
      </w:pPr>
      <w:r>
        <w:t xml:space="preserve"/>
      </w:r>
    </w:p>
    <w:p>
      <w:pPr>
        <w:pStyle w:val="Heading2"/>
      </w:pPr>
      <w:r>
        <w:rPr>
          <w:rFonts w:ascii="Arial" w:cs="Arial" w:eastAsia="Arial" w:hAnsi="Arial"/>
          <w:b/>
          <w:bCs/>
          <w:color w:val="006B6B"/>
          <w:sz w:val="26"/>
          <w:szCs w:val="26"/>
        </w:rPr>
        <w:t xml:space="preserve">2.1  SQR-RCT Research Review Platform</w:t>
      </w:r>
    </w:p>
    <w:p>
      <w:pPr>
        <w:spacing w:after="60" w:before="60"/>
      </w:pPr>
      <w:r>
        <w:rPr>
          <w:rFonts w:ascii="Arial" w:cs="Arial" w:eastAsia="Arial" w:hAnsi="Arial"/>
          <w:b w:val="false"/>
          <w:bCs w:val="false"/>
          <w:color w:val="333333"/>
          <w:sz w:val="22"/>
          <w:szCs w:val="22"/>
        </w:rPr>
        <w:t xml:space="preserve">Live at nordic-sqr-rct.vercel.app — a fully custom Next.js production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24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Codebase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9,200+ lines of production TypeScript/Next.js code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Rubric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11-criterion rubric. V1 is frozen and in active use; V2 is data-driven with configurable criterion weighting.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AI Reviewer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Single-article review and batch processing pipeline. Outputs structured rubric scores with citation-level justifications.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IRR Analytics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inter-rater reliability suite: ICC, Cohen's Kappa, Fleiss' Kappa, PABAK. Research-grade statistical outputs.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Expert Network Portal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Reviewer onboarding, assignment, and tracking. Current usage: 36 articles, 53 reviews, 6 active reviewers.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Validation Study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22,000-word peer-quality research report comparing 5 quality frameworks, with 60+ references. Publishable in current form.</w:t>
            </w:r>
          </w:p>
        </w:tc>
      </w:tr>
    </w:tbl>
    <w:p>
      <w:pPr>
        <w:spacing w:after="160" w:before="160"/>
      </w:pPr>
      <w:r>
        <w:t xml:space="preserve"/>
      </w:r>
    </w:p>
    <w:p>
      <w:pPr>
        <w:pStyle w:val="Heading2"/>
      </w:pPr>
      <w:r>
        <w:rPr>
          <w:rFonts w:ascii="Arial" w:cs="Arial" w:eastAsia="Arial" w:hAnsi="Arial"/>
          <w:b/>
          <w:bCs/>
          <w:color w:val="006B6B"/>
          <w:sz w:val="26"/>
          <w:szCs w:val="26"/>
        </w:rPr>
        <w:t xml:space="preserve">2.2  PCS Database &amp; Command Center</w:t>
      </w:r>
    </w:p>
    <w:p>
      <w:pPr>
        <w:spacing w:after="60" w:before="60"/>
      </w:pPr>
      <w:r>
        <w:rPr>
          <w:rFonts w:ascii="Arial" w:cs="Arial" w:eastAsia="Arial" w:hAnsi="Arial"/>
          <w:b w:val="false"/>
          <w:bCs w:val="false"/>
          <w:color w:val="333333"/>
          <w:sz w:val="22"/>
          <w:szCs w:val="22"/>
        </w:rPr>
        <w:t xml:space="preserve">11 relational Notion databases with a custom web Command Center at port.windedvertigo.com/pcs.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Database</w:t>
            </w:r>
          </w:p>
        </w:tc>
        <w:tc>
          <w:tcPr>
            <w:tcW w:type="dxa" w:w="69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Products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Master product registry with versioning, category, and formula linkage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Versions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SKU-level version tracking with effective dates and regulatory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Claims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Structured claim library with type, regulatory status, and evidence linkage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Evidence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records linked to claims, with quality tier and source metadata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Formulas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Formula compositions linking active ingredients to products and doses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Supplement Facts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Parsed supplement facts panel data per SKU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Revision 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for all PCS changes with author and rationale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Canonical Claims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Normalised master claim set eliminating duplicates across products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Evidence Packets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Bundled evidence sets supporting specific canonical claims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Claim Wording Variants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claim language variations for regulatory and marketing contexts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PCS Requests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Intake queue for new PCS generation requests from internal teams</w:t>
            </w:r>
          </w:p>
        </w:tc>
      </w:tr>
    </w:tbl>
    <w:p>
      <w:pPr>
        <w:spacing w:after="200" w:before="200"/>
      </w:pPr>
      <w:r>
        <w:t xml:space="preserve"/>
      </w:r>
    </w:p>
    <w:p>
      <w:pPr>
        <w:pStyle w:val="Heading2"/>
      </w:pPr>
      <w:r>
        <w:rPr>
          <w:rFonts w:ascii="Arial" w:cs="Arial" w:eastAsia="Arial" w:hAnsi="Arial"/>
          <w:b/>
          <w:bCs/>
          <w:color w:val="006B6B"/>
          <w:sz w:val="26"/>
          <w:szCs w:val="26"/>
        </w:rPr>
        <w:t xml:space="preserve">2.3  Market Value vs. Actual Investment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2430"/>
        <w:gridCol w:w="1000"/>
      </w:tblGrid>
      <w:tr>
        <w:tc>
          <w:tcPr>
            <w:tcW w:type="dxa" w:w="3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Asset</w:t>
            </w:r>
          </w:p>
        </w:tc>
        <w:tc>
          <w:tcPr>
            <w:tcW w:type="dxa" w:w="243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Agency Market Value</w:t>
            </w:r>
          </w:p>
        </w:tc>
        <w:tc>
          <w:tcPr>
            <w:tcW w:type="dxa" w:w="243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W.V Investment</w:t>
            </w:r>
          </w:p>
        </w:tc>
        <w:tc>
          <w:tcPr>
            <w:tcW w:type="dxa" w:w="1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SQR-RCT Platform (full system)</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$55,000 – $90,000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$25,000 – $33,000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+$30K–60K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PCS Database (11 DBs + Command Center)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$20,000 – $30,000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$8,000 – $12,000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+$12K–18K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Validation Study Report (22K words, 60+ refs)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$10,000 – $15,000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+$2K–7K</w:t>
            </w:r>
          </w:p>
        </w:tc>
      </w:tr>
      <w:tr>
        <w:tc>
          <w:tcPr>
            <w:tcW w:type="dxa" w:w="35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TOTAL</w:t>
            </w:r>
          </w:p>
        </w:tc>
        <w:tc>
          <w:tcPr>
            <w:tcW w:type="dxa" w:w="243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$85,000 – $135,000</w:t>
            </w:r>
          </w:p>
        </w:tc>
        <w:tc>
          <w:tcPr>
            <w:tcW w:type="dxa" w:w="243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$41,000 – $53,000</w:t>
            </w:r>
          </w:p>
        </w:tc>
        <w:tc>
          <w:tcPr>
            <w:tcW w:type="dxa" w:w="10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+$44K–82K</w:t>
            </w:r>
          </w:p>
        </w:tc>
      </w:tr>
    </w:tbl>
    <w:p>
      <w:pPr>
        <w:spacing w:after="100" w:before="100"/>
      </w:pPr>
      <w:r>
        <w:t xml:space="preserve"/>
      </w:r>
    </w:p>
    <w:p>
      <w:pPr>
        <w:spacing w:after="60" w:before="60"/>
      </w:pPr>
      <w:r>
        <w:rPr>
          <w:rFonts w:ascii="Arial" w:cs="Arial" w:eastAsia="Arial" w:hAnsi="Arial"/>
          <w:b w:val="false"/>
          <w:bCs w:val="false"/>
          <w:color w:val="555555"/>
          <w:sz w:val="22"/>
          <w:szCs w:val="22"/>
        </w:rPr>
        <w:t xml:space="preserve">This delta represents value delivered before the 2026 SOW was signed. It establishes the baseline of what Nordic is receiving — and why the ongoing retainer is priced the way it is.</w:t>
      </w:r>
    </w:p>
    <w:p>
      <w:pPr>
        <w:spacing w:after="200" w:before="200"/>
      </w:pPr>
      <w:r>
        <w:t xml:space="preserve"/>
      </w:r>
    </w:p>
    <w:p>
      <w:r>
        <w:br w:type="page"/>
      </w:r>
    </w:p>
    <w:p>
      <w:pPr>
        <w:pStyle w:val="Heading1"/>
      </w:pPr>
      <w:r>
        <w:rPr>
          <w:rFonts w:ascii="Arial" w:cs="Arial" w:eastAsia="Arial" w:hAnsi="Arial"/>
          <w:b/>
          <w:bCs/>
          <w:color w:val="002654"/>
          <w:sz w:val="32"/>
          <w:szCs w:val="32"/>
        </w:rPr>
        <w:t xml:space="preserve">3. 2026 Approved Scope of Work</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scope below reflects what falls within the approved 2026 budget and goes live by June 30, 2026. It covers the four foundational phases identified in the April 16–19 planning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654" w:sz="1"/>
              <w:left w:val="single" w:color="002654" w:sz="1"/>
              <w:bottom w:val="single" w:color="002654" w:sz="1"/>
              <w:right w:val="single" w:color="002654" w:sz="1"/>
            </w:tcBorders>
            <w:shd w:fill="002654" w:val="clear"/>
            <w:tcMar>
              <w:top w:type="dxa" w:w="160"/>
              <w:left w:type="dxa" w:w="280"/>
              <w:bottom w:type="dxa" w:w="160"/>
              <w:right w:type="dxa" w:w="280"/>
            </w:tcMar>
          </w:tcPr>
          <w:p>
            <w:pPr>
              <w:spacing w:after="60"/>
            </w:pPr>
            <w:r>
              <w:rPr>
                <w:rFonts w:ascii="Arial" w:cs="Arial" w:eastAsia="Arial" w:hAnsi="Arial"/>
                <w:b/>
                <w:bCs/>
                <w:color w:val="FFFFFF"/>
                <w:sz w:val="22"/>
                <w:szCs w:val="22"/>
              </w:rPr>
              <w:t xml:space="preserve">SOW Terms</w:t>
            </w:r>
          </w:p>
          <w:p>
            <w:pPr>
              <w:spacing w:after="40"/>
            </w:pPr>
            <w:r>
              <w:rPr>
                <w:rFonts w:ascii="Arial" w:cs="Arial" w:eastAsia="Arial" w:hAnsi="Arial"/>
                <w:color w:val="E8F4F4"/>
                <w:sz w:val="20"/>
                <w:szCs w:val="20"/>
              </w:rPr>
              <w:t xml:space="preserve">Build fee: As per signed SOW (Tiers 1+2, PCS Database)</w:t>
            </w:r>
          </w:p>
          <w:p>
            <w:pPr>
              <w:spacing w:after="40"/>
            </w:pPr>
            <w:r>
              <w:rPr>
                <w:rFonts w:ascii="Arial" w:cs="Arial" w:eastAsia="Arial" w:hAnsi="Arial"/>
                <w:color w:val="E8F4F4"/>
                <w:sz w:val="20"/>
                <w:szCs w:val="20"/>
              </w:rPr>
              <w:t xml:space="preserve">Payment 1: 50% on signature / kick-off — May 1, 2026</w:t>
            </w:r>
          </w:p>
          <w:p>
            <w:pPr>
              <w:spacing w:after="40"/>
            </w:pPr>
            <w:r>
              <w:rPr>
                <w:rFonts w:ascii="Arial" w:cs="Arial" w:eastAsia="Arial" w:hAnsi="Arial"/>
                <w:color w:val="E8F4F4"/>
                <w:sz w:val="20"/>
                <w:szCs w:val="20"/>
              </w:rPr>
              <w:t xml:space="preserve">Payment 2: 50% on go-live — June 30, 2026 (or earlier upon delivery)</w:t>
            </w:r>
          </w:p>
          <w:p>
            <w:pPr>
              <w:spacing w:after="0"/>
            </w:pPr>
            <w:r>
              <w:rPr>
                <w:rFonts w:ascii="Arial" w:cs="Arial" w:eastAsia="Arial" w:hAnsi="Arial"/>
                <w:color w:val="E8F4F4"/>
                <w:sz w:val="20"/>
                <w:szCs w:val="20"/>
              </w:rPr>
              <w:t xml:space="preserve">Retainer: Active May 1, 2026 | 12-month initial term | Net 30, monthly in advance</w:t>
            </w:r>
          </w:p>
        </w:tc>
      </w:tr>
    </w:tbl>
    <w:p>
      <w:pPr>
        <w:spacing w:after="160" w:before="160"/>
      </w:pPr>
      <w:r>
        <w:t xml:space="preserve"/>
      </w:r>
    </w:p>
    <w:p>
      <w:pPr>
        <w:pStyle w:val="Heading2"/>
      </w:pPr>
      <w:r>
        <w:rPr>
          <w:rFonts w:ascii="Arial" w:cs="Arial" w:eastAsia="Arial" w:hAnsi="Arial"/>
          <w:b/>
          <w:bCs/>
          <w:color w:val="006B6B"/>
          <w:sz w:val="26"/>
          <w:szCs w:val="26"/>
        </w:rPr>
        <w:t xml:space="preserve">Phase 1 — Foundation: Critical Schema Gaps</w:t>
      </w:r>
    </w:p>
    <w:p>
      <w:pPr>
        <w:spacing w:after="60" w:before="60"/>
      </w:pPr>
      <w:r>
        <w:rPr>
          <w:rFonts w:ascii="Arial" w:cs="Arial" w:eastAsia="Arial" w:hAnsi="Arial"/>
          <w:b w:val="false"/>
          <w:bCs w:val="false"/>
          <w:color w:val="333333"/>
          <w:sz w:val="22"/>
          <w:szCs w:val="22"/>
        </w:rPr>
        <w:t xml:space="preserve">Weeks 1–2. Prerequisite for everything that follows. The four gaps identified in the April 16 session with Lauren block cross-departmental use of the PCS database.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Claim prefix separation — introduce claim_prefixes table to distinguish health claims, structure/function claims, ingredient claims, and qualified health claims at the schema level</w:t>
      </w:r>
    </w:p>
    <w:p>
      <w:pPr>
        <w:pStyle w:val="ListParagraph"/>
        <w:numPr>
          <w:ilvl w:val="0"/>
          <w:numId w:val="2"/>
        </w:numPr>
        <w:spacing w:after="40" w:before="40"/>
      </w:pPr>
      <w:r>
        <w:rPr>
          <w:rFonts w:ascii="Arial" w:cs="Arial" w:eastAsia="Arial" w:hAnsi="Arial"/>
          <w:b w:val="false"/>
          <w:bCs w:val="false"/>
          <w:color w:val="333333"/>
          <w:sz w:val="22"/>
          <w:szCs w:val="22"/>
        </w:rPr>
        <w:t xml:space="preserve">AI nomenclature standardization — build ingredient name normalization layer to reconcile Lauren's SmartSheet naming with the SQR-RCT database</w:t>
      </w:r>
    </w:p>
    <w:p>
      <w:pPr>
        <w:pStyle w:val="ListParagraph"/>
        <w:numPr>
          <w:ilvl w:val="0"/>
          <w:numId w:val="2"/>
        </w:numPr>
        <w:spacing w:after="40" w:before="40"/>
      </w:pPr>
      <w:r>
        <w:rPr>
          <w:rFonts w:ascii="Arial" w:cs="Arial" w:eastAsia="Arial" w:hAnsi="Arial"/>
          <w:b w:val="false"/>
          <w:bCs w:val="false"/>
          <w:color w:val="333333"/>
          <w:sz w:val="22"/>
          <w:szCs w:val="22"/>
        </w:rPr>
        <w:t xml:space="preserve">Benefit categories framework — implement hierarchical benefit taxonomy (core_benefits + benefit_categories) aligned to Lauren's CAI-PBE system</w:t>
      </w:r>
    </w:p>
    <w:p>
      <w:pPr>
        <w:pStyle w:val="ListParagraph"/>
        <w:numPr>
          <w:ilvl w:val="0"/>
          <w:numId w:val="2"/>
        </w:numPr>
        <w:spacing w:after="40" w:before="40"/>
      </w:pPr>
      <w:r>
        <w:rPr>
          <w:rFonts w:ascii="Arial" w:cs="Arial" w:eastAsia="Arial" w:hAnsi="Arial"/>
          <w:b w:val="false"/>
          <w:bCs w:val="false"/>
          <w:color w:val="333333"/>
          <w:sz w:val="22"/>
          <w:szCs w:val="22"/>
        </w:rPr>
        <w:t xml:space="preserve">Demographics schema update — add age range, population group, and health status fields to Evidence records to support targeted substantiation</w:t>
      </w:r>
    </w:p>
    <w:p>
      <w:pPr>
        <w:spacing w:after="120" w:before="120"/>
      </w:pPr>
      <w:r>
        <w:t xml:space="preserve"/>
      </w:r>
    </w:p>
    <w:p>
      <w:pPr>
        <w:pStyle w:val="Heading2"/>
      </w:pPr>
      <w:r>
        <w:rPr>
          <w:rFonts w:ascii="Arial" w:cs="Arial" w:eastAsia="Arial" w:hAnsi="Arial"/>
          <w:b/>
          <w:bCs/>
          <w:color w:val="006B6B"/>
          <w:sz w:val="26"/>
          <w:szCs w:val="26"/>
        </w:rPr>
        <w:t xml:space="preserve">Phase 2 — Multi-Profile Data Architecture</w:t>
      </w:r>
    </w:p>
    <w:p>
      <w:pPr>
        <w:spacing w:after="60" w:before="60"/>
      </w:pPr>
      <w:r>
        <w:rPr>
          <w:rFonts w:ascii="Arial" w:cs="Arial" w:eastAsia="Arial" w:hAnsi="Arial"/>
          <w:b w:val="false"/>
          <w:bCs w:val="false"/>
          <w:color w:val="333333"/>
          <w:sz w:val="22"/>
          <w:szCs w:val="22"/>
        </w:rPr>
        <w:t xml:space="preserve">Weeks 3–4. One schema, four departmental views. Different teams (Product Development, Research, Regulatory Affairs, Marketing) need the same underlying data presented through radically different lenses.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Canonical claims refactor — rebuild the canonical_claims table as the shared backbone across all four departmental views</w:t>
      </w:r>
    </w:p>
    <w:p>
      <w:pPr>
        <w:pStyle w:val="ListParagraph"/>
        <w:numPr>
          <w:ilvl w:val="0"/>
          <w:numId w:val="2"/>
        </w:numPr>
        <w:spacing w:after="40" w:before="40"/>
      </w:pPr>
      <w:r>
        <w:rPr>
          <w:rFonts w:ascii="Arial" w:cs="Arial" w:eastAsia="Arial" w:hAnsi="Arial"/>
          <w:b w:val="false"/>
          <w:bCs w:val="false"/>
          <w:color w:val="333333"/>
          <w:sz w:val="22"/>
          <w:szCs w:val="22"/>
        </w:rPr>
        <w:t xml:space="preserve">Product Development view — formula cost-driver linkage, ingredient substitution flags, dose optimization context</w:t>
      </w:r>
    </w:p>
    <w:p>
      <w:pPr>
        <w:pStyle w:val="ListParagraph"/>
        <w:numPr>
          <w:ilvl w:val="0"/>
          <w:numId w:val="2"/>
        </w:numPr>
        <w:spacing w:after="40" w:before="40"/>
      </w:pPr>
      <w:r>
        <w:rPr>
          <w:rFonts w:ascii="Arial" w:cs="Arial" w:eastAsia="Arial" w:hAnsi="Arial"/>
          <w:b w:val="false"/>
          <w:bCs w:val="false"/>
          <w:color w:val="333333"/>
          <w:sz w:val="22"/>
          <w:szCs w:val="22"/>
        </w:rPr>
        <w:t xml:space="preserve">Research view — evidence quality tiers, IRR-validated sources, study design metadata</w:t>
      </w:r>
    </w:p>
    <w:p>
      <w:pPr>
        <w:pStyle w:val="ListParagraph"/>
        <w:numPr>
          <w:ilvl w:val="0"/>
          <w:numId w:val="2"/>
        </w:numPr>
        <w:spacing w:after="40" w:before="40"/>
      </w:pPr>
      <w:r>
        <w:rPr>
          <w:rFonts w:ascii="Arial" w:cs="Arial" w:eastAsia="Arial" w:hAnsi="Arial"/>
          <w:b w:val="false"/>
          <w:bCs w:val="false"/>
          <w:color w:val="333333"/>
          <w:sz w:val="22"/>
          <w:szCs w:val="22"/>
        </w:rPr>
        <w:t xml:space="preserve">Regulatory Affairs view — claim regulatory status, risk flags, discrepancy detection against current label claims</w:t>
      </w:r>
    </w:p>
    <w:p>
      <w:pPr>
        <w:pStyle w:val="ListParagraph"/>
        <w:numPr>
          <w:ilvl w:val="0"/>
          <w:numId w:val="2"/>
        </w:numPr>
        <w:spacing w:after="40" w:before="40"/>
      </w:pPr>
      <w:r>
        <w:rPr>
          <w:rFonts w:ascii="Arial" w:cs="Arial" w:eastAsia="Arial" w:hAnsi="Arial"/>
          <w:b w:val="false"/>
          <w:bCs w:val="false"/>
          <w:color w:val="333333"/>
          <w:sz w:val="22"/>
          <w:szCs w:val="22"/>
        </w:rPr>
        <w:t xml:space="preserve">Marketing view — approved claim language variants, benefit-category grouping for campaign use</w:t>
      </w:r>
    </w:p>
    <w:p>
      <w:pPr>
        <w:pStyle w:val="ListParagraph"/>
        <w:numPr>
          <w:ilvl w:val="0"/>
          <w:numId w:val="2"/>
        </w:numPr>
        <w:spacing w:after="40" w:before="40"/>
      </w:pPr>
      <w:r>
        <w:rPr>
          <w:rFonts w:ascii="Arial" w:cs="Arial" w:eastAsia="Arial" w:hAnsi="Arial"/>
          <w:b w:val="false"/>
          <w:bCs w:val="false"/>
          <w:color w:val="333333"/>
          <w:sz w:val="22"/>
          <w:szCs w:val="22"/>
        </w:rPr>
        <w:t xml:space="preserve">Ingredients library — seeded from both Garrett's PCS build and Lauren's CAI-PBE system, deduplicated and normalised</w:t>
      </w:r>
    </w:p>
    <w:p>
      <w:pPr>
        <w:spacing w:after="120" w:before="120"/>
      </w:pPr>
      <w:r>
        <w:t xml:space="preserve"/>
      </w:r>
    </w:p>
    <w:p>
      <w:pPr>
        <w:pStyle w:val="Heading2"/>
      </w:pPr>
      <w:r>
        <w:rPr>
          <w:rFonts w:ascii="Arial" w:cs="Arial" w:eastAsia="Arial" w:hAnsi="Arial"/>
          <w:b/>
          <w:bCs/>
          <w:color w:val="006B6B"/>
          <w:sz w:val="26"/>
          <w:szCs w:val="26"/>
        </w:rPr>
        <w:t xml:space="preserve">Phase 3 — Cross-Functional Connections</w:t>
      </w:r>
    </w:p>
    <w:p>
      <w:pPr>
        <w:spacing w:after="60" w:before="60"/>
      </w:pPr>
      <w:r>
        <w:rPr>
          <w:rFonts w:ascii="Arial" w:cs="Arial" w:eastAsia="Arial" w:hAnsi="Arial"/>
          <w:b w:val="false"/>
          <w:bCs w:val="false"/>
          <w:color w:val="333333"/>
          <w:sz w:val="22"/>
          <w:szCs w:val="22"/>
        </w:rPr>
        <w:t xml:space="preserve">Weeks 5–6. Connecting the multi-profile architecture to real operational workflows for RA and PD.</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Benefits library and marketing benefit chart — full benefits taxonomy seeded and linked to canonical claims; chart view for marketing team use</w:t>
      </w:r>
    </w:p>
    <w:p>
      <w:pPr>
        <w:pStyle w:val="ListParagraph"/>
        <w:numPr>
          <w:ilvl w:val="0"/>
          <w:numId w:val="2"/>
        </w:numPr>
        <w:spacing w:after="40" w:before="40"/>
      </w:pPr>
      <w:r>
        <w:rPr>
          <w:rFonts w:ascii="Arial" w:cs="Arial" w:eastAsia="Arial" w:hAnsi="Arial"/>
          <w:b w:val="false"/>
          <w:bCs w:val="false"/>
          <w:color w:val="333333"/>
          <w:sz w:val="22"/>
          <w:szCs w:val="22"/>
        </w:rPr>
        <w:t xml:space="preserve">RA discrepancy detector — automated flagging when a product's label claims are not fully backed by current evidence records in the database</w:t>
      </w:r>
    </w:p>
    <w:p>
      <w:pPr>
        <w:pStyle w:val="ListParagraph"/>
        <w:numPr>
          <w:ilvl w:val="0"/>
          <w:numId w:val="2"/>
        </w:numPr>
        <w:spacing w:after="40" w:before="40"/>
      </w:pPr>
      <w:r>
        <w:rPr>
          <w:rFonts w:ascii="Arial" w:cs="Arial" w:eastAsia="Arial" w:hAnsi="Arial"/>
          <w:b w:val="false"/>
          <w:bCs w:val="false"/>
          <w:color w:val="333333"/>
          <w:sz w:val="22"/>
          <w:szCs w:val="22"/>
        </w:rPr>
        <w:t xml:space="preserve">PD cost-optimization report — surfaces high-cost ingredients with lower-dose alternatives carrying equivalent or superior evidence support</w:t>
      </w:r>
    </w:p>
    <w:p>
      <w:pPr>
        <w:spacing w:after="120" w:before="120"/>
      </w:pPr>
      <w:r>
        <w:t xml:space="preserve"/>
      </w:r>
    </w:p>
    <w:p>
      <w:pPr>
        <w:pStyle w:val="Heading2"/>
      </w:pPr>
      <w:r>
        <w:rPr>
          <w:rFonts w:ascii="Arial" w:cs="Arial" w:eastAsia="Arial" w:hAnsi="Arial"/>
          <w:b/>
          <w:bCs/>
          <w:color w:val="006B6B"/>
          <w:sz w:val="26"/>
          <w:szCs w:val="26"/>
        </w:rPr>
        <w:t xml:space="preserve">Phase 4 — Cochrane RoB 2 Extension</w:t>
      </w:r>
    </w:p>
    <w:p>
      <w:pPr>
        <w:spacing w:after="60" w:before="60"/>
      </w:pPr>
      <w:r>
        <w:rPr>
          <w:rFonts w:ascii="Arial" w:cs="Arial" w:eastAsia="Arial" w:hAnsi="Arial"/>
          <w:b w:val="false"/>
          <w:bCs w:val="false"/>
          <w:color w:val="333333"/>
          <w:sz w:val="22"/>
          <w:szCs w:val="22"/>
        </w:rPr>
        <w:t xml:space="preserve">Weeks 7–10. Sharon's requirement, revised to layer onto the existing SQR-RCT platform rather than build a standalone tool. This revision saves 4–6 weeks of development time.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RoB 2 domain mapping — map the five RoB 2 domains (randomization, deviations, missing data, measurement, selection) onto the existing 11-criterion rubric structure</w:t>
      </w:r>
    </w:p>
    <w:p>
      <w:pPr>
        <w:pStyle w:val="ListParagraph"/>
        <w:numPr>
          <w:ilvl w:val="0"/>
          <w:numId w:val="2"/>
        </w:numPr>
        <w:spacing w:after="40" w:before="40"/>
      </w:pPr>
      <w:r>
        <w:rPr>
          <w:rFonts w:ascii="Arial" w:cs="Arial" w:eastAsia="Arial" w:hAnsi="Arial"/>
          <w:b w:val="false"/>
          <w:bCs w:val="false"/>
          <w:color w:val="333333"/>
          <w:sz w:val="22"/>
          <w:szCs w:val="22"/>
        </w:rPr>
        <w:t xml:space="preserve">Applicability module — assess applicability of each study to Nordic's specific product population (dose, duration, population match)</w:t>
      </w:r>
    </w:p>
    <w:p>
      <w:pPr>
        <w:pStyle w:val="ListParagraph"/>
        <w:numPr>
          <w:ilvl w:val="0"/>
          <w:numId w:val="2"/>
        </w:numPr>
        <w:spacing w:after="40" w:before="40"/>
      </w:pPr>
      <w:r>
        <w:rPr>
          <w:rFonts w:ascii="Arial" w:cs="Arial" w:eastAsia="Arial" w:hAnsi="Arial"/>
          <w:b w:val="false"/>
          <w:bCs w:val="false"/>
          <w:color w:val="333333"/>
          <w:sz w:val="22"/>
          <w:szCs w:val="22"/>
        </w:rPr>
        <w:t xml:space="preserve">NutriGrade rollup — automated NutriGrade score calculation from RoB 2 domain assessments and meta-analysis quality indicators</w:t>
      </w:r>
    </w:p>
    <w:p>
      <w:pPr>
        <w:pStyle w:val="ListParagraph"/>
        <w:numPr>
          <w:ilvl w:val="0"/>
          <w:numId w:val="2"/>
        </w:numPr>
        <w:spacing w:after="40" w:before="40"/>
      </w:pPr>
      <w:r>
        <w:rPr>
          <w:rFonts w:ascii="Arial" w:cs="Arial" w:eastAsia="Arial" w:hAnsi="Arial"/>
          <w:b w:val="false"/>
          <w:bCs w:val="false"/>
          <w:color w:val="333333"/>
          <w:sz w:val="22"/>
          <w:szCs w:val="22"/>
        </w:rPr>
        <w:t xml:space="preserve">Conversational LLM UX — 6-layer architecture: (1) evidence ingestion, (2) RoB 2 domain extraction, (3) applicability assessment, (4) NutriGrade calculation, (5) narrative generation, (6) reviewer override interface</w:t>
      </w:r>
    </w:p>
    <w:p>
      <w:pPr>
        <w:pStyle w:val="ListParagraph"/>
        <w:numPr>
          <w:ilvl w:val="0"/>
          <w:numId w:val="2"/>
        </w:numPr>
        <w:spacing w:after="40" w:before="40"/>
      </w:pPr>
      <w:r>
        <w:rPr>
          <w:rFonts w:ascii="Arial" w:cs="Arial" w:eastAsia="Arial" w:hAnsi="Arial"/>
          <w:b w:val="false"/>
          <w:bCs w:val="false"/>
          <w:color w:val="333333"/>
          <w:sz w:val="22"/>
          <w:szCs w:val="22"/>
        </w:rPr>
        <w:t xml:space="preserve">Integration with existing Expert Network — RoB 2 assessments feed into the same reviewer portal and IRR analytics already in use</w:t>
      </w:r>
    </w:p>
    <w:p>
      <w:pPr>
        <w:spacing w:after="200" w:before="200"/>
      </w:pPr>
      <w:r>
        <w:t xml:space="preserve"/>
      </w:r>
    </w:p>
    <w:p>
      <w:r>
        <w:br w:type="page"/>
      </w:r>
    </w:p>
    <w:p>
      <w:pPr>
        <w:pStyle w:val="Heading1"/>
      </w:pPr>
      <w:r>
        <w:rPr>
          <w:rFonts w:ascii="Arial" w:cs="Arial" w:eastAsia="Arial" w:hAnsi="Arial"/>
          <w:b/>
          <w:bCs/>
          <w:color w:val="002654"/>
          <w:sz w:val="32"/>
          <w:szCs w:val="32"/>
        </w:rPr>
        <w:t xml:space="preserve">4. Deferred to 2027</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following capabilities fall outside the 2026 budget and timeline. They are documented here to establish the 2027 roadmap. Cost estimates below are preliminary and will be refined during Q4 2026 planning.</w:t>
      </w:r>
    </w:p>
    <w:p>
      <w:pPr>
        <w:spacing w:after="80" w:before="80"/>
      </w:pPr>
      <w:r>
        <w:t xml:space="preserve"/>
      </w:r>
    </w:p>
    <w:p>
      <w:pPr>
        <w:pStyle w:val="Heading2"/>
      </w:pPr>
      <w:r>
        <w:rPr>
          <w:rFonts w:ascii="Arial" w:cs="Arial" w:eastAsia="Arial" w:hAnsi="Arial"/>
          <w:b/>
          <w:bCs/>
          <w:color w:val="006B6B"/>
          <w:sz w:val="26"/>
          <w:szCs w:val="26"/>
        </w:rPr>
        <w:t xml:space="preserve">4.1  Auto-PCS Generator</w:t>
      </w:r>
    </w:p>
    <w:p>
      <w:pPr>
        <w:spacing w:after="60" w:before="60"/>
      </w:pPr>
      <w:r>
        <w:rPr>
          <w:rFonts w:ascii="Arial" w:cs="Arial" w:eastAsia="Arial" w:hAnsi="Arial"/>
          <w:b w:val="false"/>
          <w:bCs w:val="false"/>
          <w:color w:val="333333"/>
          <w:sz w:val="22"/>
          <w:szCs w:val="22"/>
        </w:rPr>
        <w:t xml:space="preserve">Sharon's flagship new requirement from April 17. An Ingredient x Dose x Claim catalog that automatically generates draft PCS documents from formula specifications. This is a significant capability leap — the kind of tool that transforms PCS from a reactive documentation exercise into a proactive product development input.</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Ingredient x Dose catalog — cross-reference table linking every ingredient at every clinically-relevant dose to its evidence base, claim eligibility, and regulatory status</w:t>
      </w:r>
    </w:p>
    <w:p>
      <w:pPr>
        <w:pStyle w:val="ListParagraph"/>
        <w:numPr>
          <w:ilvl w:val="0"/>
          <w:numId w:val="2"/>
        </w:numPr>
        <w:spacing w:after="40" w:before="40"/>
      </w:pPr>
      <w:r>
        <w:rPr>
          <w:rFonts w:ascii="Arial" w:cs="Arial" w:eastAsia="Arial" w:hAnsi="Arial"/>
          <w:b w:val="false"/>
          <w:bCs w:val="false"/>
          <w:color w:val="333333"/>
          <w:sz w:val="22"/>
          <w:szCs w:val="22"/>
        </w:rPr>
        <w:t xml:space="preserve">Formula spec intake — structured input for new formulas (ingredients, doses, target claims)</w:t>
      </w:r>
    </w:p>
    <w:p>
      <w:pPr>
        <w:pStyle w:val="ListParagraph"/>
        <w:numPr>
          <w:ilvl w:val="0"/>
          <w:numId w:val="2"/>
        </w:numPr>
        <w:spacing w:after="40" w:before="40"/>
      </w:pPr>
      <w:r>
        <w:rPr>
          <w:rFonts w:ascii="Arial" w:cs="Arial" w:eastAsia="Arial" w:hAnsi="Arial"/>
          <w:b w:val="false"/>
          <w:bCs w:val="false"/>
          <w:color w:val="333333"/>
          <w:sz w:val="22"/>
          <w:szCs w:val="22"/>
        </w:rPr>
        <w:t xml:space="preserve">Auto-PCS generation — draft PCS documents generated from formula spec, pre-populated with relevant evidence packets, claim language variants, and RoB 2 assessments</w:t>
      </w:r>
    </w:p>
    <w:p>
      <w:pPr>
        <w:pStyle w:val="ListParagraph"/>
        <w:numPr>
          <w:ilvl w:val="0"/>
          <w:numId w:val="2"/>
        </w:numPr>
        <w:spacing w:after="40" w:before="40"/>
      </w:pPr>
      <w:r>
        <w:rPr>
          <w:rFonts w:ascii="Arial" w:cs="Arial" w:eastAsia="Arial" w:hAnsi="Arial"/>
          <w:b w:val="false"/>
          <w:bCs w:val="false"/>
          <w:color w:val="333333"/>
          <w:sz w:val="22"/>
          <w:szCs w:val="22"/>
        </w:rPr>
        <w:t xml:space="preserve">Gap detection — automatic flagging where formula spec claims are not supported by current evidence</w:t>
      </w:r>
    </w:p>
    <w:p>
      <w:pPr>
        <w:spacing w:after="60" w:before="60"/>
      </w:pPr>
      <w:r>
        <w:t xml:space="preserve"/>
      </w:r>
    </w:p>
    <w:p>
      <w:pPr>
        <w:spacing w:after="60" w:before="60"/>
      </w:pPr>
      <w:r>
        <w:rPr>
          <w:rFonts w:ascii="Arial" w:cs="Arial" w:eastAsia="Arial" w:hAnsi="Arial"/>
          <w:b/>
          <w:bCs/>
          <w:color w:val="333333"/>
          <w:sz w:val="22"/>
          <w:szCs w:val="22"/>
        </w:rPr>
        <w:t xml:space="preserve">Preliminary estimate: $18,000–$28,000 for full Auto-PCS Generator build, separate from the 2026 SOW.</w:t>
      </w:r>
    </w:p>
    <w:p>
      <w:pPr>
        <w:spacing w:after="120" w:before="120"/>
      </w:pPr>
      <w:r>
        <w:t xml:space="preserve"/>
      </w:r>
    </w:p>
    <w:p>
      <w:pPr>
        <w:pStyle w:val="Heading2"/>
      </w:pPr>
      <w:r>
        <w:rPr>
          <w:rFonts w:ascii="Arial" w:cs="Arial" w:eastAsia="Arial" w:hAnsi="Arial"/>
          <w:b/>
          <w:bCs/>
          <w:color w:val="006B6B"/>
          <w:sz w:val="26"/>
          <w:szCs w:val="26"/>
        </w:rPr>
        <w:t xml:space="preserve">4.2  Advanced Stakeholder Views (Tiers 3–5)</w:t>
      </w:r>
    </w:p>
    <w:p>
      <w:pPr>
        <w:spacing w:after="60" w:before="60"/>
      </w:pPr>
      <w:r>
        <w:rPr>
          <w:rFonts w:ascii="Arial" w:cs="Arial" w:eastAsia="Arial" w:hAnsi="Arial"/>
          <w:b w:val="false"/>
          <w:bCs w:val="false"/>
          <w:color w:val="333333"/>
          <w:sz w:val="22"/>
          <w:szCs w:val="22"/>
        </w:rPr>
        <w:t xml:space="preserve">These capabilities build on the 2026 multi-profile architecture but require additional development investment beyond the approved budget.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Capability</w:t>
            </w:r>
          </w:p>
        </w:tc>
        <w:tc>
          <w:tcPr>
            <w:tcW w:type="dxa" w:w="4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T3 — AI Claim Categorization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AI-powered automated categorization of incoming claims; predictive evidence gap identification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$16,000–$24,000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T4 — Predictive PCS Generation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predictive pipeline: formula in, draft PCS out, with regulatory risk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$28,000–$45,000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T5 — Cross-Functional Intelligence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cross-portfolio views, executive dashboards, competitive intelligence layer, claim frequency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$35,000–$55,000</w:t>
            </w:r>
          </w:p>
        </w:tc>
      </w:tr>
    </w:tbl>
    <w:p>
      <w:pPr>
        <w:spacing w:after="120" w:before="120"/>
      </w:pPr>
      <w:r>
        <w:t xml:space="preserve"/>
      </w:r>
    </w:p>
    <w:p>
      <w:pPr>
        <w:pStyle w:val="Heading2"/>
      </w:pPr>
      <w:r>
        <w:rPr>
          <w:rFonts w:ascii="Arial" w:cs="Arial" w:eastAsia="Arial" w:hAnsi="Arial"/>
          <w:b/>
          <w:bCs/>
          <w:color w:val="006B6B"/>
          <w:sz w:val="26"/>
          <w:szCs w:val="26"/>
        </w:rPr>
        <w:t xml:space="preserve">4.3  April 22 Schema Items (Non-Blocking, Important)</w:t>
      </w:r>
    </w:p>
    <w:p>
      <w:pPr>
        <w:spacing w:after="60" w:before="60"/>
      </w:pPr>
      <w:r>
        <w:rPr>
          <w:rFonts w:ascii="Arial" w:cs="Arial" w:eastAsia="Arial" w:hAnsi="Arial"/>
          <w:b w:val="false"/>
          <w:bCs w:val="false"/>
          <w:color w:val="333333"/>
          <w:sz w:val="22"/>
          <w:szCs w:val="22"/>
        </w:rPr>
        <w:t xml:space="preserve">These four items surfaced in Lauren's April 22 standardisation document. They are not blockers to the 2026 go-live but should be addressed in H1 2027 to reach full cross-portfolio utility.</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SKU/format standardization — consistent format-level identifiers across softgels, gummies, liquids, powders</w:t>
      </w:r>
    </w:p>
    <w:p>
      <w:pPr>
        <w:pStyle w:val="ListParagraph"/>
        <w:numPr>
          <w:ilvl w:val="0"/>
          <w:numId w:val="2"/>
        </w:numPr>
        <w:spacing w:after="40" w:before="40"/>
      </w:pPr>
      <w:r>
        <w:rPr>
          <w:rFonts w:ascii="Arial" w:cs="Arial" w:eastAsia="Arial" w:hAnsi="Arial"/>
          <w:b w:val="false"/>
          <w:bCs w:val="false"/>
          <w:color w:val="333333"/>
          <w:sz w:val="22"/>
          <w:szCs w:val="22"/>
        </w:rPr>
        <w:t xml:space="preserve">Material number tracking — internal Nordic material numbers mapped to PCS database records for supply chain alignment</w:t>
      </w:r>
    </w:p>
    <w:p>
      <w:pPr>
        <w:pStyle w:val="ListParagraph"/>
        <w:numPr>
          <w:ilvl w:val="0"/>
          <w:numId w:val="2"/>
        </w:numPr>
        <w:spacing w:after="40" w:before="40"/>
      </w:pPr>
      <w:r>
        <w:rPr>
          <w:rFonts w:ascii="Arial" w:cs="Arial" w:eastAsia="Arial" w:hAnsi="Arial"/>
          <w:b w:val="false"/>
          <w:bCs w:val="false"/>
          <w:color w:val="333333"/>
          <w:sz w:val="22"/>
          <w:szCs w:val="22"/>
        </w:rPr>
        <w:t xml:space="preserve">Cross-portfolio claim views — claims visible across the full Nordic product portfolio, not product-by-product</w:t>
      </w:r>
    </w:p>
    <w:p>
      <w:pPr>
        <w:pStyle w:val="ListParagraph"/>
        <w:numPr>
          <w:ilvl w:val="0"/>
          <w:numId w:val="2"/>
        </w:numPr>
        <w:spacing w:after="40" w:before="40"/>
      </w:pPr>
      <w:r>
        <w:rPr>
          <w:rFonts w:ascii="Arial" w:cs="Arial" w:eastAsia="Arial" w:hAnsi="Arial"/>
          <w:b w:val="false"/>
          <w:bCs w:val="false"/>
          <w:color w:val="333333"/>
          <w:sz w:val="22"/>
          <w:szCs w:val="22"/>
        </w:rPr>
        <w:t xml:space="preserve">Claim frequency analysis — which claims appear most frequently, with what evidence quality, to prioritize validation investment</w:t>
      </w:r>
    </w:p>
    <w:p>
      <w:pPr>
        <w:spacing w:after="200" w:before="200"/>
      </w:pPr>
      <w:r>
        <w:t xml:space="preserve"/>
      </w:r>
    </w:p>
    <w:p>
      <w:r>
        <w:br w:type="page"/>
      </w:r>
    </w:p>
    <w:p>
      <w:pPr>
        <w:pStyle w:val="Heading1"/>
      </w:pPr>
      <w:r>
        <w:rPr>
          <w:rFonts w:ascii="Arial" w:cs="Arial" w:eastAsia="Arial" w:hAnsi="Arial"/>
          <w:b/>
          <w:bCs/>
          <w:color w:val="002654"/>
          <w:sz w:val="32"/>
          <w:szCs w:val="32"/>
        </w:rPr>
        <w:t xml:space="preserve">5. Retainer Value Justification</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Growth Retainer at $2,500/month covers five distinct responsibilities. Below is the value case for each — including what it would cost Nordic to staff or contract them separately.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c>
          <w:tcPr>
            <w:tcW w:type="dxa" w:w="22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c>
          <w:tcPr>
            <w:tcW w:type="dxa" w:w="42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Covers</w:t>
            </w:r>
          </w:p>
        </w:tc>
        <w:tc>
          <w:tcPr>
            <w:tcW w:type="dxa" w:w="29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Standalone Market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Platform Operations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Uptime monitoring, Vercel deployments, dependency updates, security patches, and infrastructure changes for SQR-RCT and PCS Command Center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$2,000–$5,000/mo (junior dev)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Database Maintenance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Keeping 11+ Notion databases accurate, schema-consistent, and free of relational drift. Without active maintenance, relational integrity degrades within 3–6 months of production use.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$1,000–$2,000/mo (data ops)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Data Protection Officer (DPO)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Because winded.vertigo holds Nordic research data on the SQR-RCT platform, GDPR requires a designated Data Protection Officer. Garrett assumes this role, covering data governance, access controls, breach protocols, and exit-term compliance. Nordic does not need to staff or contract this role separately.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$500–$1,500/mo (DPO contractor)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Feature Development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AI-automatable or dev-assisted feature per month. Examples: new rubric criteria, analytics views, export formats, schema extensions, dashboard additions.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$2,000–$6,000/mo (1 feature)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Research Advising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Maintaining momentum on the Validation Study — study design refinements, journal selection, authorship structuring, statistical review, and preparation for submission. Also advising on emerging evidence standards relevant to Nordic's product categories.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$1,500–$3,000/mo (research consultant)</w:t>
            </w:r>
          </w:p>
        </w:tc>
      </w:tr>
      <w:tr>
        <w:tc>
          <w:tcPr>
            <w:tcW w:type="dxa" w:w="22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TOTAL STANDALONE COST</w:t>
            </w:r>
          </w:p>
        </w:tc>
        <w:tc>
          <w:tcPr>
            <w:tcW w:type="dxa" w:w="426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val="false"/>
                <w:bCs w:val="false"/>
                <w:color w:val="FFFFFF"/>
                <w:sz w:val="20"/>
                <w:szCs w:val="20"/>
              </w:rPr>
              <w:t xml:space="preserve">All five responsibilities staffed or contracted separately</w:t>
            </w:r>
          </w:p>
        </w:tc>
        <w:tc>
          <w:tcPr>
            <w:tcW w:type="dxa" w:w="29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$7,000–$17,500/mo</w:t>
            </w:r>
          </w:p>
        </w:tc>
      </w:tr>
      <w:tr>
        <w:tc>
          <w:tcPr>
            <w:tcW w:type="dxa" w:w="22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GROWTH RETAINER</w:t>
            </w:r>
          </w:p>
        </w:tc>
        <w:tc>
          <w:tcPr>
            <w:tcW w:type="dxa" w:w="426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val="false"/>
                <w:bCs w:val="false"/>
                <w:color w:val="FFFFFF"/>
                <w:sz w:val="20"/>
                <w:szCs w:val="20"/>
              </w:rPr>
              <w:t xml:space="preserve">All five responsibilities, one relationship, one invoice</w:t>
            </w:r>
          </w:p>
        </w:tc>
        <w:tc>
          <w:tcPr>
            <w:tcW w:type="dxa" w:w="29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$2,500/mo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
              <w:left w:val="single" w:color="006B6B" w:sz="1"/>
              <w:bottom w:val="single" w:color="006B6B" w:sz="1"/>
              <w:right w:val="single" w:color="006B6B" w:sz="1"/>
            </w:tcBorders>
            <w:shd w:fill="E8F4F4" w:val="clear"/>
            <w:tcMar>
              <w:top w:type="dxa" w:w="160"/>
              <w:left w:type="dxa" w:w="280"/>
              <w:bottom w:type="dxa" w:w="160"/>
              <w:right w:type="dxa" w:w="280"/>
            </w:tcMar>
          </w:tcPr>
          <w:p>
            <w:pPr>
              <w:spacing w:after="80"/>
            </w:pPr>
            <w:r>
              <w:rPr>
                <w:rFonts w:ascii="Arial" w:cs="Arial" w:eastAsia="Arial" w:hAnsi="Arial"/>
                <w:b/>
                <w:bCs/>
                <w:color w:val="002654"/>
                <w:sz w:val="22"/>
                <w:szCs w:val="22"/>
              </w:rPr>
              <w:t xml:space="preserve">Note on the DPO Role</w:t>
            </w:r>
          </w:p>
          <w:p>
            <w:pPr>
              <w:spacing w:after="0"/>
            </w:pPr>
            <w:r>
              <w:rPr>
                <w:rFonts w:ascii="Arial" w:cs="Arial" w:eastAsia="Arial" w:hAnsi="Arial"/>
                <w:color w:val="555555"/>
                <w:sz w:val="20"/>
                <w:szCs w:val="20"/>
              </w:rPr>
              <w:t xml:space="preserve">The DPO arrangement should be formalised as an addendum to the MNDA or as a separate Data Processing Agreement (DPA) executed alongside this SOW. Key terms: Nordic's data remains Nordic's property and is exportable in full on request at any time. On termination of the retainer, all Nordic data is returned and deleted from winded.vertigo systems within 30 days.</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6. Investment Summary</w:t>
      </w:r>
    </w:p>
    <w:p>
      <w:pPr>
        <w:pBdr>
          <w:bottom w:val="single" w:color="006B6B" w:sz="12" w:space="1"/>
        </w:pBdr>
        <w:spacing w:after="200" w:before="0"/>
      </w:pPr>
      <w:r>
        <w:t xml:space="preserve"/>
      </w:r>
    </w:p>
    <w:p>
      <w:pPr>
        <w:spacing w:after="60" w:before="60"/>
      </w:pPr>
      <w:r>
        <w:t xml:space="preserve"/>
      </w:r>
    </w:p>
    <w:p>
      <w:pPr>
        <w:pStyle w:val="Heading2"/>
      </w:pPr>
      <w:r>
        <w:rPr>
          <w:rFonts w:ascii="Arial" w:cs="Arial" w:eastAsia="Arial" w:hAnsi="Arial"/>
          <w:b/>
          <w:bCs/>
          <w:color w:val="006B6B"/>
          <w:sz w:val="26"/>
          <w:szCs w:val="26"/>
        </w:rPr>
        <w:t xml:space="preserve">6.1  2026 Investment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Timing</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SOW Build Fee — Phases 1–4 (Tiers 1+2 PCS + RoB 2 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signed SOW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 May 1 / 50% June 30</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Growth Retainer — May through December 2026 (8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$2,500/mo, Net 30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Note: Retainer year-one total (12 months, May 2026–April 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$30,000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t>
            </w:r>
          </w:p>
        </w:tc>
      </w:tr>
    </w:tbl>
    <w:p>
      <w:pPr>
        <w:spacing w:after="140" w:before="140"/>
      </w:pPr>
      <w:r>
        <w:t xml:space="preserve"/>
      </w:r>
    </w:p>
    <w:p>
      <w:pPr>
        <w:pStyle w:val="Heading2"/>
      </w:pPr>
      <w:r>
        <w:rPr>
          <w:rFonts w:ascii="Arial" w:cs="Arial" w:eastAsia="Arial" w:hAnsi="Arial"/>
          <w:b/>
          <w:bCs/>
          <w:color w:val="006B6B"/>
          <w:sz w:val="26"/>
          <w:szCs w:val="26"/>
        </w:rPr>
        <w:t xml:space="preserve">6.2  2027 Pipeline (Preliminary)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Range</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Auto-PCS Generator (Phase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$18,000–$28,000</w:t>
            </w:r>
          </w:p>
        </w:tc>
        <w:tc>
          <w:tcPr>
            <w:tcW w:type="dxa" w:w="2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April 22 schema items (4 gaps)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$8,000–$14,000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Advanced AI capabilities (Tier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$28,000–$55,000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Ongoing retainer (12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7. Terms and Next Steps</w:t>
      </w:r>
    </w:p>
    <w:p>
      <w:pPr>
        <w:pBdr>
          <w:bottom w:val="single" w:color="006B6B" w:sz="12" w:space="1"/>
        </w:pBdr>
        <w:spacing w:after="200" w:before="0"/>
      </w:pPr>
      <w:r>
        <w:t xml:space="preserve"/>
      </w:r>
    </w:p>
    <w:p>
      <w:pPr>
        <w:spacing w:after="80" w:before="80"/>
      </w:pPr>
      <w:r>
        <w:t xml:space="preserve"/>
      </w:r>
    </w:p>
    <w:p>
      <w:pPr>
        <w:pStyle w:val="Heading2"/>
      </w:pPr>
      <w:r>
        <w:rPr>
          <w:rFonts w:ascii="Arial" w:cs="Arial" w:eastAsia="Arial" w:hAnsi="Arial"/>
          <w:b/>
          <w:bCs/>
          <w:color w:val="006B6B"/>
          <w:sz w:val="26"/>
          <w:szCs w:val="26"/>
        </w:rPr>
        <w:t xml:space="preserve">7.1  Governing Documents</w:t>
      </w:r>
    </w:p>
    <w:p>
      <w:pPr>
        <w:pStyle w:val="ListParagraph"/>
        <w:numPr>
          <w:ilvl w:val="0"/>
          <w:numId w:val="2"/>
        </w:numPr>
        <w:spacing w:after="40" w:before="40"/>
      </w:pPr>
      <w:r>
        <w:rPr>
          <w:rFonts w:ascii="Arial" w:cs="Arial" w:eastAsia="Arial" w:hAnsi="Arial"/>
          <w:b w:val="false"/>
          <w:bCs w:val="false"/>
          <w:color w:val="333333"/>
          <w:sz w:val="22"/>
          <w:szCs w:val="22"/>
        </w:rPr>
        <w:t xml:space="preserve">MNDA: Executed prior to this SOW</w:t>
      </w:r>
    </w:p>
    <w:p>
      <w:pPr>
        <w:pStyle w:val="ListParagraph"/>
        <w:numPr>
          <w:ilvl w:val="0"/>
          <w:numId w:val="2"/>
        </w:numPr>
        <w:spacing w:after="40" w:before="40"/>
      </w:pPr>
      <w:r>
        <w:rPr>
          <w:rFonts w:ascii="Arial" w:cs="Arial" w:eastAsia="Arial" w:hAnsi="Arial"/>
          <w:b w:val="false"/>
          <w:bCs w:val="false"/>
          <w:color w:val="333333"/>
          <w:sz w:val="22"/>
          <w:szCs w:val="22"/>
        </w:rPr>
        <w:t xml:space="preserve">SOW (signed April 14, 2026): Governs build scope and payment terms</w:t>
      </w:r>
    </w:p>
    <w:p>
      <w:pPr>
        <w:pStyle w:val="ListParagraph"/>
        <w:numPr>
          <w:ilvl w:val="0"/>
          <w:numId w:val="2"/>
        </w:numPr>
        <w:spacing w:after="40" w:before="40"/>
      </w:pPr>
      <w:r>
        <w:rPr>
          <w:rFonts w:ascii="Arial" w:cs="Arial" w:eastAsia="Arial" w:hAnsi="Arial"/>
          <w:b w:val="false"/>
          <w:bCs w:val="false"/>
          <w:color w:val="333333"/>
          <w:sz w:val="22"/>
          <w:szCs w:val="22"/>
        </w:rPr>
        <w:t xml:space="preserve">Data Processing Agreement (DPA): To be executed; formalises DPO arrangement</w:t>
      </w:r>
    </w:p>
    <w:p>
      <w:pPr>
        <w:spacing w:after="120" w:before="120"/>
      </w:pPr>
      <w:r>
        <w:t xml:space="preserve"/>
      </w:r>
    </w:p>
    <w:p>
      <w:pPr>
        <w:pStyle w:val="Heading2"/>
      </w:pPr>
      <w:r>
        <w:rPr>
          <w:rFonts w:ascii="Arial" w:cs="Arial" w:eastAsia="Arial" w:hAnsi="Arial"/>
          <w:b/>
          <w:bCs/>
          <w:color w:val="006B6B"/>
          <w:sz w:val="26"/>
          <w:szCs w:val="26"/>
        </w:rPr>
        <w:t xml:space="preserve">7.2  Standard Terms</w:t>
      </w:r>
    </w:p>
    <w:p>
      <w:pPr>
        <w:pStyle w:val="ListParagraph"/>
        <w:numPr>
          <w:ilvl w:val="0"/>
          <w:numId w:val="2"/>
        </w:numPr>
        <w:spacing w:after="40" w:before="40"/>
      </w:pPr>
      <w:r>
        <w:rPr>
          <w:rFonts w:ascii="Arial" w:cs="Arial" w:eastAsia="Arial" w:hAnsi="Arial"/>
          <w:b w:val="false"/>
          <w:bCs w:val="false"/>
          <w:color w:val="333333"/>
          <w:sz w:val="22"/>
          <w:szCs w:val="22"/>
        </w:rPr>
        <w:t xml:space="preserve">Effective date: May 1, 2026</w:t>
      </w:r>
    </w:p>
    <w:p>
      <w:pPr>
        <w:pStyle w:val="ListParagraph"/>
        <w:numPr>
          <w:ilvl w:val="0"/>
          <w:numId w:val="2"/>
        </w:numPr>
        <w:spacing w:after="40" w:before="40"/>
      </w:pPr>
      <w:r>
        <w:rPr>
          <w:rFonts w:ascii="Arial" w:cs="Arial" w:eastAsia="Arial" w:hAnsi="Arial"/>
          <w:b w:val="false"/>
          <w:bCs w:val="false"/>
          <w:color w:val="333333"/>
          <w:sz w:val="22"/>
          <w:szCs w:val="22"/>
        </w:rPr>
        <w:t xml:space="preserve">Retainer term: 12-month initial term, auto-renewable annually on 60-day written notice</w:t>
      </w:r>
    </w:p>
    <w:p>
      <w:pPr>
        <w:pStyle w:val="ListParagraph"/>
        <w:numPr>
          <w:ilvl w:val="0"/>
          <w:numId w:val="2"/>
        </w:numPr>
        <w:spacing w:after="40" w:before="40"/>
      </w:pPr>
      <w:r>
        <w:rPr>
          <w:rFonts w:ascii="Arial" w:cs="Arial" w:eastAsia="Arial" w:hAnsi="Arial"/>
          <w:b w:val="false"/>
          <w:bCs w:val="false"/>
          <w:color w:val="333333"/>
          <w:sz w:val="22"/>
          <w:szCs w:val="22"/>
        </w:rPr>
        <w:t xml:space="preserve">Retainer payment: Net 30, monthly in advance</w:t>
      </w:r>
    </w:p>
    <w:p>
      <w:pPr>
        <w:pStyle w:val="ListParagraph"/>
        <w:numPr>
          <w:ilvl w:val="0"/>
          <w:numId w:val="2"/>
        </w:numPr>
        <w:spacing w:after="40" w:before="40"/>
      </w:pPr>
      <w:r>
        <w:rPr>
          <w:rFonts w:ascii="Arial" w:cs="Arial" w:eastAsia="Arial" w:hAnsi="Arial"/>
          <w:b w:val="false"/>
          <w:bCs w:val="false"/>
          <w:color w:val="333333"/>
          <w:sz w:val="22"/>
          <w:szCs w:val="22"/>
        </w:rPr>
        <w:t xml:space="preserve">Build fee payment: 50% on signature (May 1), 50% on confirmed go-live</w:t>
      </w:r>
    </w:p>
    <w:p>
      <w:pPr>
        <w:pStyle w:val="ListParagraph"/>
        <w:numPr>
          <w:ilvl w:val="0"/>
          <w:numId w:val="2"/>
        </w:numPr>
        <w:spacing w:after="40" w:before="40"/>
      </w:pPr>
      <w:r>
        <w:rPr>
          <w:rFonts w:ascii="Arial" w:cs="Arial" w:eastAsia="Arial" w:hAnsi="Arial"/>
          <w:b w:val="false"/>
          <w:bCs w:val="false"/>
          <w:color w:val="333333"/>
          <w:sz w:val="22"/>
          <w:szCs w:val="22"/>
        </w:rPr>
        <w:t xml:space="preserve">Data ownership: Nordic's data remains Nordic's property at all times</w:t>
      </w:r>
    </w:p>
    <w:p>
      <w:pPr>
        <w:pStyle w:val="ListParagraph"/>
        <w:numPr>
          <w:ilvl w:val="0"/>
          <w:numId w:val="2"/>
        </w:numPr>
        <w:spacing w:after="40" w:before="40"/>
      </w:pPr>
      <w:r>
        <w:rPr>
          <w:rFonts w:ascii="Arial" w:cs="Arial" w:eastAsia="Arial" w:hAnsi="Arial"/>
          <w:b w:val="false"/>
          <w:bCs w:val="false"/>
          <w:color w:val="333333"/>
          <w:sz w:val="22"/>
          <w:szCs w:val="22"/>
        </w:rPr>
        <w:t xml:space="preserve">Data portability: Full export available on request in standard formats (JSON, CSV, PDF)</w:t>
      </w:r>
    </w:p>
    <w:p>
      <w:pPr>
        <w:pStyle w:val="ListParagraph"/>
        <w:numPr>
          <w:ilvl w:val="0"/>
          <w:numId w:val="2"/>
        </w:numPr>
        <w:spacing w:after="40" w:before="40"/>
      </w:pPr>
      <w:r>
        <w:rPr>
          <w:rFonts w:ascii="Arial" w:cs="Arial" w:eastAsia="Arial" w:hAnsi="Arial"/>
          <w:b w:val="false"/>
          <w:bCs w:val="false"/>
          <w:color w:val="333333"/>
          <w:sz w:val="22"/>
          <w:szCs w:val="22"/>
        </w:rPr>
        <w:t xml:space="preserve">Exit terms: On retainer termination, all Nordic data returned and deleted from winded.vertigo systems within 30 days</w:t>
      </w:r>
    </w:p>
    <w:p>
      <w:pPr>
        <w:pStyle w:val="ListParagraph"/>
        <w:numPr>
          <w:ilvl w:val="0"/>
          <w:numId w:val="2"/>
        </w:numPr>
        <w:spacing w:after="40" w:before="40"/>
      </w:pPr>
      <w:r>
        <w:rPr>
          <w:rFonts w:ascii="Arial" w:cs="Arial" w:eastAsia="Arial" w:hAnsi="Arial"/>
          <w:b w:val="false"/>
          <w:bCs w:val="false"/>
          <w:color w:val="333333"/>
          <w:sz w:val="22"/>
          <w:szCs w:val="22"/>
        </w:rPr>
        <w:t xml:space="preserve">Warranty: winded.vertigo warrants platforms will remain operational and available throughout the retainer period</w:t>
      </w:r>
    </w:p>
    <w:p>
      <w:pPr>
        <w:spacing w:after="120" w:before="120"/>
      </w:pPr>
      <w:r>
        <w:t xml:space="preserve"/>
      </w:r>
    </w:p>
    <w:p>
      <w:pPr>
        <w:pStyle w:val="Heading2"/>
      </w:pPr>
      <w:r>
        <w:rPr>
          <w:rFonts w:ascii="Arial" w:cs="Arial" w:eastAsia="Arial" w:hAnsi="Arial"/>
          <w:b/>
          <w:bCs/>
          <w:color w:val="006B6B"/>
          <w:sz w:val="26"/>
          <w:szCs w:val="26"/>
        </w:rPr>
        <w:t xml:space="preserve">7.3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2500"/>
      </w:tblGrid>
      <w:tr>
        <w:tc>
          <w:tcPr>
            <w:tcW w:type="dxa" w:w="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6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2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Owner / 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 Data Processing Agreement (DPA) as addendum to MNDA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Both parties — before May 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1 kick-off — Garrett begins critical schema gap work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Garrett — May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First retainer invoice issued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winded.vertigo — May 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1 review session with Lauren Bosio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Lauren + Garrett — Week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2–3 mid-point check-in with Sharon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Garrett — Week 5</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4 (RoB 2) design review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Garrett — Week 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Go-live confirmation and final payment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Both parties — June 30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2027 roadmap planning session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Garrett — Q3 2026</w:t>
            </w:r>
          </w:p>
        </w:tc>
      </w:tr>
    </w:tbl>
    <w:p>
      <w:pPr>
        <w:spacing w:after="200" w:before="200"/>
      </w:pPr>
      <w:r>
        <w:t xml:space="preserve"/>
      </w:r>
    </w:p>
    <w:p>
      <w:pPr>
        <w:pBdr>
          <w:bottom w:val="single" w:color="006B6B" w:sz="12" w:space="1"/>
        </w:pBdr>
        <w:spacing w:after="200" w:before="0"/>
      </w:pPr>
      <w:r>
        <w:t xml:space="preserve"/>
      </w:r>
    </w:p>
    <w:p>
      <w:pPr>
        <w:spacing w:after="60" w:before="60"/>
      </w:pPr>
      <w:r>
        <w:t xml:space="preserve"/>
      </w:r>
    </w:p>
    <w:p>
      <w:pPr>
        <w:jc w:val="center"/>
      </w:pPr>
      <w:r>
        <w:rPr>
          <w:rFonts w:ascii="Arial" w:cs="Arial" w:eastAsia="Arial" w:hAnsi="Arial"/>
          <w:color w:val="555555"/>
          <w:sz w:val="20"/>
          <w:szCs w:val="20"/>
        </w:rPr>
        <w:t xml:space="preserve">Prepared by Garrett Jaeger, winded.vertigo LLC | April 2026</w:t>
      </w:r>
    </w:p>
    <w:p>
      <w:pPr>
        <w:jc w:val="center"/>
      </w:pPr>
      <w:r>
        <w:rPr>
          <w:rFonts w:ascii="Arial" w:cs="Arial" w:eastAsia="Arial" w:hAnsi="Arial"/>
          <w:color w:val="006B6B"/>
          <w:sz w:val="20"/>
          <w:szCs w:val="20"/>
        </w:rPr>
        <w:t xml:space="preserve">Questions: garrett@windedvertigo.com</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6" w:space="1"/>
      </w:pBdr>
      <w:tabs>
        <w:tab w:val="right" w:pos="9360"/>
      </w:tabs>
    </w:pPr>
    <w:r>
      <w:rPr>
        <w:rFonts w:ascii="Arial" w:cs="Arial" w:eastAsia="Arial" w:hAnsi="Arial"/>
        <w:color w:val="555555"/>
        <w:sz w:val="18"/>
        <w:szCs w:val="18"/>
      </w:rPr>
      <w:t xml:space="preserve">winded.vertigo LLC  |  garrett@windedvertigo.com  |  April 2026</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6" w:space="1"/>
      </w:pBdr>
      <w:tabs>
        <w:tab w:val="right" w:pos="9360"/>
      </w:tabs>
    </w:pPr>
    <w:r>
      <w:rPr>
        <w:rFonts w:ascii="Arial" w:cs="Arial" w:eastAsia="Arial" w:hAnsi="Arial"/>
        <w:color w:val="555555"/>
        <w:sz w:val="18"/>
        <w:szCs w:val="18"/>
      </w:rPr>
      <w:t xml:space="preserve">winded.vertigo LLC  |  garrett@windedvertigo.com  |  April 2026</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tabs>
        <w:tab w:val="right" w:pos="9360"/>
      </w:tabs>
    </w:pPr>
    <w:r>
      <w:rPr>
        <w:rFonts w:ascii="Arial" w:cs="Arial" w:eastAsia="Arial" w:hAnsi="Arial"/>
        <w:b/>
        <w:bCs/>
        <w:color w:val="002654"/>
        <w:sz w:val="18"/>
        <w:szCs w:val="18"/>
      </w:rPr>
      <w:t xml:space="preserve">NORDIC NATURALS</w:t>
    </w:r>
    <w:r>
      <w:rPr>
        <w:rFonts w:ascii="Arial" w:cs="Arial" w:eastAsia="Arial" w:hAnsi="Arial"/>
      </w:rPr>
      <w:t xml:space="preserve">	</w:t>
    </w:r>
    <w:r>
      <w:rPr>
        <w:rFonts w:ascii="Arial" w:cs="Arial" w:eastAsia="Arial" w:hAnsi="Arial"/>
        <w:color w:val="555555"/>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tabs>
        <w:tab w:val="right" w:pos="9360"/>
      </w:tabs>
    </w:pPr>
    <w:r>
      <w:rPr>
        <w:rFonts w:ascii="Arial" w:cs="Arial" w:eastAsia="Arial" w:hAnsi="Arial"/>
        <w:b/>
        <w:bCs/>
        <w:color w:val="002654"/>
        <w:sz w:val="18"/>
        <w:szCs w:val="18"/>
      </w:rPr>
      <w:t xml:space="preserve">NORDIC NATURALS</w:t>
    </w:r>
    <w:r>
      <w:rPr>
        <w:rFonts w:ascii="Arial" w:cs="Arial" w:eastAsia="Arial" w:hAnsi="Arial"/>
      </w:rPr>
      <w:t xml:space="preserve">	</w:t>
    </w:r>
    <w:r>
      <w:rPr>
        <w:rFonts w:ascii="Arial" w:cs="Arial" w:eastAsia="Arial" w:hAnsi="Arial"/>
        <w:color w:val="55555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65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6B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26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2026-04-24T16:10:51.564Z</dcterms:created>
  <dcterms:modified xsi:type="dcterms:W3CDTF">2026-04-24T16:10:51.564Z</dcterms:modified>
</cp:coreProperties>
</file>

<file path=docProps/custom.xml><?xml version="1.0" encoding="utf-8"?>
<Properties xmlns="http://schemas.openxmlformats.org/officeDocument/2006/custom-properties" xmlns:vt="http://schemas.openxmlformats.org/officeDocument/2006/docPropsVTypes"/>
</file>