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Inter" w:cs="Inter" w:eastAsia="Inter" w:hAnsi="Inter"/>
          <w:b/>
          <w:bCs/>
          <w:color w:val="273248"/>
          <w:sz w:val="52"/>
          <w:szCs w:val="52"/>
        </w:rPr>
        <w:t xml:space="preserve">creaseworks</w:t>
      </w:r>
    </w:p>
    <w:p>
      <w:pPr>
        <w:spacing w:after="80"/>
        <w:jc w:val="center"/>
      </w:pPr>
      <w:r>
        <w:rPr>
          <w:rFonts w:ascii="Inter" w:cs="Inter" w:eastAsia="Inter" w:hAnsi="Inter"/>
          <w:color w:val="CB7858"/>
          <w:sz w:val="28"/>
          <w:szCs w:val="28"/>
        </w:rPr>
        <w:t xml:space="preserve">ui/ux brand alignment critique</w:t>
      </w:r>
    </w:p>
    <w:p>
      <w:pPr>
        <w:spacing w:after="600"/>
        <w:jc w:val="center"/>
      </w:pPr>
      <w:r>
        <w:rPr>
          <w:rFonts w:ascii="Inter" w:cs="Inter" w:eastAsia="Inter" w:hAnsi="Inter"/>
          <w:color w:val="273248"/>
          <w:sz w:val="22"/>
          <w:szCs w:val="22"/>
        </w:rPr>
        <w:t xml:space="preserve">&amp; recommendations for a more playful, brand-aligned experience</w:t>
      </w:r>
    </w:p>
    <w:p>
      <w:pPr>
        <w:pBdr>
          <w:bottom w:val="single" w:color="FFEBD2" w:sz="4" w:space="1"/>
        </w:pBdr>
        <w:spacing w:after="200" w:before="200"/>
      </w:pPr>
    </w:p>
    <w:p>
      <w:pPr>
        <w:spacing w:after="80"/>
        <w:jc w:val="center"/>
      </w:pPr>
      <w:r>
        <w:rPr>
          <w:rFonts w:ascii="Inter" w:cs="Inter" w:eastAsia="Inter" w:hAnsi="Inter"/>
          <w:color w:val="CB7858"/>
          <w:sz w:val="20"/>
          <w:szCs w:val="20"/>
        </w:rPr>
        <w:t xml:space="preserve">prepared for winded.vertigo</w:t>
      </w:r>
    </w:p>
    <w:p>
      <w:pPr>
        <w:spacing w:after="80"/>
        <w:jc w:val="center"/>
      </w:pPr>
      <w:r>
        <w:rPr>
          <w:rFonts w:ascii="Inter" w:cs="Inter" w:eastAsia="Inter" w:hAnsi="Inter"/>
          <w:color w:val="273248"/>
          <w:sz w:val="20"/>
          <w:szCs w:val="20"/>
        </w:rPr>
        <w:t xml:space="preserve">february 2026</w:t>
      </w:r>
    </w:p>
    <w:p>
      <w:pPr>
        <w:jc w:val="center"/>
      </w:pPr>
      <w:r>
        <w:rPr>
          <w:rFonts w:ascii="Inter" w:cs="Inter" w:eastAsia="Inter" w:hAnsi="Inter"/>
          <w:color w:val="888888"/>
          <w:sz w:val="18"/>
          <w:szCs w:val="18"/>
        </w:rPr>
        <w:t xml:space="preserve">based on brand guidelines v1, windedvertigo.com, and creaseworks production site</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Inter" w:cs="Inter" w:eastAsia="Inter" w:hAnsi="Inter"/>
          <w:sz w:val="22"/>
          <w:szCs w:val="22"/>
        </w:rPr>
        <w:t xml:space="preserve">creaseworks has a strong architectural foundation: a shared design-token system, consistent use of the brand colour palette, and an all-lowercase writing convention enforced in css. the app feels warm, approachable, and technically solid.</w:t>
      </w:r>
    </w:p>
    <w:p>
      <w:pPr>
        <w:spacing w:after="120"/>
      </w:pPr>
      <w:r>
        <w:rPr>
          <w:rFonts w:ascii="Inter" w:cs="Inter" w:eastAsia="Inter" w:hAnsi="Inter"/>
          <w:sz w:val="22"/>
          <w:szCs w:val="22"/>
        </w:rPr>
        <w:t xml:space="preserve">however, several gaps exist between the brand guidelines and the live product. some are small (case inconsistencies in dynamic content) and some are structural (the parent site at windedvertigo.com feels like a different product entirely). the biggest opportunity is in making the experience feel more playful — the brand’s verbal identity pillar of “playful” is underrepresented in the visual and interaction design.</w:t>
      </w:r>
    </w:p>
    <w:p>
      <w:pPr>
        <w:spacing w:after="120"/>
      </w:pPr>
      <w:r>
        <w:rPr>
          <w:rFonts w:ascii="Inter" w:cs="Inter" w:eastAsia="Inter" w:hAnsi="Inter"/>
          <w:sz w:val="22"/>
          <w:szCs w:val="22"/>
        </w:rPr>
        <w:t xml:space="preserve">this document audits the live creaseworks site, cross-references it against the brand guidelines pdf (25 pages), reviews the codebase, and provides prioritised recommendations.</w:t>
      </w:r>
    </w:p>
    <w:p>
      <w:pPr>
        <w:pBdr>
          <w:bottom w:val="single" w:color="FFEBD2" w:sz="4" w:space="1"/>
        </w:pBdr>
        <w:spacing w:after="200" w:before="200"/>
      </w:pPr>
    </w:p>
    <w:p>
      <w:pPr>
        <w:pStyle w:val="Heading1"/>
      </w:pPr>
      <w:r>
        <w:t xml:space="preserve">2. what’s working well</w:t>
      </w:r>
    </w:p>
    <w:p>
      <w:pPr>
        <w:spacing w:after="120"/>
      </w:pPr>
      <w:r>
        <w:rPr>
          <w:rFonts w:ascii="Inter" w:cs="Inter" w:eastAsia="Inter" w:hAnsi="Inter"/>
          <w:sz w:val="22"/>
          <w:szCs w:val="22"/>
        </w:rPr>
        <w:t xml:space="preserve">before diving into issues, it’s worth acknowledging what creaseworks already does right.</w:t>
      </w:r>
    </w:p>
    <w:p>
      <w:pPr>
        <w:pStyle w:val="Heading2"/>
      </w:pPr>
      <w:r>
        <w:t xml:space="preserve">shared design tokens</w:t>
      </w:r>
    </w:p>
    <w:p>
      <w:pPr>
        <w:spacing w:after="120"/>
      </w:pPr>
      <w:r>
        <w:rPr>
          <w:rFonts w:ascii="Inter" w:cs="Inter" w:eastAsia="Inter" w:hAnsi="Inter"/>
          <w:sz w:val="22"/>
          <w:szCs w:val="22"/>
        </w:rPr>
        <w:t xml:space="preserve">the @windedvertigo/tokens package is an excellent architectural decision. a single index.css file defines the brand palette, spacing scale, typography defaults, focus states, and reduced-motion queries. both creaseworks and the parent site consume these tokens, ensuring cross-property consistency. the tokens include documented wcag contrast ratios (aaa-level for key combinations), which is rare and commendable.</w:t>
      </w:r>
    </w:p>
    <w:p>
      <w:pPr>
        <w:pStyle w:val="Heading2"/>
      </w:pPr>
      <w:r>
        <w:t xml:space="preserve">colour palette usage</w:t>
      </w:r>
    </w:p>
    <w:p>
      <w:pPr>
        <w:spacing w:after="120"/>
      </w:pPr>
      <w:r>
        <w:rPr>
          <w:rFonts w:ascii="Inter" w:cs="Inter" w:eastAsia="Inter" w:hAnsi="Inter"/>
          <w:sz w:val="22"/>
          <w:szCs w:val="22"/>
        </w:rPr>
        <w:t xml:space="preserve">the five-colour palette (cadet, redwood, sienna, champagne, white) is applied thoughtfully throughout the ui. playdate cards use a left-border accent hashed from the primary function, arc emphasis pills use colour-coded backgrounds, and the nav bar maps each section to a distinct accent colour. the warm champagne tint on the page background (via color-mix) creates a gentle, inviting feel that the brand guidelines encourage.</w:t>
      </w:r>
    </w:p>
    <w:p>
      <w:pPr>
        <w:pStyle w:val="Heading2"/>
      </w:pPr>
      <w:r>
        <w:t xml:space="preserve">all-lowercase convention</w:t>
      </w:r>
    </w:p>
    <w:p>
      <w:pPr>
        <w:spacing w:after="120"/>
      </w:pPr>
      <w:r>
        <w:rPr>
          <w:rFonts w:ascii="Inter" w:cs="Inter" w:eastAsia="Inter" w:hAnsi="Inter"/>
          <w:sz w:val="22"/>
          <w:szCs w:val="22"/>
        </w:rPr>
        <w:t xml:space="preserve">a global css rule enforces text-transform: lowercase on headings, buttons, links, labels, and nav elements. this is the brand’s signature verbal identity trait and it’s handled systematically rather than relying on author discipline.</w:t>
      </w:r>
    </w:p>
    <w:p>
      <w:pPr>
        <w:pStyle w:val="Heading2"/>
      </w:pPr>
      <w:r>
        <w:t xml:space="preserve">playdate card component</w:t>
      </w:r>
    </w:p>
    <w:p>
      <w:pPr>
        <w:spacing w:after="120"/>
      </w:pPr>
      <w:r>
        <w:rPr>
          <w:rFonts w:ascii="Inter" w:cs="Inter" w:eastAsia="Inter" w:hAnsi="Inter"/>
          <w:sz w:val="22"/>
          <w:szCs w:val="22"/>
        </w:rPr>
        <w:t xml:space="preserve">the playdate-card.tsx component is well-designed: it handles progress tiers, energy levels, tinkering tiers, arc emphasis, pack badges, family counts, and evidence counts — all within a clean visual hierarchy. the left-border accent and tag pill system feel on-brand and are readable at small sizes.</w:t>
      </w:r>
    </w:p>
    <w:p>
      <w:pPr>
        <w:pStyle w:val="Heading2"/>
      </w:pPr>
      <w:r>
        <w:t xml:space="preserve">accessibility foundations</w:t>
      </w:r>
    </w:p>
    <w:p>
      <w:pPr>
        <w:spacing w:after="120"/>
      </w:pPr>
      <w:r>
        <w:rPr>
          <w:rFonts w:ascii="Inter" w:cs="Inter" w:eastAsia="Inter" w:hAnsi="Inter"/>
          <w:sz w:val="22"/>
          <w:szCs w:val="22"/>
        </w:rPr>
        <w:t xml:space="preserve">skip links, aria labels on the nav, semantic html structure, and contrast-checked tokens all point to genuine accessibility care. the mobile bottom tab bar with icons supports non-readers (noted as “feature y” in the code), which aligns with the audience of young children.</w:t>
      </w:r>
    </w:p>
    <w:p>
      <w:pPr>
        <w:pBdr>
          <w:bottom w:val="single" w:color="FFEBD2" w:sz="4" w:space="1"/>
        </w:pBdr>
        <w:spacing w:after="200" w:before="200"/>
      </w:pPr>
    </w:p>
    <w:p>
      <w:pPr>
        <w:pStyle w:val="Heading1"/>
      </w:pPr>
      <w:r>
        <w:t xml:space="preserve">3. issues found</w:t>
      </w:r>
    </w:p>
    <w:p>
      <w:pPr>
        <w:spacing w:after="120"/>
      </w:pPr>
      <w:r>
        <w:rPr>
          <w:rFonts w:ascii="Inter" w:cs="Inter" w:eastAsia="Inter" w:hAnsi="Inter"/>
          <w:sz w:val="22"/>
          <w:szCs w:val="22"/>
        </w:rPr>
        <w:t xml:space="preserve">the following table summarises all issues identified across the visual audit and code review, organised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430"/>
        <w:gridCol w:w="3430"/>
      </w:tblGrid>
      <w:tr>
        <w:trPr>
          <w:tblHeader/>
        </w:trPr>
        <w:tc>
          <w:tcPr>
            <w:tcW w:type="dxa" w:w="1100"/>
            <w:tcBorders>
              <w:top w:val="single" w:color="CCCCCC" w:sz="1"/>
              <w:left w:val="single" w:color="CCCCCC" w:sz="1"/>
              <w:bottom w:val="single" w:color="CCCCCC" w:sz="1"/>
              <w:right w:val="single" w:color="CCCCCC" w:sz="1"/>
            </w:tcBorders>
            <w:shd w:fill="273248" w:val="clear"/>
            <w:tcMar>
              <w:top w:type="dxa" w:w="80"/>
              <w:left w:type="dxa" w:w="120"/>
              <w:bottom w:type="dxa" w:w="80"/>
              <w:right w:type="dxa" w:w="120"/>
            </w:tcMar>
          </w:tcPr>
          <w:p>
            <w:r>
              <w:rPr>
                <w:rFonts w:ascii="Inter" w:cs="Inter" w:eastAsia="Inter" w:hAnsi="Inter"/>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273248" w:val="clear"/>
            <w:tcMar>
              <w:top w:type="dxa" w:w="80"/>
              <w:left w:type="dxa" w:w="120"/>
              <w:bottom w:type="dxa" w:w="80"/>
              <w:right w:type="dxa" w:w="120"/>
            </w:tcMar>
          </w:tcPr>
          <w:p>
            <w:r>
              <w:rPr>
                <w:rFonts w:ascii="Inter" w:cs="Inter" w:eastAsia="Inter" w:hAnsi="Inter"/>
                <w:b/>
                <w:bCs/>
                <w:color w:val="FFFFFF"/>
                <w:sz w:val="20"/>
                <w:szCs w:val="20"/>
              </w:rPr>
              <w:t xml:space="preserve">area</w:t>
            </w:r>
          </w:p>
        </w:tc>
        <w:tc>
          <w:tcPr>
            <w:tcW w:type="dxa" w:w="3430"/>
            <w:tcBorders>
              <w:top w:val="single" w:color="CCCCCC" w:sz="1"/>
              <w:left w:val="single" w:color="CCCCCC" w:sz="1"/>
              <w:bottom w:val="single" w:color="CCCCCC" w:sz="1"/>
              <w:right w:val="single" w:color="CCCCCC" w:sz="1"/>
            </w:tcBorders>
            <w:shd w:fill="273248" w:val="clear"/>
            <w:tcMar>
              <w:top w:type="dxa" w:w="80"/>
              <w:left w:type="dxa" w:w="120"/>
              <w:bottom w:type="dxa" w:w="80"/>
              <w:right w:type="dxa" w:w="120"/>
            </w:tcMar>
          </w:tcPr>
          <w:p>
            <w:r>
              <w:rPr>
                <w:rFonts w:ascii="Inter" w:cs="Inter" w:eastAsia="Inter" w:hAnsi="Inter"/>
                <w:b/>
                <w:bCs/>
                <w:color w:val="FFFFFF"/>
                <w:sz w:val="20"/>
                <w:szCs w:val="20"/>
              </w:rPr>
              <w:t xml:space="preserve">issue</w:t>
            </w:r>
          </w:p>
        </w:tc>
        <w:tc>
          <w:tcPr>
            <w:tcW w:type="dxa" w:w="3430"/>
            <w:tcBorders>
              <w:top w:val="single" w:color="CCCCCC" w:sz="1"/>
              <w:left w:val="single" w:color="CCCCCC" w:sz="1"/>
              <w:bottom w:val="single" w:color="CCCCCC" w:sz="1"/>
              <w:right w:val="single" w:color="CCCCCC" w:sz="1"/>
            </w:tcBorders>
            <w:shd w:fill="273248" w:val="clear"/>
            <w:tcMar>
              <w:top w:type="dxa" w:w="80"/>
              <w:left w:type="dxa" w:w="120"/>
              <w:bottom w:type="dxa" w:w="80"/>
              <w:right w:type="dxa" w:w="120"/>
            </w:tcMar>
          </w:tcPr>
          <w:p>
            <w:r>
              <w:rPr>
                <w:rFonts w:ascii="Inter" w:cs="Inter" w:eastAsia="Inter" w:hAnsi="Inter"/>
                <w:b/>
                <w:bCs/>
                <w:color w:val="FFFFFF"/>
                <w:sz w:val="20"/>
                <w:szCs w:val="20"/>
              </w:rPr>
              <w:t xml:space="preserve">recommendation</w:t>
            </w:r>
          </w:p>
        </w:tc>
      </w:tr>
      <w:tr>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brand voice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gallery and community page descriptions use sentence case (e.g. “Celebrate creativity and consistency”) instead of the brand’s all-lowercase convention.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ensure all user-facing strings in page components use lowercase. the css text-transform rule only applies to specific elements (h1–h6, button, a, label, th, nav) — paragraph text is not covered. either extend the css rule to p tags within specific containers, or enforce lowercase in the content strings themselves.</w:t>
            </w:r>
          </w:p>
        </w:tc>
      </w:tr>
      <w:tr>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brand voice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profile dashboard labels use title case (“Total Runs”, “Playdates Tried”). badge journey titles use title case (“Tried It”, “Found Something”). these likely come from dynamically rendered content that bypasses the css rule.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audit all stat labels, badge names, and tier names in the codebase. convert to lowercase at the data layer or in the rendering component. a utility function like toDisplayCase(text) that enforces lowercase would prevent drift.</w:t>
            </w:r>
          </w:p>
        </w:tc>
      </w:tr>
      <w:tr>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visual identity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the parent site (windedvertigo.com) and creaseworks feel like different products. windedvertigo.com uses a full cadet background with a dark, immersive feel, while creaseworks uses a warm champagne-tinted white background. the nav bar is the only visual bridge.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this is partially intentional (different audiences), but the disconnect weakens the brand. consider: (a) adding a subtle cadet section or footer treatment to creaseworks that echoes the parent site, (b) using the parent site’s “what. we. do.” typographic style for creaseworks section headings, or (c) at minimum, ensuring the footer is visually identical across both properties (it already shares html).</w:t>
            </w:r>
          </w:p>
        </w:tc>
      </w:tr>
      <w:tr>
        <w:tc>
          <w:tcPr>
            <w:tcW w:type="dxa" w:w="1100"/>
            <w:tcBorders>
              <w:top w:val="single" w:color="CCCCCC" w:sz="1"/>
              <w:left w:val="single" w:color="CCCCCC" w:sz="1"/>
              <w:bottom w:val="single" w:color="CCCCCC" w:sz="1"/>
              <w:right w:val="single" w:color="CCCCCC" w:sz="1"/>
            </w:tcBorders>
            <w:shd w:fill="FFEBD2"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brand palette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the “DRAFT” badge on the co-design essentials pack uses an orange colour that is not in the brand palette. it appears to be a default or system colour rather than sienna or redwood.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replace with sienna/10 background and sienna text to match the brand palette. use the same pattern as the “great first pick” badge on playdate cards.</w:t>
            </w:r>
          </w:p>
        </w:tc>
      </w:tr>
      <w:tr>
        <w:tc>
          <w:tcPr>
            <w:tcW w:type="dxa" w:w="1100"/>
            <w:tcBorders>
              <w:top w:val="single" w:color="CCCCCC" w:sz="1"/>
              <w:left w:val="single" w:color="CCCCCC" w:sz="1"/>
              <w:bottom w:val="single" w:color="CCCCCC" w:sz="1"/>
              <w:right w:val="single" w:color="CCCCCC" w:sz="1"/>
            </w:tcBorders>
            <w:shd w:fill="FFEBD2"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playfulness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pack cards are text-only with no visual differentiation. each pack looks identical except for the title and price. this is the least “playful” area of the ui.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add a small illustration, icon, or colour accent per pack (similar to how playdate cards have illustrations). even a coloured top-border strip per pack theme would help. consider a subtle pattern or texture unique to each pack.</w:t>
            </w:r>
          </w:p>
        </w:tc>
      </w:tr>
      <w:tr>
        <w:tc>
          <w:tcPr>
            <w:tcW w:type="dxa" w:w="1100"/>
            <w:tcBorders>
              <w:top w:val="single" w:color="CCCCCC" w:sz="1"/>
              <w:left w:val="single" w:color="CCCCCC" w:sz="1"/>
              <w:bottom w:val="single" w:color="CCCCCC" w:sz="1"/>
              <w:right w:val="single" w:color="CCCCCC" w:sz="1"/>
            </w:tcBorders>
            <w:shd w:fill="FFEBD2"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playfulness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the matcher page is functional but visually plain. the material selection pills are small and the form feels like a utility rather than a playful invitation to explore.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make the material pills larger and more tactile (consider a slight shadow or border on hover). add a playful heading or micro-illustration. the cta button (“find playdates”) could have a subtle animation on hover.</w:t>
            </w:r>
          </w:p>
        </w:tc>
      </w:tr>
      <w:tr>
        <w:tc>
          <w:tcPr>
            <w:tcW w:type="dxa" w:w="1100"/>
            <w:tcBorders>
              <w:top w:val="single" w:color="CCCCCC" w:sz="1"/>
              <w:left w:val="single" w:color="CCCCCC" w:sz="1"/>
              <w:bottom w:val="single" w:color="CCCCCC" w:sz="1"/>
              <w:right w:val="single" w:color="CCCCCC" w:sz="1"/>
            </w:tcBorders>
            <w:shd w:fill="FFEBD2"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empty states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the gallery and community pages show generic empty states (“no artwork yet” with a landscape emoji, “no leaders yet”). these miss an opportunity to be playful and encouraging.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design custom empty-state illustrations or use brand-aligned micro-copy. e.g. “nothing here yet — go make something and come back to share it” or “this gallery is waiting for your first masterpiece.” use the brand’s warm, inviting tone.</w:t>
            </w:r>
          </w:p>
        </w:tc>
      </w:tr>
      <w:tr>
        <w:tc>
          <w:tcPr>
            <w:tcW w:type="dxa" w:w="1100"/>
            <w:tcBorders>
              <w:top w:val="single" w:color="CCCCCC" w:sz="1"/>
              <w:left w:val="single" w:color="CCCCCC" w:sz="1"/>
              <w:bottom w:val="single" w:color="CCCCCC" w:sz="1"/>
              <w:right w:val="single" w:color="CCCCCC" w:sz="1"/>
            </w:tcBorders>
            <w:shd w:fill="FFEBD2"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typography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the brand guidelines specify a sizing hierarchy: subheaders ≤ 50% of headline ascender height, body ≤ 50% of subheader cap height. the current heading sizes (h1: 36, h2: 28, h3: 24 in half-points) don’t follow this ratio.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audit the type scale. a suggested scale: h1: 32px (64 half-pts), h2: 16px (32), body: 11px (22). this follows the 50% rule. alternatively, adopt a modular scale (e.g. 1.5x ratio) that approximates the guideline.</w:t>
            </w:r>
          </w:p>
        </w:tc>
      </w:tr>
      <w:tr>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navigation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the mobile bottom tab bar uses 9px labels, which may be too small for quick recognition, especially for the target audience of parents with young children.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increase to 10–11px. test on actual devices with one-handed use in mind.</w:t>
            </w:r>
          </w:p>
        </w:tc>
      </w:tr>
      <w:tr>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micro-interactions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hover states on cards are functional (shadow + slight translate-y) but could be more playful. there are no transitions on page entry, no staggered card animations, and no micro-delight moments.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add subtle entry animations (fade-in + slide-up) on card grids. consider a gentle “wobble” or colour shift on hover for playdate cards. keep animations under 200ms and respect prefers-reduced-motion.</w:t>
            </w:r>
          </w:p>
        </w:tc>
      </w:tr>
      <w:tr>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Inter" w:cs="Inter" w:eastAsia="Inter" w:hAnsi="Inter"/>
                <w:b/>
                <w:bCs/>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footer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the shared footer is minimal (copyright + link). the brand has a rich verbal identity (“let’s play.” as a closing philosophy) that could be reflected here.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add the “let’s play.” tagline to the footer, perhaps in sienna. this small touch reinforces the brand on every page.</w:t>
            </w:r>
          </w:p>
        </w:tc>
      </w:tr>
    </w:tbl>
    <w:p>
      <w:pPr>
        <w:pBdr>
          <w:bottom w:val="single" w:color="FFEBD2" w:sz="4" w:space="1"/>
        </w:pBdr>
        <w:spacing w:after="200" w:before="200"/>
      </w:pPr>
    </w:p>
    <w:p>
      <w:pPr>
        <w:pStyle w:val="Heading1"/>
      </w:pPr>
      <w:r>
        <w:t xml:space="preserve">4. detailed recommendations</w:t>
      </w:r>
    </w:p>
    <w:p>
      <w:pPr>
        <w:pStyle w:val="Heading2"/>
      </w:pPr>
      <w:r>
        <w:t xml:space="preserve">4.1 enforce lowercase everywhere</w:t>
      </w:r>
    </w:p>
    <w:p>
      <w:pPr>
        <w:spacing w:after="120"/>
      </w:pPr>
      <w:r>
        <w:rPr>
          <w:rFonts w:ascii="Inter" w:cs="Inter" w:eastAsia="Inter" w:hAnsi="Inter"/>
          <w:sz w:val="22"/>
          <w:szCs w:val="22"/>
        </w:rPr>
        <w:t xml:space="preserve">the all-lowercase convention is the brand’s most distinctive verbal trait. it should be airtight.</w:t>
      </w:r>
    </w:p>
    <w:p>
      <w:pPr>
        <w:pStyle w:val="ListParagraph"/>
        <w:numPr>
          <w:ilvl w:val="0"/>
          <w:numId w:val="2"/>
        </w:numPr>
        <w:spacing w:after="60"/>
      </w:pPr>
      <w:r>
        <w:rPr>
          <w:rFonts w:ascii="Inter" w:cs="Inter" w:eastAsia="Inter" w:hAnsi="Inter"/>
          <w:sz w:val="22"/>
          <w:szCs w:val="22"/>
        </w:rPr>
        <w:t xml:space="preserve">extend the css text-transform: lowercase rule to cover .stat-label, .badge-title, and any other dynamically rendered text containers.</w:t>
      </w:r>
    </w:p>
    <w:p>
      <w:pPr>
        <w:pStyle w:val="ListParagraph"/>
        <w:numPr>
          <w:ilvl w:val="0"/>
          <w:numId w:val="2"/>
        </w:numPr>
        <w:spacing w:after="60"/>
      </w:pPr>
      <w:r>
        <w:rPr>
          <w:rFonts w:ascii="Inter" w:cs="Inter" w:eastAsia="Inter" w:hAnsi="Inter"/>
          <w:sz w:val="22"/>
          <w:szCs w:val="22"/>
        </w:rPr>
        <w:t xml:space="preserve">create a lint rule or code review checklist item: “no capital letters in user-facing strings unless it’s an acronym.”</w:t>
      </w:r>
    </w:p>
    <w:p>
      <w:pPr>
        <w:pStyle w:val="ListParagraph"/>
        <w:numPr>
          <w:ilvl w:val="0"/>
          <w:numId w:val="2"/>
        </w:numPr>
        <w:spacing w:after="60"/>
      </w:pPr>
      <w:r>
        <w:rPr>
          <w:rFonts w:ascii="Inter" w:cs="Inter" w:eastAsia="Inter" w:hAnsi="Inter"/>
          <w:sz w:val="22"/>
          <w:szCs w:val="22"/>
        </w:rPr>
        <w:t xml:space="preserve">audit the database for any seed data or content that uses title case (e.g. playdate titles, arc names, tier labels).</w:t>
      </w:r>
    </w:p>
    <w:p>
      <w:pPr>
        <w:pStyle w:val="ListParagraph"/>
        <w:numPr>
          <w:ilvl w:val="0"/>
          <w:numId w:val="2"/>
        </w:numPr>
        <w:spacing w:after="60"/>
      </w:pPr>
      <w:r>
        <w:rPr>
          <w:rFonts w:ascii="Inter" w:cs="Inter" w:eastAsia="Inter" w:hAnsi="Inter"/>
          <w:sz w:val="22"/>
          <w:szCs w:val="22"/>
        </w:rPr>
        <w:t xml:space="preserve">the profile page is the worst offender — prioritise it. “Total Runs” should be “total runs”, “Tried It” should be “tried it”, etc.</w:t>
      </w:r>
    </w:p>
    <w:p>
      <w:pPr>
        <w:pStyle w:val="Heading2"/>
      </w:pPr>
      <w:r>
        <w:t xml:space="preserve">4.2 make packs visually distinct</w:t>
      </w:r>
    </w:p>
    <w:p>
      <w:pPr>
        <w:spacing w:after="120"/>
      </w:pPr>
      <w:r>
        <w:rPr>
          <w:rFonts w:ascii="Inter" w:cs="Inter" w:eastAsia="Inter" w:hAnsi="Inter"/>
          <w:sz w:val="22"/>
          <w:szCs w:val="22"/>
        </w:rPr>
        <w:t xml:space="preserve">packs are the primary commercial product. they deserve more visual investment than plain white cards with text.</w:t>
      </w:r>
    </w:p>
    <w:p>
      <w:pPr>
        <w:pStyle w:val="ListParagraph"/>
        <w:numPr>
          <w:ilvl w:val="0"/>
          <w:numId w:val="2"/>
        </w:numPr>
        <w:spacing w:after="60"/>
      </w:pPr>
      <w:r>
        <w:rPr>
          <w:rFonts w:ascii="Inter" w:cs="Inter" w:eastAsia="Inter" w:hAnsi="Inter"/>
          <w:sz w:val="22"/>
          <w:szCs w:val="22"/>
        </w:rPr>
        <w:t xml:space="preserve">assign each pack a “theme colour” from the palette (or a tint thereof). use it as a top-border accent, background tint, or icon colour.</w:t>
      </w:r>
    </w:p>
    <w:p>
      <w:pPr>
        <w:pStyle w:val="ListParagraph"/>
        <w:numPr>
          <w:ilvl w:val="0"/>
          <w:numId w:val="2"/>
        </w:numPr>
        <w:spacing w:after="60"/>
      </w:pPr>
      <w:r>
        <w:rPr>
          <w:rFonts w:ascii="Inter" w:cs="Inter" w:eastAsia="Inter" w:hAnsi="Inter"/>
          <w:sz w:val="22"/>
          <w:szCs w:val="22"/>
        </w:rPr>
        <w:t xml:space="preserve">add a small illustration or icon per pack — even a simple svg shape (circle, triangle, wave) in the theme colour would help.</w:t>
      </w:r>
    </w:p>
    <w:p>
      <w:pPr>
        <w:pStyle w:val="ListParagraph"/>
        <w:numPr>
          <w:ilvl w:val="0"/>
          <w:numId w:val="2"/>
        </w:numPr>
        <w:spacing w:after="60"/>
      </w:pPr>
      <w:r>
        <w:rPr>
          <w:rFonts w:ascii="Inter" w:cs="Inter" w:eastAsia="Inter" w:hAnsi="Inter"/>
          <w:sz w:val="22"/>
          <w:szCs w:val="22"/>
        </w:rPr>
        <w:t xml:space="preserve">show a preview of 2–3 playdate cards within the pack card (collapsed, overlapping thumbnails) to give a sense of what’s inside.</w:t>
      </w:r>
    </w:p>
    <w:p>
      <w:pPr>
        <w:pStyle w:val="ListParagraph"/>
        <w:numPr>
          <w:ilvl w:val="0"/>
          <w:numId w:val="2"/>
        </w:numPr>
        <w:spacing w:after="60"/>
      </w:pPr>
      <w:r>
        <w:rPr>
          <w:rFonts w:ascii="Inter" w:cs="Inter" w:eastAsia="Inter" w:hAnsi="Inter"/>
          <w:sz w:val="22"/>
          <w:szCs w:val="22"/>
        </w:rPr>
        <w:t xml:space="preserve">consider a “popular” or “new” badge system for packs, similar to the “great first pick” badge on playdate cards.</w:t>
      </w:r>
    </w:p>
    <w:p>
      <w:pPr>
        <w:pStyle w:val="Heading2"/>
      </w:pPr>
      <w:r>
        <w:t xml:space="preserve">4.3 invest in empty states</w:t>
      </w:r>
    </w:p>
    <w:p>
      <w:pPr>
        <w:spacing w:after="120"/>
      </w:pPr>
      <w:r>
        <w:rPr>
          <w:rFonts w:ascii="Inter" w:cs="Inter" w:eastAsia="Inter" w:hAnsi="Inter"/>
          <w:sz w:val="22"/>
          <w:szCs w:val="22"/>
        </w:rPr>
        <w:t xml:space="preserve">empty states are the first thing a new user sees. they set the tone.</w:t>
      </w:r>
    </w:p>
    <w:p>
      <w:pPr>
        <w:pStyle w:val="ListParagraph"/>
        <w:numPr>
          <w:ilvl w:val="0"/>
          <w:numId w:val="2"/>
        </w:numPr>
        <w:spacing w:after="60"/>
      </w:pPr>
      <w:r>
        <w:rPr>
          <w:rFonts w:ascii="Inter" w:cs="Inter" w:eastAsia="Inter" w:hAnsi="Inter"/>
          <w:sz w:val="22"/>
          <w:szCs w:val="22"/>
        </w:rPr>
        <w:t xml:space="preserve">replace generic emoji placeholders with custom svg illustrations in the brand palette. even simple line art (a pencil, a camera, a pair of hands) would feel more intentional.</w:t>
      </w:r>
    </w:p>
    <w:p>
      <w:pPr>
        <w:pStyle w:val="ListParagraph"/>
        <w:numPr>
          <w:ilvl w:val="0"/>
          <w:numId w:val="2"/>
        </w:numPr>
        <w:spacing w:after="60"/>
      </w:pPr>
      <w:r>
        <w:rPr>
          <w:rFonts w:ascii="Inter" w:cs="Inter" w:eastAsia="Inter" w:hAnsi="Inter"/>
          <w:sz w:val="22"/>
          <w:szCs w:val="22"/>
        </w:rPr>
        <w:t xml:space="preserve">write micro-copy that sounds like a friend encouraging you: “nothing here yet — let’s change that.” “this is where your gallery will grow.”</w:t>
      </w:r>
    </w:p>
    <w:p>
      <w:pPr>
        <w:pStyle w:val="ListParagraph"/>
        <w:numPr>
          <w:ilvl w:val="0"/>
          <w:numId w:val="2"/>
        </w:numPr>
        <w:spacing w:after="60"/>
      </w:pPr>
      <w:r>
        <w:rPr>
          <w:rFonts w:ascii="Inter" w:cs="Inter" w:eastAsia="Inter" w:hAnsi="Inter"/>
          <w:sz w:val="22"/>
          <w:szCs w:val="22"/>
        </w:rPr>
        <w:t xml:space="preserve">add a clear cta in empty states: “start your first playdate →” or “explore the sampler →”.</w:t>
      </w:r>
    </w:p>
    <w:p>
      <w:pPr>
        <w:pStyle w:val="ListParagraph"/>
        <w:numPr>
          <w:ilvl w:val="0"/>
          <w:numId w:val="2"/>
        </w:numPr>
        <w:spacing w:after="60"/>
      </w:pPr>
      <w:r>
        <w:rPr>
          <w:rFonts w:ascii="Inter" w:cs="Inter" w:eastAsia="Inter" w:hAnsi="Inter"/>
          <w:sz w:val="22"/>
          <w:szCs w:val="22"/>
        </w:rPr>
        <w:t xml:space="preserve">the community leaderboard empty state should set expectations: “once you start logging reflections, you’ll see the crew here.”</w:t>
      </w:r>
    </w:p>
    <w:p>
      <w:pPr>
        <w:pStyle w:val="Heading2"/>
      </w:pPr>
      <w:r>
        <w:t xml:space="preserve">4.4 add playful micro-interactions</w:t>
      </w:r>
    </w:p>
    <w:p>
      <w:pPr>
        <w:spacing w:after="120"/>
      </w:pPr>
      <w:r>
        <w:rPr>
          <w:rFonts w:ascii="Inter" w:cs="Inter" w:eastAsia="Inter" w:hAnsi="Inter"/>
          <w:sz w:val="22"/>
          <w:szCs w:val="22"/>
        </w:rPr>
        <w:t xml:space="preserve">the brand’s first verbal identity pillar is “playful”. the ui should reflect this in how things move and respond.</w:t>
      </w:r>
    </w:p>
    <w:p>
      <w:pPr>
        <w:pStyle w:val="ListParagraph"/>
        <w:numPr>
          <w:ilvl w:val="0"/>
          <w:numId w:val="2"/>
        </w:numPr>
        <w:spacing w:after="60"/>
      </w:pPr>
      <w:r>
        <w:rPr>
          <w:rFonts w:ascii="Inter" w:cs="Inter" w:eastAsia="Inter" w:hAnsi="Inter"/>
          <w:sz w:val="22"/>
          <w:szCs w:val="22"/>
        </w:rPr>
        <w:t xml:space="preserve">stagger card entry animations on grid pages (sampler, playbook, packs). a simple fade-in with 30–50ms delay per card creates a “cascade” effect.</w:t>
      </w:r>
    </w:p>
    <w:p>
      <w:pPr>
        <w:pStyle w:val="ListParagraph"/>
        <w:numPr>
          <w:ilvl w:val="0"/>
          <w:numId w:val="2"/>
        </w:numPr>
        <w:spacing w:after="60"/>
      </w:pPr>
      <w:r>
        <w:rPr>
          <w:rFonts w:ascii="Inter" w:cs="Inter" w:eastAsia="Inter" w:hAnsi="Inter"/>
          <w:sz w:val="22"/>
          <w:szCs w:val="22"/>
        </w:rPr>
        <w:t xml:space="preserve">add a subtle colour shift or scale on hover for playdate cards (e.g. border-left-colour transitions from the function accent to sienna).</w:t>
      </w:r>
    </w:p>
    <w:p>
      <w:pPr>
        <w:pStyle w:val="ListParagraph"/>
        <w:numPr>
          <w:ilvl w:val="0"/>
          <w:numId w:val="2"/>
        </w:numPr>
        <w:spacing w:after="60"/>
      </w:pPr>
      <w:r>
        <w:rPr>
          <w:rFonts w:ascii="Inter" w:cs="Inter" w:eastAsia="Inter" w:hAnsi="Inter"/>
          <w:sz w:val="22"/>
          <w:szCs w:val="22"/>
        </w:rPr>
        <w:t xml:space="preserve">the quick-log button is a key interaction moment — add a brief success animation (checkmark with a champagne burst, confetti particles, or a gentle pulse).</w:t>
      </w:r>
    </w:p>
    <w:p>
      <w:pPr>
        <w:pStyle w:val="ListParagraph"/>
        <w:numPr>
          <w:ilvl w:val="0"/>
          <w:numId w:val="2"/>
        </w:numPr>
        <w:spacing w:after="60"/>
      </w:pPr>
      <w:r>
        <w:rPr>
          <w:rFonts w:ascii="Inter" w:cs="Inter" w:eastAsia="Inter" w:hAnsi="Inter"/>
          <w:sz w:val="22"/>
          <w:szCs w:val="22"/>
        </w:rPr>
        <w:t xml:space="preserve">use prefers-reduced-motion to disable all animations for users who need it. the token system already includes this query.</w:t>
      </w:r>
    </w:p>
    <w:p>
      <w:pPr>
        <w:pStyle w:val="ListParagraph"/>
        <w:numPr>
          <w:ilvl w:val="0"/>
          <w:numId w:val="2"/>
        </w:numPr>
        <w:spacing w:after="60"/>
      </w:pPr>
      <w:r>
        <w:rPr>
          <w:rFonts w:ascii="Inter" w:cs="Inter" w:eastAsia="Inter" w:hAnsi="Inter"/>
          <w:sz w:val="22"/>
          <w:szCs w:val="22"/>
        </w:rPr>
        <w:t xml:space="preserve">keep all animations under 200ms to feel snappy rather than sluggish.</w:t>
      </w:r>
    </w:p>
    <w:p>
      <w:pPr>
        <w:pStyle w:val="Heading2"/>
      </w:pPr>
      <w:r>
        <w:t xml:space="preserve">4.5 bridge creaseworks and windedvertigo.com</w:t>
      </w:r>
    </w:p>
    <w:p>
      <w:pPr>
        <w:spacing w:after="120"/>
      </w:pPr>
      <w:r>
        <w:rPr>
          <w:rFonts w:ascii="Inter" w:cs="Inter" w:eastAsia="Inter" w:hAnsi="Inter"/>
          <w:sz w:val="22"/>
          <w:szCs w:val="22"/>
        </w:rPr>
        <w:t xml:space="preserve">the parent site and creaseworks should feel like siblings, not strangers.</w:t>
      </w:r>
    </w:p>
    <w:p>
      <w:pPr>
        <w:pStyle w:val="ListParagraph"/>
        <w:numPr>
          <w:ilvl w:val="0"/>
          <w:numId w:val="2"/>
        </w:numPr>
        <w:spacing w:after="60"/>
      </w:pPr>
      <w:r>
        <w:rPr>
          <w:rFonts w:ascii="Inter" w:cs="Inter" w:eastAsia="Inter" w:hAnsi="Inter"/>
          <w:sz w:val="22"/>
          <w:szCs w:val="22"/>
        </w:rPr>
        <w:t xml:space="preserve">the footer is already shared — good. consider adding a “back to windedvertigo.com” link in the footer or nav.</w:t>
      </w:r>
    </w:p>
    <w:p>
      <w:pPr>
        <w:pStyle w:val="ListParagraph"/>
        <w:numPr>
          <w:ilvl w:val="0"/>
          <w:numId w:val="2"/>
        </w:numPr>
        <w:spacing w:after="60"/>
      </w:pPr>
      <w:r>
        <w:rPr>
          <w:rFonts w:ascii="Inter" w:cs="Inter" w:eastAsia="Inter" w:hAnsi="Inter"/>
          <w:sz w:val="22"/>
          <w:szCs w:val="22"/>
        </w:rPr>
        <w:t xml:space="preserve">use the parent site’s typographic style (“what. we. do.” with periods between words) for section headings or feature callouts on creaseworks. this creates a visual signature that connects both properties.</w:t>
      </w:r>
    </w:p>
    <w:p>
      <w:pPr>
        <w:pStyle w:val="ListParagraph"/>
        <w:numPr>
          <w:ilvl w:val="0"/>
          <w:numId w:val="2"/>
        </w:numPr>
        <w:spacing w:after="60"/>
      </w:pPr>
      <w:r>
        <w:rPr>
          <w:rFonts w:ascii="Inter" w:cs="Inter" w:eastAsia="Inter" w:hAnsi="Inter"/>
          <w:sz w:val="22"/>
          <w:szCs w:val="22"/>
        </w:rPr>
        <w:t xml:space="preserve">consider a shared “brand moment” on creaseworks: a section with a full cadet background (matching the parent site) for key ctas or the “let’s play.” tagline.</w:t>
      </w:r>
    </w:p>
    <w:p>
      <w:pPr>
        <w:pStyle w:val="ListParagraph"/>
        <w:numPr>
          <w:ilvl w:val="0"/>
          <w:numId w:val="2"/>
        </w:numPr>
        <w:spacing w:after="60"/>
      </w:pPr>
      <w:r>
        <w:rPr>
          <w:rFonts w:ascii="Inter" w:cs="Inter" w:eastAsia="Inter" w:hAnsi="Inter"/>
          <w:sz w:val="22"/>
          <w:szCs w:val="22"/>
        </w:rPr>
        <w:t xml:space="preserve">ensure the favicon, og:image, and social previews share visual dna across both properties.</w:t>
      </w:r>
    </w:p>
    <w:p>
      <w:pPr>
        <w:pStyle w:val="Heading2"/>
      </w:pPr>
      <w:r>
        <w:t xml:space="preserve">4.6 typography scale alignment</w:t>
      </w:r>
    </w:p>
    <w:p>
      <w:pPr>
        <w:spacing w:after="120"/>
      </w:pPr>
      <w:r>
        <w:rPr>
          <w:rFonts w:ascii="Inter" w:cs="Inter" w:eastAsia="Inter" w:hAnsi="Inter"/>
          <w:sz w:val="22"/>
          <w:szCs w:val="22"/>
        </w:rPr>
        <w:t xml:space="preserve">the brand guidelines are specific about sizing hierarchy. the current scale is close but not precisely following the 50% rule.</w:t>
      </w:r>
    </w:p>
    <w:p>
      <w:pPr>
        <w:pStyle w:val="ListParagraph"/>
        <w:numPr>
          <w:ilvl w:val="0"/>
          <w:numId w:val="2"/>
        </w:numPr>
        <w:spacing w:after="60"/>
      </w:pPr>
      <w:r>
        <w:rPr>
          <w:rFonts w:ascii="Inter" w:cs="Inter" w:eastAsia="Inter" w:hAnsi="Inter"/>
          <w:sz w:val="22"/>
          <w:szCs w:val="22"/>
        </w:rPr>
        <w:t xml:space="preserve">proposed scale (in px): page title 32, section heading 18, sub-heading 14, body 11, caption/label 10.</w:t>
      </w:r>
    </w:p>
    <w:p>
      <w:pPr>
        <w:pStyle w:val="ListParagraph"/>
        <w:numPr>
          <w:ilvl w:val="0"/>
          <w:numId w:val="2"/>
        </w:numPr>
        <w:spacing w:after="60"/>
      </w:pPr>
      <w:r>
        <w:rPr>
          <w:rFonts w:ascii="Inter" w:cs="Inter" w:eastAsia="Inter" w:hAnsi="Inter"/>
          <w:sz w:val="22"/>
          <w:szCs w:val="22"/>
        </w:rPr>
        <w:t xml:space="preserve">in half-points (docx-js units / tailwind config): 64, 36, 28, 22, 20.</w:t>
      </w:r>
    </w:p>
    <w:p>
      <w:pPr>
        <w:pStyle w:val="ListParagraph"/>
        <w:numPr>
          <w:ilvl w:val="0"/>
          <w:numId w:val="2"/>
        </w:numPr>
        <w:spacing w:after="60"/>
      </w:pPr>
      <w:r>
        <w:rPr>
          <w:rFonts w:ascii="Inter" w:cs="Inter" w:eastAsia="Inter" w:hAnsi="Inter"/>
          <w:sz w:val="22"/>
          <w:szCs w:val="22"/>
        </w:rPr>
        <w:t xml:space="preserve">this approximates the 50% descent rule: 18 is ~56% of 32, 14 is ~78% of 18 (slightly over), 11 is ~79% of 14 (slightly over). a stricter interpretation would be 32 → 16 → 8, but that makes body text too small for screens.</w:t>
      </w:r>
    </w:p>
    <w:p>
      <w:pPr>
        <w:pStyle w:val="ListParagraph"/>
        <w:numPr>
          <w:ilvl w:val="0"/>
          <w:numId w:val="2"/>
        </w:numPr>
        <w:spacing w:after="60"/>
      </w:pPr>
      <w:r>
        <w:rPr>
          <w:rFonts w:ascii="Inter" w:cs="Inter" w:eastAsia="Inter" w:hAnsi="Inter"/>
          <w:sz w:val="22"/>
          <w:szCs w:val="22"/>
        </w:rPr>
        <w:t xml:space="preserve">the key takeaway: make h1 and h2 more differentiated. currently h1 is 18pt and h2 is 14pt (in the css), which is close enough to feel ambiguous.</w:t>
      </w:r>
    </w:p>
    <w:p>
      <w:pPr>
        <w:pBdr>
          <w:bottom w:val="single" w:color="FFEBD2" w:sz="4" w:space="1"/>
        </w:pBdr>
        <w:spacing w:after="200" w:before="200"/>
      </w:pPr>
    </w:p>
    <w:p>
      <w:pPr>
        <w:pStyle w:val="Heading1"/>
      </w:pPr>
      <w:r>
        <w:t xml:space="preserve">5. prioritised action plan</w:t>
      </w:r>
    </w:p>
    <w:p>
      <w:pPr>
        <w:spacing w:after="120"/>
      </w:pPr>
      <w:r>
        <w:rPr>
          <w:rFonts w:ascii="Inter" w:cs="Inter" w:eastAsia="Inter" w:hAnsi="Inter"/>
          <w:sz w:val="22"/>
          <w:szCs w:val="22"/>
        </w:rPr>
        <w:t xml:space="preserve">grouped by effort and impact for practical implementation.</w:t>
      </w:r>
    </w:p>
    <w:p>
      <w:pPr>
        <w:pStyle w:val="Heading2"/>
      </w:pPr>
      <w:r>
        <w:t xml:space="preserve">quick wins (under 2 hours each)</w:t>
      </w:r>
    </w:p>
    <w:p>
      <w:pPr>
        <w:pStyle w:val="ListParagraph"/>
        <w:numPr>
          <w:ilvl w:val="0"/>
          <w:numId w:val="2"/>
        </w:numPr>
        <w:spacing w:after="60"/>
      </w:pPr>
      <w:r>
        <w:rPr>
          <w:rFonts w:ascii="Inter" w:cs="Inter" w:eastAsia="Inter" w:hAnsi="Inter"/>
          <w:sz w:val="22"/>
          <w:szCs w:val="22"/>
        </w:rPr>
        <w:t xml:space="preserve">fix all case inconsistencies: profile labels, badge titles, gallery/community descriptions.</w:t>
      </w:r>
    </w:p>
    <w:p>
      <w:pPr>
        <w:pStyle w:val="ListParagraph"/>
        <w:numPr>
          <w:ilvl w:val="0"/>
          <w:numId w:val="2"/>
        </w:numPr>
        <w:spacing w:after="60"/>
      </w:pPr>
      <w:r>
        <w:rPr>
          <w:rFonts w:ascii="Inter" w:cs="Inter" w:eastAsia="Inter" w:hAnsi="Inter"/>
          <w:sz w:val="22"/>
          <w:szCs w:val="22"/>
        </w:rPr>
        <w:t xml:space="preserve">replace the “DRAFT” badge colour with sienna.</w:t>
      </w:r>
    </w:p>
    <w:p>
      <w:pPr>
        <w:pStyle w:val="ListParagraph"/>
        <w:numPr>
          <w:ilvl w:val="0"/>
          <w:numId w:val="2"/>
        </w:numPr>
        <w:spacing w:after="60"/>
      </w:pPr>
      <w:r>
        <w:rPr>
          <w:rFonts w:ascii="Inter" w:cs="Inter" w:eastAsia="Inter" w:hAnsi="Inter"/>
          <w:sz w:val="22"/>
          <w:szCs w:val="22"/>
        </w:rPr>
        <w:t xml:space="preserve">add “let’s play.” to the footer.</w:t>
      </w:r>
    </w:p>
    <w:p>
      <w:pPr>
        <w:pStyle w:val="ListParagraph"/>
        <w:numPr>
          <w:ilvl w:val="0"/>
          <w:numId w:val="2"/>
        </w:numPr>
        <w:spacing w:after="60"/>
      </w:pPr>
      <w:r>
        <w:rPr>
          <w:rFonts w:ascii="Inter" w:cs="Inter" w:eastAsia="Inter" w:hAnsi="Inter"/>
          <w:sz w:val="22"/>
          <w:szCs w:val="22"/>
        </w:rPr>
        <w:t xml:space="preserve">increase mobile bottom tab bar label size to 10–11px.</w:t>
      </w:r>
    </w:p>
    <w:p>
      <w:pPr>
        <w:pStyle w:val="Heading2"/>
      </w:pPr>
      <w:r>
        <w:t xml:space="preserve">medium effort (half-day each)</w:t>
      </w:r>
    </w:p>
    <w:p>
      <w:pPr>
        <w:pStyle w:val="ListParagraph"/>
        <w:numPr>
          <w:ilvl w:val="0"/>
          <w:numId w:val="2"/>
        </w:numPr>
        <w:spacing w:after="60"/>
      </w:pPr>
      <w:r>
        <w:rPr>
          <w:rFonts w:ascii="Inter" w:cs="Inter" w:eastAsia="Inter" w:hAnsi="Inter"/>
          <w:sz w:val="22"/>
          <w:szCs w:val="22"/>
        </w:rPr>
        <w:t xml:space="preserve">redesign empty states with brand-aligned micro-copy and simple svg illustrations.</w:t>
      </w:r>
    </w:p>
    <w:p>
      <w:pPr>
        <w:pStyle w:val="ListParagraph"/>
        <w:numPr>
          <w:ilvl w:val="0"/>
          <w:numId w:val="2"/>
        </w:numPr>
        <w:spacing w:after="60"/>
      </w:pPr>
      <w:r>
        <w:rPr>
          <w:rFonts w:ascii="Inter" w:cs="Inter" w:eastAsia="Inter" w:hAnsi="Inter"/>
          <w:sz w:val="22"/>
          <w:szCs w:val="22"/>
        </w:rPr>
        <w:t xml:space="preserve">add staggered entry animations to card grids (sampler, playbook, packs).</w:t>
      </w:r>
    </w:p>
    <w:p>
      <w:pPr>
        <w:pStyle w:val="ListParagraph"/>
        <w:numPr>
          <w:ilvl w:val="0"/>
          <w:numId w:val="2"/>
        </w:numPr>
        <w:spacing w:after="60"/>
      </w:pPr>
      <w:r>
        <w:rPr>
          <w:rFonts w:ascii="Inter" w:cs="Inter" w:eastAsia="Inter" w:hAnsi="Inter"/>
          <w:sz w:val="22"/>
          <w:szCs w:val="22"/>
        </w:rPr>
        <w:t xml:space="preserve">enhance hover/interaction states on playdate cards and pack cards.</w:t>
      </w:r>
    </w:p>
    <w:p>
      <w:pPr>
        <w:pStyle w:val="ListParagraph"/>
        <w:numPr>
          <w:ilvl w:val="0"/>
          <w:numId w:val="2"/>
        </w:numPr>
        <w:spacing w:after="60"/>
      </w:pPr>
      <w:r>
        <w:rPr>
          <w:rFonts w:ascii="Inter" w:cs="Inter" w:eastAsia="Inter" w:hAnsi="Inter"/>
          <w:sz w:val="22"/>
          <w:szCs w:val="22"/>
        </w:rPr>
        <w:t xml:space="preserve">add visual differentiation to pack cards (colour accent, icon, or preview thumbnails).</w:t>
      </w:r>
    </w:p>
    <w:p>
      <w:pPr>
        <w:pStyle w:val="Heading2"/>
      </w:pPr>
      <w:r>
        <w:t xml:space="preserve">larger initiatives (1–2 days each)</w:t>
      </w:r>
    </w:p>
    <w:p>
      <w:pPr>
        <w:pStyle w:val="ListParagraph"/>
        <w:numPr>
          <w:ilvl w:val="0"/>
          <w:numId w:val="2"/>
        </w:numPr>
        <w:spacing w:after="60"/>
      </w:pPr>
      <w:r>
        <w:rPr>
          <w:rFonts w:ascii="Inter" w:cs="Inter" w:eastAsia="Inter" w:hAnsi="Inter"/>
          <w:sz w:val="22"/>
          <w:szCs w:val="22"/>
        </w:rPr>
        <w:t xml:space="preserve">audit and update the full typography scale to match brand guidelines.</w:t>
      </w:r>
    </w:p>
    <w:p>
      <w:pPr>
        <w:pStyle w:val="ListParagraph"/>
        <w:numPr>
          <w:ilvl w:val="0"/>
          <w:numId w:val="2"/>
        </w:numPr>
        <w:spacing w:after="60"/>
      </w:pPr>
      <w:r>
        <w:rPr>
          <w:rFonts w:ascii="Inter" w:cs="Inter" w:eastAsia="Inter" w:hAnsi="Inter"/>
          <w:sz w:val="22"/>
          <w:szCs w:val="22"/>
        </w:rPr>
        <w:t xml:space="preserve">create a “brand moment” section on creaseworks (cadet background area) to bridge with the parent site.</w:t>
      </w:r>
    </w:p>
    <w:p>
      <w:pPr>
        <w:pStyle w:val="ListParagraph"/>
        <w:numPr>
          <w:ilvl w:val="0"/>
          <w:numId w:val="2"/>
        </w:numPr>
        <w:spacing w:after="60"/>
      </w:pPr>
      <w:r>
        <w:rPr>
          <w:rFonts w:ascii="Inter" w:cs="Inter" w:eastAsia="Inter" w:hAnsi="Inter"/>
          <w:sz w:val="22"/>
          <w:szCs w:val="22"/>
        </w:rPr>
        <w:t xml:space="preserve">design a quick-log success animation that feels celebratory.</w:t>
      </w:r>
    </w:p>
    <w:p>
      <w:pPr>
        <w:pStyle w:val="ListParagraph"/>
        <w:numPr>
          <w:ilvl w:val="0"/>
          <w:numId w:val="2"/>
        </w:numPr>
        <w:spacing w:after="60"/>
      </w:pPr>
      <w:r>
        <w:rPr>
          <w:rFonts w:ascii="Inter" w:cs="Inter" w:eastAsia="Inter" w:hAnsi="Inter"/>
          <w:sz w:val="22"/>
          <w:szCs w:val="22"/>
        </w:rPr>
        <w:t xml:space="preserve">build a set of reusable brand illustrations (empty states, onboarding, error pages).</w:t>
      </w:r>
    </w:p>
    <w:p>
      <w:pPr>
        <w:pBdr>
          <w:bottom w:val="single" w:color="FFEBD2" w:sz="4" w:space="1"/>
        </w:pBdr>
        <w:spacing w:after="200" w:before="200"/>
      </w:pPr>
    </w:p>
    <w:p>
      <w:pPr>
        <w:pStyle w:val="Heading1"/>
      </w:pPr>
      <w:r>
        <w:t xml:space="preserve">6. code architecture notes</w:t>
      </w:r>
    </w:p>
    <w:p>
      <w:pPr>
        <w:spacing w:after="120"/>
      </w:pPr>
      <w:r>
        <w:rPr>
          <w:rFonts w:ascii="Inter" w:cs="Inter" w:eastAsia="Inter" w:hAnsi="Inter"/>
          <w:sz w:val="22"/>
          <w:szCs w:val="22"/>
        </w:rPr>
        <w:t xml:space="preserve">observations from the codebase review that affect implementation.</w:t>
      </w:r>
    </w:p>
    <w:p>
      <w:pPr>
        <w:pStyle w:val="Heading2"/>
      </w:pPr>
      <w:r>
        <w:t xml:space="preserve">token system is the right foundation</w:t>
      </w:r>
    </w:p>
    <w:p>
      <w:pPr>
        <w:spacing w:after="120"/>
      </w:pPr>
      <w:r>
        <w:rPr>
          <w:rFonts w:ascii="Inter" w:cs="Inter" w:eastAsia="Inter" w:hAnsi="Inter"/>
          <w:sz w:val="22"/>
          <w:szCs w:val="22"/>
        </w:rPr>
        <w:t xml:space="preserve">all visual changes should flow through the @windedvertigo/tokens package. the existing css custom properties (--wv-cadet, --wv-sienna, etc.) and the tailwind @theme inline block make it straightforward to add new semantic tokens (e.g. --wv-accent-success for the quick-log animation colour, --wv-bg-hero for the cadet brand moment section).</w:t>
      </w:r>
    </w:p>
    <w:p>
      <w:pPr>
        <w:pStyle w:val="Heading2"/>
      </w:pPr>
      <w:r>
        <w:t xml:space="preserve">playdate-card.tsx is well-abstracted</w:t>
      </w:r>
    </w:p>
    <w:p>
      <w:pPr>
        <w:spacing w:after="120"/>
      </w:pPr>
      <w:r>
        <w:rPr>
          <w:rFonts w:ascii="Inter" w:cs="Inter" w:eastAsia="Inter" w:hAnsi="Inter"/>
          <w:sz w:val="22"/>
          <w:szCs w:val="22"/>
        </w:rPr>
        <w:t xml:space="preserve">the card component accepts comprehensive props and maps them to visual states cleanly. any new features (entry animations, enhanced hover) can be added without restructuring. consider extracting the colour-mapping constants (ARC_COLOURS, TIER_BADGE, TINKERING_TIERS) into a shared constants file so other components can reuse them.</w:t>
      </w:r>
    </w:p>
    <w:p>
      <w:pPr>
        <w:pStyle w:val="Heading2"/>
      </w:pPr>
      <w:r>
        <w:t xml:space="preserve">nav-bar.tsx could benefit from extraction</w:t>
      </w:r>
    </w:p>
    <w:p>
      <w:pPr>
        <w:spacing w:after="120"/>
      </w:pPr>
      <w:r>
        <w:rPr>
          <w:rFonts w:ascii="Inter" w:cs="Inter" w:eastAsia="Inter" w:hAnsi="Inter"/>
          <w:sz w:val="22"/>
          <w:szCs w:val="22"/>
        </w:rPr>
        <w:t xml:space="preserve">at 333 lines, the nav bar includes 9 inline svg icon definitions, a section colour map, and both desktop and mobile layouts. consider extracting the icon svgs into a nav-icons.tsx file and the colour map into the shared constants file. this would make the nav bar easier to maintain and allow icons to be reused elsewhere (e.g. in empty states or onboarding).</w:t>
      </w:r>
    </w:p>
    <w:p>
      <w:pPr>
        <w:pStyle w:val="Heading2"/>
      </w:pPr>
      <w:r>
        <w:t xml:space="preserve">css lowercase rule has a gap</w:t>
      </w:r>
    </w:p>
    <w:p>
      <w:pPr>
        <w:spacing w:after="120"/>
      </w:pPr>
      <w:r>
        <w:rPr>
          <w:rFonts w:ascii="Inter" w:cs="Inter" w:eastAsia="Inter" w:hAnsi="Inter"/>
          <w:sz w:val="22"/>
          <w:szCs w:val="22"/>
        </w:rPr>
        <w:t xml:space="preserve">the global text-transform: lowercase targets h1–h6, button, a, label, th, nav. this misses p, span, and div elements that contain dynamically rendered content (stat labels, badge names, tier titles). rather than extending the css rule to all text (which would affect user-generated content), add a utility class like .wv-lowercase that can be applied to specific containers.</w:t>
      </w:r>
    </w:p>
    <w:p>
      <w:pPr>
        <w:pBdr>
          <w:bottom w:val="single" w:color="FFEBD2" w:sz="4" w:space="1"/>
        </w:pBdr>
        <w:spacing w:after="200" w:before="200"/>
      </w:pPr>
    </w:p>
    <w:p>
      <w:pPr>
        <w:pStyle w:val="Heading1"/>
      </w:pPr>
      <w:r>
        <w:t xml:space="preserve">7. conclusion</w:t>
      </w:r>
    </w:p>
    <w:p>
      <w:pPr>
        <w:spacing w:after="120"/>
      </w:pPr>
      <w:r>
        <w:rPr>
          <w:rFonts w:ascii="Inter" w:cs="Inter" w:eastAsia="Inter" w:hAnsi="Inter"/>
          <w:sz w:val="22"/>
          <w:szCs w:val="22"/>
        </w:rPr>
        <w:t xml:space="preserve">creaseworks is well-built and already more brand-aligned than most early-stage products. the shared token architecture, consistent colour usage, and accessibility foundations are genuinely impressive.</w:t>
      </w:r>
    </w:p>
    <w:p>
      <w:pPr>
        <w:spacing w:after="120"/>
      </w:pPr>
      <w:r>
        <w:rPr>
          <w:rFonts w:ascii="Inter" w:cs="Inter" w:eastAsia="Inter" w:hAnsi="Inter"/>
          <w:sz w:val="22"/>
          <w:szCs w:val="22"/>
        </w:rPr>
        <w:t xml:space="preserve">the biggest opportunity is in the “feel” of the product. the brand guidelines describe three verbal identity pillars: playful, human, and dynamic. the current ui is human (warm colours, friendly copy) and partially dynamic (responsive, well-structured), but it’s not yet playful enough. playfulness lives in the details: the way a card responds to a hover, the way an empty state encourages you, the way a success moment makes you smile.</w:t>
      </w:r>
    </w:p>
    <w:p>
      <w:pPr>
        <w:spacing w:after="120"/>
      </w:pPr>
      <w:r>
        <w:rPr>
          <w:rFonts w:ascii="Inter" w:cs="Inter" w:eastAsia="Inter" w:hAnsi="Inter"/>
          <w:sz w:val="22"/>
          <w:szCs w:val="22"/>
        </w:rPr>
        <w:t xml:space="preserve">the quick wins (case fixes, badge colours, footer tagline) can be shipped today. the medium efforts (empty states, animations, pack cards) can be done in a focused sprint. the larger initiatives (typography audit, brand moments, illustration system) are worth investing in as creaseworks grows.</w:t>
      </w:r>
    </w:p>
    <w:p>
      <w:pPr>
        <w:spacing w:after="120"/>
      </w:pPr>
      <w:r>
        <w:rPr>
          <w:rFonts w:ascii="Inter" w:cs="Inter" w:eastAsia="Inter" w:hAnsi="Inter"/>
          <w:sz w:val="22"/>
          <w:szCs w:val="22"/>
        </w:rPr>
        <w:t xml:space="preserve">the goal isn’t perfection — it’s </w:t>
      </w:r>
      <w:r>
        <w:rPr>
          <w:rFonts w:ascii="Inter" w:cs="Inter" w:eastAsia="Inter" w:hAnsi="Inter"/>
          <w:b/>
          <w:bCs/>
          <w:color w:val="CB7858"/>
          <w:sz w:val="22"/>
          <w:szCs w:val="22"/>
        </w:rPr>
        <w:t xml:space="preserve">playfulness with intention</w:t>
      </w:r>
      <w:r>
        <w:rPr>
          <w:rFonts w:ascii="Inter" w:cs="Inter" w:eastAsia="Inter" w:hAnsi="Inter"/>
          <w:sz w:val="22"/>
          <w:szCs w:val="22"/>
        </w:rPr>
        <w:t xml:space="preserve">. let’s play.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99999"/>
        <w:sz w:val="16"/>
        <w:szCs w:val="16"/>
      </w:rPr>
      <w:t xml:space="preserve">page </w:t>
    </w:r>
    <w:r>
      <w:rPr>
        <w:rFonts w:ascii="Inter" w:cs="Inter" w:eastAsia="Inter" w:hAnsi="Inte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Inter" w:cs="Inter" w:eastAsia="Inter" w:hAnsi="Inter"/>
        <w:color w:val="999999"/>
        <w:sz w:val="16"/>
        <w:szCs w:val="16"/>
      </w:rPr>
      <w:t xml:space="preserve">creaseworks ui/ux critique</w:t>
    </w:r>
    <w:r>
      <w:rPr>
        <w:rFonts w:ascii="Inter" w:cs="Inter" w:eastAsia="Inter" w:hAnsi="Inter"/>
        <w:color w:val="999999"/>
        <w:sz w:val="16"/>
        <w:szCs w:val="16"/>
      </w:rPr>
      <w:t xml:space="preserve">		winded.vertigo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732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273248"/>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CB7858"/>
      <w:sz w:val="28"/>
      <w:szCs w:val="28"/>
    </w:rPr>
  </w:style>
  <w:style w:type="paragraph" w:styleId="Heading3">
    <w:name w:val="Heading 3"/>
    <w:basedOn w:val="Normal"/>
    <w:next w:val="Normal"/>
    <w:qFormat/>
    <w:pPr>
      <w:spacing w:after="120" w:before="200"/>
      <w:outlineLvl w:val="2"/>
    </w:pPr>
    <w:rPr>
      <w:rFonts w:ascii="Inter" w:cs="Inter" w:eastAsia="Inter" w:hAnsi="Inter"/>
      <w:b/>
      <w:bCs/>
      <w:color w:val="B150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2026-02-27T16:39:33.558Z</dcterms:created>
  <dcterms:modified xsi:type="dcterms:W3CDTF">2026-02-27T16:39:33.558Z</dcterms:modified>
</cp:coreProperties>
</file>

<file path=docProps/custom.xml><?xml version="1.0" encoding="utf-8"?>
<Properties xmlns="http://schemas.openxmlformats.org/officeDocument/2006/custom-properties" xmlns:vt="http://schemas.openxmlformats.org/officeDocument/2006/docPropsVTypes"/>
</file>