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600"/>
      </w:pPr>
    </w:p>
    <w:p>
      <w:pPr>
        <w:spacing w:after="80"/>
        <w:jc w:val="center"/>
      </w:pPr>
      <w:r>
        <w:rPr>
          <w:rFonts w:ascii="Arial" w:cs="Arial" w:eastAsia="Arial" w:hAnsi="Arial"/>
          <w:b/>
          <w:bCs/>
          <w:caps/>
          <w:color w:val="C4962C"/>
          <w:spacing w:val="200"/>
          <w:sz w:val="20"/>
          <w:szCs w:val="20"/>
        </w:rPr>
        <w:t xml:space="preserve">PROJECT VALUATION &amp; PRICING ESTIMATE</w:t>
      </w:r>
    </w:p>
    <w:p>
      <w:pPr>
        <w:spacing w:after="80"/>
      </w:pPr>
    </w:p>
    <w:p>
      <w:pPr>
        <w:spacing w:after="200"/>
        <w:jc w:val="center"/>
      </w:pPr>
      <w:r>
        <w:rPr>
          <w:rFonts w:ascii="Arial" w:cs="Arial" w:eastAsia="Arial" w:hAnsi="Arial"/>
          <w:b/>
          <w:bCs/>
          <w:color w:val="024A87"/>
          <w:sz w:val="56"/>
          <w:szCs w:val="56"/>
        </w:rPr>
        <w:t xml:space="preserve">SQR-RCT Platform</w:t>
      </w:r>
    </w:p>
    <w:p>
      <w:pPr>
        <w:spacing w:after="120"/>
        <w:jc w:val="center"/>
      </w:pPr>
      <w:r>
        <w:rPr>
          <w:rFonts w:ascii="Arial" w:cs="Arial" w:eastAsia="Arial" w:hAnsi="Arial"/>
          <w:color w:val="666666"/>
          <w:sz w:val="24"/>
          <w:szCs w:val="24"/>
        </w:rPr>
        <w:t xml:space="preserve">Systematic Quality Review of Randomized Controlled Trials</w:t>
      </w:r>
    </w:p>
    <w:p>
      <w:pPr>
        <w:spacing w:after="200"/>
      </w:pPr>
    </w:p>
    <w:p>
      <w:pPr>
        <w:jc w:val="center"/>
      </w:pPr>
      <w:r>
        <w:rPr>
          <w:rFonts w:ascii="Arial" w:cs="Arial" w:eastAsia="Arial" w:hAnsi="Arial"/>
          <w:color w:val="1A1A1A"/>
          <w:sz w:val="24"/>
          <w:szCs w:val="24"/>
        </w:rPr>
        <w:t xml:space="preserve">Prepared for Nordic Naturals</w:t>
      </w:r>
    </w:p>
    <w:p>
      <w:pPr>
        <w:spacing w:after="80"/>
        <w:jc w:val="center"/>
      </w:pPr>
      <w:r>
        <w:rPr>
          <w:rFonts w:ascii="Arial" w:cs="Arial" w:eastAsia="Arial" w:hAnsi="Arial"/>
          <w:color w:val="666666"/>
          <w:sz w:val="22"/>
          <w:szCs w:val="22"/>
        </w:rPr>
        <w:t xml:space="preserve">Prepared by Garrett Jaeger  |  winded.vertigo</w:t>
      </w:r>
    </w:p>
    <w:p>
      <w:pPr>
        <w:jc w:val="center"/>
      </w:pPr>
      <w:r>
        <w:rPr>
          <w:rFonts w:ascii="Arial" w:cs="Arial" w:eastAsia="Arial" w:hAnsi="Arial"/>
          <w:color w:val="666666"/>
          <w:sz w:val="22"/>
          <w:szCs w:val="22"/>
        </w:rPr>
        <w:t xml:space="preserve">February 2026</w:t>
      </w:r>
    </w:p>
    <w:p>
      <w:pPr>
        <w:spacing w:after="600"/>
      </w:pPr>
    </w:p>
    <w:p>
      <w:pPr>
        <w:spacing w:after="600"/>
      </w:pPr>
    </w:p>
    <w:p>
      <w:pPr>
        <w:jc w:val="center"/>
      </w:pPr>
      <w:r>
        <w:rPr>
          <w:rFonts w:ascii="Arial" w:cs="Arial" w:eastAsia="Arial" w:hAnsi="Arial"/>
          <w:b/>
          <w:bCs/>
          <w:caps/>
          <w:color w:val="C4962C"/>
          <w:spacing w:val="3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24A87"/>
          <w:sz w:val="36"/>
          <w:szCs w:val="36"/>
        </w:rPr>
        <w:t xml:space="preserve">Executive Summary</w:t>
      </w:r>
    </w:p>
    <w:p>
      <w:pPr>
        <w:spacing w:after="160" w:line="276"/>
      </w:pPr>
      <w:r>
        <w:rPr>
          <w:rFonts w:ascii="Arial" w:cs="Arial" w:eastAsia="Arial" w:hAnsi="Arial"/>
          <w:color w:val="1A1A1A"/>
          <w:sz w:val="22"/>
          <w:szCs w:val="22"/>
        </w:rPr>
        <w:t xml:space="preserve">The SQR-RCT Platform is a custom-built, production-grade web application designed for Nordic Naturals to systematically evaluate the quality of published randomized controlled trials (RCTs) in nutritional science. It is currently live, deployed, and in active use with real reviewers and data.</w:t>
      </w:r>
    </w:p>
    <w:p>
      <w:pPr>
        <w:spacing w:after="160" w:line="276"/>
      </w:pPr>
      <w:r>
        <w:rPr>
          <w:rFonts w:ascii="Arial" w:cs="Arial" w:eastAsia="Arial" w:hAnsi="Arial"/>
          <w:color w:val="1A1A1A"/>
          <w:sz w:val="22"/>
          <w:szCs w:val="22"/>
        </w:rPr>
        <w:t xml:space="preserve">This document provides a comprehensive valuation of the work delivered, encompassing research and development, methodology design, software engineering, stakeholder coordination, and strategic infrastructure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4A87" w:sz="3"/>
              <w:left w:val="single" w:color="024A87" w:sz="3"/>
              <w:bottom w:val="none" w:color="FFFFFF" w:sz="0"/>
              <w:right w:val="none" w:color="FFFFFF" w:sz="0"/>
            </w:tcBorders>
            <w:shd w:fill="F5F8FA" w:val="clear"/>
            <w:tcMar>
              <w:top w:type="dxa" w:w="160"/>
              <w:left w:type="dxa" w:w="240"/>
              <w:bottom w:type="dxa" w:w="160"/>
              <w:right w:type="dxa" w:w="240"/>
            </w:tcMar>
          </w:tcPr>
          <w:p>
            <w:pPr>
              <w:spacing w:after="80"/>
            </w:pPr>
            <w:r>
              <w:rPr>
                <w:rFonts w:ascii="Arial" w:cs="Arial" w:eastAsia="Arial" w:hAnsi="Arial"/>
                <w:b/>
                <w:bCs/>
                <w:color w:val="024A87"/>
                <w:sz w:val="24"/>
                <w:szCs w:val="24"/>
              </w:rPr>
              <w:t xml:space="preserve">Recommended Project Valuation Range</w:t>
            </w:r>
          </w:p>
          <w:p>
            <w:pPr>
              <w:spacing w:after="40"/>
            </w:pPr>
            <w:r>
              <w:rPr>
                <w:rFonts w:ascii="Arial" w:cs="Arial" w:eastAsia="Arial" w:hAnsi="Arial"/>
                <w:b/>
                <w:bCs/>
                <w:color w:val="024A87"/>
                <w:sz w:val="44"/>
                <w:szCs w:val="44"/>
              </w:rPr>
              <w:t xml:space="preserve">$85,000 – $130,000</w:t>
            </w:r>
          </w:p>
          <w:p>
            <w:r>
              <w:rPr>
                <w:rFonts w:ascii="Arial" w:cs="Arial" w:eastAsia="Arial" w:hAnsi="Arial"/>
                <w:color w:val="666666"/>
                <w:sz w:val="20"/>
                <w:szCs w:val="20"/>
              </w:rPr>
              <w:t xml:space="preserve">Based on market benchmarks, scope of deliverables, domain expertise required, and value delivered. See detailed breakdown below.</w:t>
            </w:r>
          </w:p>
        </w:tc>
      </w:tr>
    </w:tbl>
    <w:p>
      <w:pPr>
        <w:spacing w:after="200"/>
      </w:pPr>
    </w:p>
    <w:p>
      <w:pPr>
        <w:pStyle w:val="Heading1"/>
        <w:spacing w:before="360" w:after="200"/>
      </w:pPr>
      <w:r>
        <w:rPr>
          <w:rFonts w:ascii="Arial" w:cs="Arial" w:eastAsia="Arial" w:hAnsi="Arial"/>
          <w:b/>
          <w:bCs/>
          <w:color w:val="024A87"/>
          <w:sz w:val="36"/>
          <w:szCs w:val="36"/>
        </w:rPr>
        <w:t xml:space="preserve">What Was Delivered</w:t>
      </w:r>
    </w:p>
    <w:p>
      <w:pPr>
        <w:spacing w:after="160" w:line="276"/>
      </w:pPr>
      <w:r>
        <w:rPr>
          <w:rFonts w:ascii="Arial" w:cs="Arial" w:eastAsia="Arial" w:hAnsi="Arial"/>
          <w:color w:val="1A1A1A"/>
          <w:sz w:val="22"/>
          <w:szCs w:val="22"/>
        </w:rPr>
        <w:t xml:space="preserve">This was not a simple website build. It was a multi-phase R&amp;D project requiring deep expertise across research methodology, software engineering, data architecture, and stakeholder management.</w:t>
      </w:r>
    </w:p>
    <w:p>
      <w:pPr>
        <w:pStyle w:val="Heading2"/>
        <w:spacing w:before="280" w:after="160"/>
      </w:pPr>
      <w:r>
        <w:rPr>
          <w:rFonts w:ascii="Arial" w:cs="Arial" w:eastAsia="Arial" w:hAnsi="Arial"/>
          <w:b/>
          <w:bCs/>
          <w:color w:val="024A87"/>
          <w:sz w:val="28"/>
          <w:szCs w:val="28"/>
        </w:rPr>
        <w:t xml:space="preserve">Phase 1: Research &amp; Discovery</w:t>
      </w:r>
    </w:p>
    <w:p>
      <w:pPr>
        <w:spacing w:after="160" w:line="276"/>
      </w:pPr>
      <w:r>
        <w:rPr>
          <w:rFonts w:ascii="Arial" w:cs="Arial" w:eastAsia="Arial" w:hAnsi="Arial"/>
          <w:color w:val="1A1A1A"/>
          <w:sz w:val="22"/>
          <w:szCs w:val="22"/>
        </w:rPr>
        <w:t xml:space="preserve">Before a single line of code was written for the final platform, weeks of exploratory R&amp;D were invested across multiple tools and approaches:</w:t>
      </w:r>
    </w:p>
    <w:p>
      <w:pPr>
        <w:pStyle w:val="ListParagraph"/>
        <w:numPr>
          <w:ilvl w:val="0"/>
          <w:numId w:val="2"/>
        </w:numPr>
        <w:spacing w:after="80" w:line="276"/>
      </w:pPr>
      <w:r>
        <w:rPr>
          <w:rFonts w:ascii="Arial" w:cs="Arial" w:eastAsia="Arial" w:hAnsi="Arial"/>
          <w:b/>
          <w:bCs/>
          <w:color w:val="1A1A1A"/>
          <w:sz w:val="22"/>
          <w:szCs w:val="22"/>
        </w:rPr>
        <w:t xml:space="preserve">Qualtrics exploration </w:t>
      </w:r>
      <w:r>
        <w:rPr>
          <w:rFonts w:ascii="Arial" w:cs="Arial" w:eastAsia="Arial" w:hAnsi="Arial"/>
          <w:color w:val="1A1A1A"/>
          <w:sz w:val="22"/>
          <w:szCs w:val="22"/>
        </w:rPr>
        <w:t xml:space="preserve">— initial prototyping of the review workflow and rubric</w:t>
      </w:r>
    </w:p>
    <w:p>
      <w:pPr>
        <w:pStyle w:val="ListParagraph"/>
        <w:numPr>
          <w:ilvl w:val="0"/>
          <w:numId w:val="2"/>
        </w:numPr>
        <w:spacing w:after="80" w:line="276"/>
      </w:pPr>
      <w:r>
        <w:rPr>
          <w:rFonts w:ascii="Arial" w:cs="Arial" w:eastAsia="Arial" w:hAnsi="Arial"/>
          <w:b/>
          <w:bCs/>
          <w:color w:val="1A1A1A"/>
          <w:sz w:val="22"/>
          <w:szCs w:val="22"/>
        </w:rPr>
        <w:t xml:space="preserve">Notion database architecture </w:t>
      </w:r>
      <w:r>
        <w:rPr>
          <w:rFonts w:ascii="Arial" w:cs="Arial" w:eastAsia="Arial" w:hAnsi="Arial"/>
          <w:color w:val="1A1A1A"/>
          <w:sz w:val="22"/>
          <w:szCs w:val="22"/>
        </w:rPr>
        <w:t xml:space="preserve">— designing relational data models for studies, reviewers, and scores</w:t>
      </w:r>
    </w:p>
    <w:p>
      <w:pPr>
        <w:pStyle w:val="ListParagraph"/>
        <w:numPr>
          <w:ilvl w:val="0"/>
          <w:numId w:val="2"/>
        </w:numPr>
        <w:spacing w:after="80" w:line="276"/>
      </w:pPr>
      <w:r>
        <w:rPr>
          <w:rFonts w:ascii="Arial" w:cs="Arial" w:eastAsia="Arial" w:hAnsi="Arial"/>
          <w:b/>
          <w:bCs/>
          <w:color w:val="1A1A1A"/>
          <w:sz w:val="22"/>
          <w:szCs w:val="22"/>
        </w:rPr>
        <w:t xml:space="preserve">Fillout front-end + Zite dashboards </w:t>
      </w:r>
      <w:r>
        <w:rPr>
          <w:rFonts w:ascii="Arial" w:cs="Arial" w:eastAsia="Arial" w:hAnsi="Arial"/>
          <w:color w:val="1A1A1A"/>
          <w:sz w:val="22"/>
          <w:szCs w:val="22"/>
        </w:rPr>
        <w:t xml:space="preserve">— testing no-code form and dashboard solutions</w:t>
      </w:r>
    </w:p>
    <w:p>
      <w:pPr>
        <w:pStyle w:val="ListParagraph"/>
        <w:numPr>
          <w:ilvl w:val="0"/>
          <w:numId w:val="2"/>
        </w:numPr>
        <w:spacing w:after="160" w:line="276"/>
      </w:pPr>
      <w:r>
        <w:rPr>
          <w:rFonts w:ascii="Arial" w:cs="Arial" w:eastAsia="Arial" w:hAnsi="Arial"/>
          <w:b/>
          <w:bCs/>
          <w:color w:val="1A1A1A"/>
          <w:sz w:val="22"/>
          <w:szCs w:val="22"/>
        </w:rPr>
        <w:t xml:space="preserve">Strategic pivot to custom code </w:t>
      </w:r>
      <w:r>
        <w:rPr>
          <w:rFonts w:ascii="Arial" w:cs="Arial" w:eastAsia="Arial" w:hAnsi="Arial"/>
          <w:color w:val="1A1A1A"/>
          <w:sz w:val="22"/>
          <w:szCs w:val="22"/>
        </w:rPr>
        <w:t xml:space="preserve">— the decision to eliminate SaaS dependencies and build from scratch on Vercel, saving Nordic Naturals ongoing subscription costs and ensuring full data ownership</w:t>
      </w:r>
    </w:p>
    <w:p>
      <w:pPr>
        <w:spacing w:after="160" w:line="276"/>
      </w:pPr>
      <w:r>
        <w:rPr>
          <w:rFonts w:ascii="Arial" w:cs="Arial" w:eastAsia="Arial" w:hAnsi="Arial"/>
          <w:color w:val="1A1A1A"/>
          <w:sz w:val="22"/>
          <w:szCs w:val="22"/>
        </w:rPr>
        <w:t xml:space="preserve">This iterative process is invisible in the final deliverable but represents significant professional time and expertise.</w:t>
      </w:r>
    </w:p>
    <w:p>
      <w:pPr>
        <w:pStyle w:val="Heading2"/>
        <w:spacing w:before="280" w:after="160"/>
      </w:pPr>
      <w:r>
        <w:rPr>
          <w:rFonts w:ascii="Arial" w:cs="Arial" w:eastAsia="Arial" w:hAnsi="Arial"/>
          <w:b/>
          <w:bCs/>
          <w:color w:val="024A87"/>
          <w:sz w:val="28"/>
          <w:szCs w:val="28"/>
        </w:rPr>
        <w:t xml:space="preserve">Phase 2: Methodology Design</w:t>
      </w:r>
    </w:p>
    <w:p>
      <w:pPr>
        <w:spacing w:after="160" w:line="276"/>
      </w:pPr>
      <w:r>
        <w:rPr>
          <w:rFonts w:ascii="Arial" w:cs="Arial" w:eastAsia="Arial" w:hAnsi="Arial"/>
          <w:color w:val="1A1A1A"/>
          <w:sz w:val="22"/>
          <w:szCs w:val="22"/>
        </w:rPr>
        <w:t xml:space="preserve">The platform’s scientific rigor required PhD-level understanding of research methods. The following were designed from scratch:</w:t>
      </w:r>
    </w:p>
    <w:p>
      <w:pPr>
        <w:pStyle w:val="ListParagraph"/>
        <w:numPr>
          <w:ilvl w:val="0"/>
          <w:numId w:val="2"/>
        </w:numPr>
        <w:spacing w:after="80" w:line="276"/>
      </w:pPr>
      <w:r>
        <w:rPr>
          <w:rFonts w:ascii="Arial" w:cs="Arial" w:eastAsia="Arial" w:hAnsi="Arial"/>
          <w:b/>
          <w:bCs/>
          <w:color w:val="1A1A1A"/>
          <w:sz w:val="22"/>
          <w:szCs w:val="22"/>
        </w:rPr>
        <w:t xml:space="preserve">11-question RCT quality rubric </w:t>
      </w:r>
      <w:r>
        <w:rPr>
          <w:rFonts w:ascii="Arial" w:cs="Arial" w:eastAsia="Arial" w:hAnsi="Arial"/>
          <w:color w:val="1A1A1A"/>
          <w:sz w:val="22"/>
          <w:szCs w:val="22"/>
        </w:rPr>
        <w:t xml:space="preserve">covering PICO framework, randomization, blinding, sample size, baseline comparability, attrition, intervention description, outcome measurement, statistical analysis, bias assessment, and external validity</w:t>
      </w:r>
    </w:p>
    <w:p>
      <w:pPr>
        <w:pStyle w:val="ListParagraph"/>
        <w:numPr>
          <w:ilvl w:val="0"/>
          <w:numId w:val="2"/>
        </w:numPr>
        <w:spacing w:after="80" w:line="276"/>
      </w:pPr>
      <w:r>
        <w:rPr>
          <w:rFonts w:ascii="Arial" w:cs="Arial" w:eastAsia="Arial" w:hAnsi="Arial"/>
          <w:b/>
          <w:bCs/>
          <w:color w:val="1A1A1A"/>
          <w:sz w:val="22"/>
          <w:szCs w:val="22"/>
        </w:rPr>
        <w:t xml:space="preserve">Scoring system </w:t>
      </w:r>
      <w:r>
        <w:rPr>
          <w:rFonts w:ascii="Arial" w:cs="Arial" w:eastAsia="Arial" w:hAnsi="Arial"/>
          <w:color w:val="1A1A1A"/>
          <w:sz w:val="22"/>
          <w:szCs w:val="22"/>
        </w:rPr>
        <w:t xml:space="preserve">(0–2 per question, 22 max) with three quality tiers: High (17+), Moderate (11–16), Low (0–10)</w:t>
      </w:r>
    </w:p>
    <w:p>
      <w:pPr>
        <w:pStyle w:val="ListParagraph"/>
        <w:numPr>
          <w:ilvl w:val="0"/>
          <w:numId w:val="2"/>
        </w:numPr>
        <w:spacing w:after="80" w:line="276"/>
      </w:pPr>
      <w:r>
        <w:rPr>
          <w:rFonts w:ascii="Arial" w:cs="Arial" w:eastAsia="Arial" w:hAnsi="Arial"/>
          <w:b/>
          <w:bCs/>
          <w:color w:val="1A1A1A"/>
          <w:sz w:val="22"/>
          <w:szCs w:val="22"/>
        </w:rPr>
        <w:t xml:space="preserve">Inter-rater reliability framework </w:t>
      </w:r>
      <w:r>
        <w:rPr>
          <w:rFonts w:ascii="Arial" w:cs="Arial" w:eastAsia="Arial" w:hAnsi="Arial"/>
          <w:color w:val="1A1A1A"/>
          <w:sz w:val="22"/>
          <w:szCs w:val="22"/>
        </w:rPr>
        <w:t xml:space="preserve">— selection and implementation of Cohen’s Kappa (pairwise) and Fleiss’ Kappa (multi-rater), with interpretation scales and bias detection</w:t>
      </w:r>
    </w:p>
    <w:p>
      <w:pPr>
        <w:pStyle w:val="ListParagraph"/>
        <w:numPr>
          <w:ilvl w:val="0"/>
          <w:numId w:val="2"/>
        </w:numPr>
        <w:spacing w:after="160" w:line="276"/>
      </w:pPr>
      <w:r>
        <w:rPr>
          <w:rFonts w:ascii="Arial" w:cs="Arial" w:eastAsia="Arial" w:hAnsi="Arial"/>
          <w:b/>
          <w:bCs/>
          <w:color w:val="1A1A1A"/>
          <w:sz w:val="22"/>
          <w:szCs w:val="22"/>
        </w:rPr>
        <w:t xml:space="preserve">Community of practice model </w:t>
      </w:r>
      <w:r>
        <w:rPr>
          <w:rFonts w:ascii="Arial" w:cs="Arial" w:eastAsia="Arial" w:hAnsi="Arial"/>
          <w:color w:val="1A1A1A"/>
          <w:sz w:val="22"/>
          <w:szCs w:val="22"/>
        </w:rPr>
        <w:t xml:space="preserve">— designing the expert network, credentialing system, and reviewer engagement strategy</w:t>
      </w:r>
    </w:p>
    <w:p>
      <w:pPr>
        <w:pStyle w:val="Heading2"/>
        <w:spacing w:before="280" w:after="160"/>
      </w:pPr>
      <w:r>
        <w:rPr>
          <w:rFonts w:ascii="Arial" w:cs="Arial" w:eastAsia="Arial" w:hAnsi="Arial"/>
          <w:b/>
          <w:bCs/>
          <w:color w:val="024A87"/>
          <w:sz w:val="28"/>
          <w:szCs w:val="28"/>
        </w:rPr>
        <w:t xml:space="preserve">Phase 3: Stakeholder Coordination</w:t>
      </w:r>
    </w:p>
    <w:p>
      <w:pPr>
        <w:spacing w:after="160" w:line="276"/>
      </w:pPr>
      <w:r>
        <w:rPr>
          <w:rFonts w:ascii="Arial" w:cs="Arial" w:eastAsia="Arial" w:hAnsi="Arial"/>
          <w:color w:val="1A1A1A"/>
          <w:sz w:val="22"/>
          <w:szCs w:val="22"/>
        </w:rPr>
        <w:t xml:space="preserve">Numerous meetings with Nordic Naturals stakeholders to align on requirements, review progress, address data security concerns, and refine the platform’s scope and direction. This project management and client communication work is a substantial deliverable in itself.</w:t>
      </w:r>
    </w:p>
    <w:p>
      <w:r>
        <w:br w:type="page"/>
      </w:r>
    </w:p>
    <w:p>
      <w:pPr>
        <w:pStyle w:val="Heading2"/>
        <w:spacing w:before="280" w:after="160"/>
      </w:pPr>
      <w:r>
        <w:rPr>
          <w:rFonts w:ascii="Arial" w:cs="Arial" w:eastAsia="Arial" w:hAnsi="Arial"/>
          <w:b/>
          <w:bCs/>
          <w:color w:val="024A87"/>
          <w:sz w:val="28"/>
          <w:szCs w:val="28"/>
        </w:rPr>
        <w:t xml:space="preserve">Phase 4: Software Engineering</w:t>
      </w:r>
    </w:p>
    <w:p>
      <w:pPr>
        <w:spacing w:after="160" w:line="276"/>
      </w:pPr>
      <w:r>
        <w:rPr>
          <w:rFonts w:ascii="Arial" w:cs="Arial" w:eastAsia="Arial" w:hAnsi="Arial"/>
          <w:color w:val="1A1A1A"/>
          <w:sz w:val="22"/>
          <w:szCs w:val="22"/>
        </w:rPr>
        <w:t xml:space="preserve">The custom-coded platform comprises 8,742 lines of production source code across a full-stack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Framework</w:t>
            </w:r>
          </w:p>
        </w:tc>
        <w:tc>
          <w:tcPr>
            <w:tcW w:type="dxa" w:w="62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Next.js 14 (App Router) with React 18, deployed on Vercel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11 routes: Landing, Registration, Dashboard, Intake Form, Scoring Rubric, Reviews, Analytics, Network, Credibility, Admin, Profile</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API Endpoints</w:t>
            </w:r>
          </w:p>
        </w:tc>
        <w:tc>
          <w:tcPr>
            <w:tcW w:type="dxa" w:w="62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 RESTful endpoints covering auth, CRUD, AI review, analytics, exports, credibility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Notion API integration with 3 relational databases (Reviewers, Intake, Scores)</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AI/LLM</w:t>
            </w:r>
          </w:p>
        </w:tc>
        <w:tc>
          <w:tcPr>
            <w:tcW w:type="dxa" w:w="62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Dual-provider integration (Anthropic Claude + OpenAI GPT-4) with prompt engineering, response validation, single and batch auto-review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Auth &amp; Security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JWT authentication (jose), role-based access control, admin-only endpoints, protected routes</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Analytics</w:t>
            </w:r>
          </w:p>
        </w:tc>
        <w:tc>
          <w:tcPr>
            <w:tcW w:type="dxa" w:w="62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5-tab dashboard with IRR statistics (Cohen’s/Fleiss’ Kappa), score distributions, reviewer bias detection, interactive charts (Recharts)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Exports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CSV data export, PDF analytics reports (PDFKit), SVG reviewer badges, PDF certificates of contribution</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Community</w:t>
            </w:r>
          </w:p>
        </w:tc>
        <w:tc>
          <w:tcPr>
            <w:tcW w:type="dxa" w:w="62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Expert network directory with search/filter, credibility toolkit with LinkedIn/Bluesky templates, email templates, digital assets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UI/UX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 Tailwind CSS design system with Nordic Naturals “Pacific Depths” branding, responsive layout, skeleton loaders, toast notifications, modals</w:t>
            </w:r>
          </w:p>
        </w:tc>
      </w:tr>
    </w:tbl>
    <w:p>
      <w:pPr>
        <w:spacing w:after="300"/>
      </w:pPr>
    </w:p>
    <w:p>
      <w:pPr>
        <w:pStyle w:val="Heading1"/>
        <w:spacing w:before="360" w:after="200"/>
      </w:pPr>
      <w:r>
        <w:rPr>
          <w:rFonts w:ascii="Arial" w:cs="Arial" w:eastAsia="Arial" w:hAnsi="Arial"/>
          <w:b/>
          <w:bCs/>
          <w:color w:val="024A87"/>
          <w:sz w:val="36"/>
          <w:szCs w:val="36"/>
        </w:rPr>
        <w:t xml:space="preserve">Pricing Breakdown</w:t>
      </w:r>
    </w:p>
    <w:p>
      <w:pPr>
        <w:spacing w:after="160" w:line="276"/>
      </w:pPr>
      <w:r>
        <w:rPr>
          <w:rFonts w:ascii="Arial" w:cs="Arial" w:eastAsia="Arial" w:hAnsi="Arial"/>
          <w:color w:val="1A1A1A"/>
          <w:sz w:val="22"/>
          <w:szCs w:val="22"/>
        </w:rPr>
        <w:t xml:space="preserve">The following breakdown values each deliverable stream independently, based on market rates for comparable work. Rates reflect U.S.-based senior-level expertise (full-stack development at $125–150/hr, research methodology consulting at $150–250/hr).</w:t>
      </w:r>
    </w:p>
    <w:p>
      <w:pPr>
        <w:pStyle w:val="Heading2"/>
        <w:spacing w:before="280" w:after="160"/>
      </w:pPr>
      <w:r>
        <w:rPr>
          <w:rFonts w:ascii="Arial" w:cs="Arial" w:eastAsia="Arial" w:hAnsi="Arial"/>
          <w:b/>
          <w:bCs/>
          <w:color w:val="024A87"/>
          <w:sz w:val="28"/>
          <w:szCs w:val="28"/>
        </w:rPr>
        <w:t xml:space="preserve">A. Research &amp; Development Iteration</w:t>
      </w:r>
    </w:p>
    <w:p>
      <w:pPr>
        <w:spacing w:after="160" w:line="276"/>
      </w:pPr>
      <w:r>
        <w:rPr>
          <w:rFonts w:ascii="Arial" w:cs="Arial" w:eastAsia="Arial" w:hAnsi="Arial"/>
          <w:color w:val="1A1A1A"/>
          <w:sz w:val="22"/>
          <w:szCs w:val="22"/>
        </w:rPr>
        <w:t xml:space="preserve">Weeks of exploratory work across Qualtrics, Notion, Fillout, and Zite before the final build. Includes evaluating, prototyping, and discarding approaches that didn’t meet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(est.)</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Platform evaluation &amp; prototyping (Qualtrics, Fillout, Zite)</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20–30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$3,000–$4,500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Notion database architecture design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15–25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$2,250–$3,750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Strategic analysis &amp; SaaS elimination decision</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8–12</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$1,200–$1,800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24A87"/>
                <w:sz w:val="20"/>
                <w:szCs w:val="20"/>
              </w:rPr>
              <w:t xml:space="preserve">Subtotal: R&amp;D Iteration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024A87"/>
                <w:sz w:val="20"/>
                <w:szCs w:val="20"/>
              </w:rPr>
              <w:t xml:space="preserve">$6,450–$10,050</w:t>
            </w:r>
          </w:p>
        </w:tc>
      </w:tr>
    </w:tbl>
    <w:p>
      <w:pPr>
        <w:spacing w:after="200"/>
      </w:pPr>
    </w:p>
    <w:p>
      <w:pPr>
        <w:pStyle w:val="Heading2"/>
        <w:spacing w:before="280" w:after="160"/>
      </w:pPr>
      <w:r>
        <w:rPr>
          <w:rFonts w:ascii="Arial" w:cs="Arial" w:eastAsia="Arial" w:hAnsi="Arial"/>
          <w:b/>
          <w:bCs/>
          <w:color w:val="024A87"/>
          <w:sz w:val="28"/>
          <w:szCs w:val="28"/>
        </w:rPr>
        <w:t xml:space="preserve">B. Research Methodology &amp; Domain Expertise</w:t>
      </w:r>
    </w:p>
    <w:p>
      <w:pPr>
        <w:spacing w:after="160" w:line="276"/>
      </w:pPr>
      <w:r>
        <w:rPr>
          <w:rFonts w:ascii="Arial" w:cs="Arial" w:eastAsia="Arial" w:hAnsi="Arial"/>
          <w:color w:val="1A1A1A"/>
          <w:sz w:val="22"/>
          <w:szCs w:val="22"/>
        </w:rPr>
        <w:t xml:space="preserve">PhD-level research methodology design is specialized consulting work, typically billed at $150–250/hour.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(est.)</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RCT quality rubric design (11 questions, scoring criteria)</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20–30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$4,000–$7,500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Inter-rater reliability framework selection &amp; implementation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15–20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$3,000–$5,000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Community of practice model &amp; engagement strategy</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10–15</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$2,000–$3,750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Data security architecture &amp; compliance considerations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$1,000–$2,500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24A87"/>
                <w:sz w:val="20"/>
                <w:szCs w:val="20"/>
              </w:rPr>
              <w:t xml:space="preserve">Subtotal: Methodology &amp; Domain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024A87"/>
                <w:sz w:val="20"/>
                <w:szCs w:val="20"/>
              </w:rPr>
              <w:t xml:space="preserve">$10,000–$18,750</w:t>
            </w:r>
          </w:p>
        </w:tc>
      </w:tr>
    </w:tbl>
    <w:p>
      <w:pPr>
        <w:spacing w:after="200"/>
      </w:pPr>
    </w:p>
    <w:p>
      <w:pPr>
        <w:pStyle w:val="Heading2"/>
        <w:spacing w:before="280" w:after="160"/>
      </w:pPr>
      <w:r>
        <w:rPr>
          <w:rFonts w:ascii="Arial" w:cs="Arial" w:eastAsia="Arial" w:hAnsi="Arial"/>
          <w:b/>
          <w:bCs/>
          <w:color w:val="024A87"/>
          <w:sz w:val="28"/>
          <w:szCs w:val="28"/>
        </w:rPr>
        <w:t xml:space="preserve">C. Stakeholder Management &amp;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(est.)</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Client meetings, presentations, feedback cycles</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15–25</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$2,250–$3,750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Requirements gathering &amp; scope refinement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10–15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$1,500–$2,250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24A87"/>
                <w:sz w:val="20"/>
                <w:szCs w:val="20"/>
              </w:rPr>
              <w:t xml:space="preserve">Subtotal: Stakeholder Management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024A87"/>
                <w:sz w:val="20"/>
                <w:szCs w:val="20"/>
              </w:rPr>
              <w:t xml:space="preserve">$3,750–$6,000</w:t>
            </w:r>
          </w:p>
        </w:tc>
      </w:tr>
    </w:tbl>
    <w:p>
      <w:r>
        <w:br w:type="page"/>
      </w:r>
    </w:p>
    <w:p>
      <w:pPr>
        <w:pStyle w:val="Heading2"/>
        <w:spacing w:before="280" w:after="160"/>
      </w:pPr>
      <w:r>
        <w:rPr>
          <w:rFonts w:ascii="Arial" w:cs="Arial" w:eastAsia="Arial" w:hAnsi="Arial"/>
          <w:b/>
          <w:bCs/>
          <w:color w:val="024A87"/>
          <w:sz w:val="28"/>
          <w:szCs w:val="28"/>
        </w:rPr>
        <w:t xml:space="preserve">D. Software Engineering</w:t>
      </w:r>
    </w:p>
    <w:p>
      <w:pPr>
        <w:spacing w:after="160" w:line="276"/>
      </w:pPr>
      <w:r>
        <w:rPr>
          <w:rFonts w:ascii="Arial" w:cs="Arial" w:eastAsia="Arial" w:hAnsi="Arial"/>
          <w:color w:val="1A1A1A"/>
          <w:sz w:val="22"/>
          <w:szCs w:val="22"/>
        </w:rPr>
        <w:t xml:space="preserve">Custom full-stack development at senior U.S. rates ($125–150/hour). The 8,742 lines of production code represent refined output; actual development hours include debugging, testing, iteration, and refactoring.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 (est.)</w:t>
            </w:r>
          </w:p>
        </w:tc>
        <w:tc>
          <w:tcPr>
            <w:tcW w:type="dxa" w:w="21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Core Next.js architecture, routing, layout system</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20–25</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$2,500–$3,750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Notion API integration (3 databases, full CRUD, relations)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30–40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$3,750–$6,000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AI/LLM integration (dual-provider, prompt engineering, validation)</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25–35</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$3,125–$5,250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Analytics dashboard (5 tabs, IRR stats, charts, distributions)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40–60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$5,000–$9,000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Intake form (30+ fields, 6 sections, auto-save, draft restore)</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20–30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$2,500–$4,500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Scoring rubric interface (split-screen, 11-question UI, live totals)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15–25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$1,875–$3,750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Authentication &amp; authorization (JWT, RBAC, admin guards)</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10–15</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$1,250–$2,250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PDF/CSV export, SVG badges, PDF certificates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15–20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$1,875–$3,000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Credibility toolkit (social templates, email, digital assets)</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15–20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$1,875–$3,000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Expert network directory (search, filter, profile cards)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8–12</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$1,000–$1,800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UI/UX design system (Tailwind, branding, responsive, animations)</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20–30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$2,500–$4,500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Admin dashboard &amp; reviewer management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10–15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$1,250–$2,250</w:t>
            </w:r>
          </w:p>
        </w:tc>
      </w:tr>
      <w:tr>
        <w:tc>
          <w:tcPr>
            <w:tcW w:type="dxa" w:w="5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Deployment, environment config, Vercel setup</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5–10</w:t>
            </w:r>
          </w:p>
        </w:tc>
        <w:tc>
          <w:tcPr>
            <w:tcW w:type="dxa" w:w="21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$625–$1,500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24A87"/>
                <w:sz w:val="20"/>
                <w:szCs w:val="20"/>
              </w:rPr>
              <w:t xml:space="preserve">Subtotal: Software Engineering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bCs/>
                <w:color w:val="024A87"/>
                <w:sz w:val="20"/>
                <w:szCs w:val="20"/>
              </w:rPr>
              <w:t xml:space="preserve">$29,125–$50,550</w:t>
            </w:r>
          </w:p>
        </w:tc>
      </w:tr>
    </w:tbl>
    <w:p>
      <w:pPr>
        <w:spacing w:after="300"/>
      </w:pPr>
    </w:p>
    <w:p>
      <w:pPr>
        <w:pStyle w:val="Heading1"/>
        <w:spacing w:before="360" w:after="200"/>
      </w:pPr>
      <w:r>
        <w:rPr>
          <w:rFonts w:ascii="Arial" w:cs="Arial" w:eastAsia="Arial" w:hAnsi="Arial"/>
          <w:b/>
          <w:bCs/>
          <w:color w:val="024A87"/>
          <w:sz w:val="36"/>
          <w:szCs w:val="36"/>
        </w:rPr>
        <w:t xml:space="preserve">Total Project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 Stream</w:t>
            </w:r>
          </w:p>
        </w:tc>
        <w:tc>
          <w:tcPr>
            <w:tcW w:type="dxa" w:w="376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Range</w:t>
            </w:r>
          </w:p>
        </w:tc>
      </w:tr>
      <w:tr>
        <w:tc>
          <w:tcPr>
            <w:tcW w:type="dxa" w:w="5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 Research &amp; Development Iteration</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$6,450 – $10,050</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 Research Methodology &amp; Domain Expertise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$10,000 – $18,750</w:t>
            </w:r>
          </w:p>
        </w:tc>
      </w:tr>
      <w:tr>
        <w:tc>
          <w:tcPr>
            <w:tcW w:type="dxa" w:w="5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 Stakeholder Management &amp; Meetings</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$3,750 – $6,000</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 Software Engineering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$29,125 – $50,550</w:t>
            </w:r>
          </w:p>
        </w:tc>
      </w:tr>
      <w:tr>
        <w:tc>
          <w:tcPr>
            <w:tcW w:type="dxa" w:w="560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vAlign w:val="center"/>
          </w:tcPr>
          <w:p>
            <w:pPr>
              <w:jc w:val="left"/>
            </w:pPr>
            <w:r>
              <w:rPr>
                <w:rFonts w:ascii="Arial" w:cs="Arial" w:eastAsia="Arial" w:hAnsi="Arial"/>
                <w:b/>
                <w:bCs/>
                <w:color w:val="1A1A1A"/>
                <w:sz w:val="22"/>
                <w:szCs w:val="22"/>
              </w:rPr>
              <w:t xml:space="preserve">SUBTOTAL (Cost-Based)</w:t>
            </w:r>
          </w:p>
        </w:tc>
        <w:tc>
          <w:tcPr>
            <w:tcW w:type="dxa" w:w="3760"/>
            <w:tcBorders>
              <w:top w:val="single" w:color="CCCCCC" w:sz="1"/>
              <w:left w:val="single" w:color="CCCCCC" w:sz="1"/>
              <w:bottom w:val="single" w:color="CCCCCC" w:sz="1"/>
              <w:right w:val="single" w:color="CCCCCC" w:sz="1"/>
            </w:tcBorders>
            <w:shd w:fill="E8EEF2" w:val="clear"/>
            <w:tcMar>
              <w:top w:type="dxa" w:w="80"/>
              <w:left w:type="dxa" w:w="120"/>
              <w:bottom w:type="dxa" w:w="80"/>
              <w:right w:type="dxa" w:w="120"/>
            </w:tcMar>
            <w:vAlign w:val="center"/>
          </w:tcPr>
          <w:p>
            <w:pPr>
              <w:jc w:val="right"/>
            </w:pPr>
            <w:r>
              <w:rPr>
                <w:rFonts w:ascii="Arial" w:cs="Arial" w:eastAsia="Arial" w:hAnsi="Arial"/>
                <w:b/>
                <w:bCs/>
                <w:color w:val="1A1A1A"/>
                <w:sz w:val="22"/>
                <w:szCs w:val="22"/>
              </w:rPr>
              <w:t xml:space="preserve">$49,325 – $85,350</w:t>
            </w:r>
          </w:p>
        </w:tc>
      </w:tr>
      <w:tr>
        <w:tc>
          <w:tcPr>
            <w:tcW w:type="dxa" w:w="5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Value-based premium (see below)</w:t>
            </w:r>
          </w:p>
        </w:tc>
        <w:tc>
          <w:tcPr>
            <w:tcW w:type="dxa" w:w="37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right"/>
            </w:pPr>
            <w:r>
              <w:rPr>
                <w:rFonts w:ascii="Arial" w:cs="Arial" w:eastAsia="Arial" w:hAnsi="Arial"/>
                <w:b w:val="false"/>
                <w:bCs w:val="false"/>
                <w:color w:val="1A1A1A"/>
                <w:sz w:val="20"/>
                <w:szCs w:val="20"/>
              </w:rPr>
              <w:t xml:space="preserve">+ 30–50%</w:t>
            </w:r>
          </w:p>
        </w:tc>
      </w:tr>
      <w:tr>
        <w:tc>
          <w:tcPr>
            <w:tcW w:type="dxa" w:w="56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RECOMMENDED RANGE</w:t>
            </w:r>
          </w:p>
        </w:tc>
        <w:tc>
          <w:tcPr>
            <w:tcW w:type="dxa" w:w="376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pPr>
              <w:jc w:val="right"/>
            </w:pPr>
            <w:r>
              <w:rPr>
                <w:rFonts w:ascii="Arial" w:cs="Arial" w:eastAsia="Arial" w:hAnsi="Arial"/>
                <w:b/>
                <w:bCs/>
                <w:color w:val="FFFFFF"/>
                <w:sz w:val="24"/>
                <w:szCs w:val="24"/>
              </w:rPr>
              <w:t xml:space="preserve">$85,000 – $130,000</w:t>
            </w:r>
          </w:p>
        </w:tc>
      </w:tr>
    </w:tbl>
    <w:p>
      <w:pPr>
        <w:spacing w:after="300"/>
      </w:pPr>
    </w:p>
    <w:p>
      <w:pPr>
        <w:pStyle w:val="Heading1"/>
        <w:spacing w:before="360" w:after="200"/>
      </w:pPr>
      <w:r>
        <w:rPr>
          <w:rFonts w:ascii="Arial" w:cs="Arial" w:eastAsia="Arial" w:hAnsi="Arial"/>
          <w:b/>
          <w:bCs/>
          <w:color w:val="024A87"/>
          <w:sz w:val="36"/>
          <w:szCs w:val="36"/>
        </w:rPr>
        <w:t xml:space="preserve">Value-Based Pricing Justification</w:t>
      </w:r>
    </w:p>
    <w:p>
      <w:pPr>
        <w:spacing w:after="160" w:line="276"/>
      </w:pPr>
      <w:r>
        <w:rPr>
          <w:rFonts w:ascii="Arial" w:cs="Arial" w:eastAsia="Arial" w:hAnsi="Arial"/>
          <w:color w:val="1A1A1A"/>
          <w:sz w:val="22"/>
          <w:szCs w:val="22"/>
        </w:rPr>
        <w:t xml:space="preserve">The recommended range includes a value-based premium beyond raw hours because of the following factors:</w:t>
      </w:r>
    </w:p>
    <w:p>
      <w:pPr>
        <w:spacing w:before="200" w:after="120"/>
      </w:pPr>
      <w:r>
        <w:rPr>
          <w:rFonts w:ascii="Arial" w:cs="Arial" w:eastAsia="Arial" w:hAnsi="Arial"/>
          <w:b/>
          <w:bCs/>
          <w:color w:val="1A1A1A"/>
          <w:sz w:val="24"/>
          <w:szCs w:val="24"/>
        </w:rPr>
        <w:t xml:space="preserve">1. Eliminated SaaS Dependencies</w:t>
      </w:r>
    </w:p>
    <w:p>
      <w:pPr>
        <w:spacing w:after="160" w:line="276"/>
      </w:pPr>
      <w:r>
        <w:rPr>
          <w:rFonts w:ascii="Arial" w:cs="Arial" w:eastAsia="Arial" w:hAnsi="Arial"/>
          <w:color w:val="1A1A1A"/>
          <w:sz w:val="22"/>
          <w:szCs w:val="22"/>
        </w:rPr>
        <w:t xml:space="preserve">By building custom rather than stitching together Qualtrics, Fillout, Zite, and other SaaS tools, you eliminated recurring subscription costs for Nordic Naturals. A comparable SaaS stack would cost approximately $500–$2,000/month in subscriptions, meaning the custom build pays for itself within 3–5 years while giving them full data ownership and customization control.</w:t>
      </w:r>
    </w:p>
    <w:p>
      <w:pPr>
        <w:spacing w:before="200" w:after="120"/>
      </w:pPr>
      <w:r>
        <w:rPr>
          <w:rFonts w:ascii="Arial" w:cs="Arial" w:eastAsia="Arial" w:hAnsi="Arial"/>
          <w:b/>
          <w:bCs/>
          <w:color w:val="1A1A1A"/>
          <w:sz w:val="24"/>
          <w:szCs w:val="24"/>
        </w:rPr>
        <w:t xml:space="preserve">2. Specialized Domain Expertise</w:t>
      </w:r>
    </w:p>
    <w:p>
      <w:pPr>
        <w:spacing w:after="160" w:line="276"/>
      </w:pPr>
      <w:r>
        <w:rPr>
          <w:rFonts w:ascii="Arial" w:cs="Arial" w:eastAsia="Arial" w:hAnsi="Arial"/>
          <w:color w:val="1A1A1A"/>
          <w:sz w:val="22"/>
          <w:szCs w:val="22"/>
        </w:rPr>
        <w:t xml:space="preserve">The market for consultants who understand both RCT methodology and modern web development is extremely thin. An agency without this background would need to hire a separate research methodology consultant ($150–250/hr) in addition to developers, easily doubling the project cost.</w:t>
      </w:r>
    </w:p>
    <w:p>
      <w:pPr>
        <w:spacing w:before="200" w:after="120"/>
      </w:pPr>
      <w:r>
        <w:rPr>
          <w:rFonts w:ascii="Arial" w:cs="Arial" w:eastAsia="Arial" w:hAnsi="Arial"/>
          <w:b/>
          <w:bCs/>
          <w:color w:val="1A1A1A"/>
          <w:sz w:val="24"/>
          <w:szCs w:val="24"/>
        </w:rPr>
        <w:t xml:space="preserve">3. Production-Ready with Live Data</w:t>
      </w:r>
    </w:p>
    <w:p>
      <w:pPr>
        <w:spacing w:after="160" w:line="276"/>
      </w:pPr>
      <w:r>
        <w:rPr>
          <w:rFonts w:ascii="Arial" w:cs="Arial" w:eastAsia="Arial" w:hAnsi="Arial"/>
          <w:color w:val="1A1A1A"/>
          <w:sz w:val="22"/>
          <w:szCs w:val="22"/>
        </w:rPr>
        <w:t xml:space="preserve">This is not an MVP or prototype. The platform is deployed, branded, and in active use with 36 articles, 53 scored reviews, and 6 active reviewers generating real inter-rater reliability data. The cost to an agency to reach this level of completion and polish would be significantly higher.</w:t>
      </w:r>
    </w:p>
    <w:p>
      <w:pPr>
        <w:spacing w:before="200" w:after="120"/>
      </w:pPr>
      <w:r>
        <w:rPr>
          <w:rFonts w:ascii="Arial" w:cs="Arial" w:eastAsia="Arial" w:hAnsi="Arial"/>
          <w:b/>
          <w:bCs/>
          <w:color w:val="1A1A1A"/>
          <w:sz w:val="24"/>
          <w:szCs w:val="24"/>
        </w:rPr>
        <w:t xml:space="preserve">4. Enterprise-Grade Features</w:t>
      </w:r>
    </w:p>
    <w:p>
      <w:pPr>
        <w:spacing w:after="160" w:line="276"/>
      </w:pPr>
      <w:r>
        <w:rPr>
          <w:rFonts w:ascii="Arial" w:cs="Arial" w:eastAsia="Arial" w:hAnsi="Arial"/>
          <w:color w:val="1A1A1A"/>
          <w:sz w:val="22"/>
          <w:szCs w:val="22"/>
        </w:rPr>
        <w:t xml:space="preserve">AI-powered auto-review, statistical analysis (Kappa calculations), PDF/CSV export, digital credentialing, and a social media marketing toolkit are features typically found in platforms costing $150,000+ to develop at agency rates.</w:t>
      </w:r>
    </w:p>
    <w:p>
      <w:pPr>
        <w:spacing w:before="200" w:after="120"/>
      </w:pPr>
      <w:r>
        <w:rPr>
          <w:rFonts w:ascii="Arial" w:cs="Arial" w:eastAsia="Arial" w:hAnsi="Arial"/>
          <w:b/>
          <w:bCs/>
          <w:color w:val="1A1A1A"/>
          <w:sz w:val="24"/>
          <w:szCs w:val="24"/>
        </w:rPr>
        <w:t xml:space="preserve">5. Strategic Long-Term Asset</w:t>
      </w:r>
    </w:p>
    <w:p>
      <w:pPr>
        <w:spacing w:after="160" w:line="276"/>
      </w:pPr>
      <w:r>
        <w:rPr>
          <w:rFonts w:ascii="Arial" w:cs="Arial" w:eastAsia="Arial" w:hAnsi="Arial"/>
          <w:color w:val="1A1A1A"/>
          <w:sz w:val="22"/>
          <w:szCs w:val="22"/>
        </w:rPr>
        <w:t xml:space="preserve">Nordic Naturals now owns a proprietary platform that positions them as a leader in evidence-based research quality in the supplement industry. This is a competitive differentiator with value far beyond development cost.</w:t>
      </w:r>
    </w:p>
    <w:p>
      <w:r>
        <w:br w:type="page"/>
      </w:r>
    </w:p>
    <w:p>
      <w:pPr>
        <w:pStyle w:val="Heading1"/>
        <w:spacing w:before="360" w:after="200"/>
      </w:pPr>
      <w:r>
        <w:rPr>
          <w:rFonts w:ascii="Arial" w:cs="Arial" w:eastAsia="Arial" w:hAnsi="Arial"/>
          <w:b/>
          <w:bCs/>
          <w:color w:val="024A87"/>
          <w:sz w:val="36"/>
          <w:szCs w:val="36"/>
        </w:rPr>
        <w:t xml:space="preserve">Market Comparables</w:t>
      </w:r>
    </w:p>
    <w:p>
      <w:pPr>
        <w:spacing w:after="160" w:line="276"/>
      </w:pPr>
      <w:r>
        <w:rPr>
          <w:rFonts w:ascii="Arial" w:cs="Arial" w:eastAsia="Arial" w:hAnsi="Arial"/>
          <w:color w:val="1A1A1A"/>
          <w:sz w:val="22"/>
          <w:szCs w:val="22"/>
        </w:rPr>
        <w:t xml:space="preserve">For context, here is how comparable projects are priced in the current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Comparable</w:t>
            </w:r>
          </w:p>
        </w:tc>
        <w:tc>
          <w:tcPr>
            <w:tcW w:type="dxa" w:w="26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Range</w:t>
            </w:r>
          </w:p>
        </w:tc>
        <w:tc>
          <w:tcPr>
            <w:tcW w:type="dxa" w:w="2680"/>
            <w:tcBorders>
              <w:top w:val="single" w:color="CCCCCC" w:sz="1"/>
              <w:left w:val="single" w:color="CCCCCC" w:sz="1"/>
              <w:bottom w:val="single" w:color="CCCCCC" w:sz="1"/>
              <w:right w:val="single" w:color="CCCCCC" w:sz="1"/>
            </w:tcBorders>
            <w:shd w:fill="024A87"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 SaaS platform (custom)</w:t>
            </w:r>
          </w:p>
        </w:tc>
        <w:tc>
          <w:tcPr>
            <w:tcW w:type="dxa" w:w="2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$50,000–$150,000</w:t>
            </w:r>
          </w:p>
        </w:tc>
        <w:tc>
          <w:tcPr>
            <w:tcW w:type="dxa" w:w="2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Cleveroad, Innovecs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AI-integrated web application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$75,000–$200,000+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BusinesswareTech</w:t>
            </w:r>
          </w:p>
        </w:tc>
      </w:tr>
      <w:tr>
        <w:tc>
          <w:tcPr>
            <w:tcW w:type="dxa" w:w="4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 analytics dashboard</w:t>
            </w:r>
          </w:p>
        </w:tc>
        <w:tc>
          <w:tcPr>
            <w:tcW w:type="dxa" w:w="2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$15,000–$40,000</w:t>
            </w:r>
          </w:p>
        </w:tc>
        <w:tc>
          <w:tcPr>
            <w:tcW w:type="dxa" w:w="2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3iap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Notion API integration (3 DBs, CRUD)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$8,000–$15,000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Industry avg.</w:t>
            </w:r>
          </w:p>
        </w:tc>
      </w:tr>
      <w:tr>
        <w:tc>
          <w:tcPr>
            <w:tcW w:type="dxa" w:w="4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Senior full-stack developer (U.S.)</w:t>
            </w:r>
          </w:p>
        </w:tc>
        <w:tc>
          <w:tcPr>
            <w:tcW w:type="dxa" w:w="2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$100–$150/hour</w:t>
            </w:r>
          </w:p>
        </w:tc>
        <w:tc>
          <w:tcPr>
            <w:tcW w:type="dxa" w:w="2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ReactSquad, Index.dev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Research methodology consulting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$150–$250/hour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Academic market</w:t>
            </w:r>
          </w:p>
        </w:tc>
      </w:tr>
    </w:tbl>
    <w:p>
      <w:pPr>
        <w:spacing w:after="300"/>
      </w:pPr>
    </w:p>
    <w:p>
      <w:pPr>
        <w:pStyle w:val="Heading1"/>
        <w:spacing w:before="360" w:after="200"/>
      </w:pPr>
      <w:r>
        <w:rPr>
          <w:rFonts w:ascii="Arial" w:cs="Arial" w:eastAsia="Arial" w:hAnsi="Arial"/>
          <w:b/>
          <w:bCs/>
          <w:color w:val="024A87"/>
          <w:sz w:val="36"/>
          <w:szCs w:val="36"/>
        </w:rPr>
        <w:t xml:space="preserve">Pricing Options</w:t>
      </w:r>
    </w:p>
    <w:p>
      <w:pPr>
        <w:spacing w:after="160" w:line="276"/>
      </w:pPr>
      <w:r>
        <w:rPr>
          <w:rFonts w:ascii="Arial" w:cs="Arial" w:eastAsia="Arial" w:hAnsi="Arial"/>
          <w:color w:val="1A1A1A"/>
          <w:sz w:val="22"/>
          <w:szCs w:val="22"/>
        </w:rPr>
        <w:t xml:space="preserve">Three recommended pricing tiers depending on how you want to position the engagement:</w:t>
      </w:r>
    </w:p>
    <w:p>
      <w:pPr>
        <w:pStyle w:val="Heading2"/>
        <w:spacing w:before="280" w:after="160"/>
      </w:pPr>
      <w:r>
        <w:rPr>
          <w:rFonts w:ascii="Arial" w:cs="Arial" w:eastAsia="Arial" w:hAnsi="Arial"/>
          <w:b/>
          <w:bCs/>
          <w:color w:val="024A87"/>
          <w:sz w:val="28"/>
          <w:szCs w:val="28"/>
        </w:rPr>
        <w:t xml:space="preserve">Option 1: Cost-Recovery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4A87" w:sz="3"/>
              <w:left w:val="single" w:color="024A87" w:sz="3"/>
              <w:bottom w:val="none" w:color="FFFFFF" w:sz="0"/>
              <w:right w:val="none" w:color="FFFFFF" w:sz="0"/>
            </w:tcBorders>
            <w:shd w:fill="F5F8FA" w:val="clear"/>
            <w:tcMar>
              <w:top w:type="dxa" w:w="160"/>
              <w:left w:type="dxa" w:w="240"/>
              <w:bottom w:type="dxa" w:w="160"/>
              <w:right w:type="dxa" w:w="240"/>
            </w:tcMar>
          </w:tcPr>
          <w:p>
            <w:pPr>
              <w:spacing w:after="40"/>
            </w:pPr>
            <w:r>
              <w:rPr>
                <w:rFonts w:ascii="Arial" w:cs="Arial" w:eastAsia="Arial" w:hAnsi="Arial"/>
                <w:b/>
                <w:bCs/>
                <w:color w:val="024A87"/>
                <w:sz w:val="36"/>
                <w:szCs w:val="36"/>
              </w:rPr>
              <w:t xml:space="preserve">$65,000</w:t>
            </w:r>
          </w:p>
          <w:p>
            <w:r>
              <w:rPr>
                <w:rFonts w:ascii="Arial" w:cs="Arial" w:eastAsia="Arial" w:hAnsi="Arial"/>
                <w:color w:val="666666"/>
                <w:sz w:val="20"/>
                <w:szCs w:val="20"/>
              </w:rPr>
              <w:t xml:space="preserve">Covers direct labor value at mid-market rates. Does not account for domain expertise premium or value delivered. Use this only if you need to stay competitive with a cost-conscious client.</w:t>
            </w:r>
          </w:p>
        </w:tc>
      </w:tr>
    </w:tbl>
    <w:p>
      <w:pPr>
        <w:spacing w:after="200"/>
      </w:pPr>
    </w:p>
    <w:p>
      <w:pPr>
        <w:pStyle w:val="Heading2"/>
        <w:spacing w:before="280" w:after="160"/>
      </w:pPr>
      <w:r>
        <w:rPr>
          <w:rFonts w:ascii="Arial" w:cs="Arial" w:eastAsia="Arial" w:hAnsi="Arial"/>
          <w:b/>
          <w:bCs/>
          <w:color w:val="024A87"/>
          <w:sz w:val="28"/>
          <w:szCs w:val="28"/>
        </w:rPr>
        <w:t xml:space="preserve">Option 2: Market Rate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4A87" w:sz="3"/>
              <w:left w:val="single" w:color="024A87" w:sz="3"/>
              <w:bottom w:val="none" w:color="FFFFFF" w:sz="0"/>
              <w:right w:val="none" w:color="FFFFFF" w:sz="0"/>
            </w:tcBorders>
            <w:shd w:fill="F5F8FA" w:val="clear"/>
            <w:tcMar>
              <w:top w:type="dxa" w:w="160"/>
              <w:left w:type="dxa" w:w="240"/>
              <w:bottom w:type="dxa" w:w="160"/>
              <w:right w:type="dxa" w:w="240"/>
            </w:tcMar>
          </w:tcPr>
          <w:p>
            <w:pPr>
              <w:spacing w:after="40"/>
            </w:pPr>
            <w:r>
              <w:rPr>
                <w:rFonts w:ascii="Arial" w:cs="Arial" w:eastAsia="Arial" w:hAnsi="Arial"/>
                <w:b/>
                <w:bCs/>
                <w:color w:val="024A87"/>
                <w:sz w:val="36"/>
                <w:szCs w:val="36"/>
              </w:rPr>
              <w:t xml:space="preserve">$95,000 – $110,000</w:t>
            </w:r>
          </w:p>
          <w:p>
            <w:r>
              <w:rPr>
                <w:rFonts w:ascii="Arial" w:cs="Arial" w:eastAsia="Arial" w:hAnsi="Arial"/>
                <w:color w:val="666666"/>
                <w:sz w:val="20"/>
                <w:szCs w:val="20"/>
              </w:rPr>
              <w:t xml:space="preserve">Reflects the full scope of work including R&amp;D, methodology, stakeholder management, and engineering at fair market rates with a modest value premium. This is a defensible, professional rate.</w:t>
            </w:r>
          </w:p>
        </w:tc>
      </w:tr>
    </w:tbl>
    <w:p>
      <w:pPr>
        <w:spacing w:after="200"/>
      </w:pPr>
    </w:p>
    <w:p>
      <w:pPr>
        <w:pStyle w:val="Heading2"/>
        <w:spacing w:before="280" w:after="160"/>
      </w:pPr>
      <w:r>
        <w:rPr>
          <w:rFonts w:ascii="Arial" w:cs="Arial" w:eastAsia="Arial" w:hAnsi="Arial"/>
          <w:b/>
          <w:bCs/>
          <w:color w:val="024A87"/>
          <w:sz w:val="28"/>
          <w:szCs w:val="28"/>
        </w:rPr>
        <w:t xml:space="preserve">Option 3: Value-Based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4A87" w:sz="3"/>
              <w:left w:val="single" w:color="024A87" w:sz="3"/>
              <w:bottom w:val="none" w:color="FFFFFF" w:sz="0"/>
              <w:right w:val="none" w:color="FFFFFF" w:sz="0"/>
            </w:tcBorders>
            <w:shd w:fill="F5F8FA" w:val="clear"/>
            <w:tcMar>
              <w:top w:type="dxa" w:w="160"/>
              <w:left w:type="dxa" w:w="240"/>
              <w:bottom w:type="dxa" w:w="160"/>
              <w:right w:type="dxa" w:w="240"/>
            </w:tcMar>
          </w:tcPr>
          <w:p>
            <w:pPr>
              <w:spacing w:after="40"/>
            </w:pPr>
            <w:r>
              <w:rPr>
                <w:rFonts w:ascii="Arial" w:cs="Arial" w:eastAsia="Arial" w:hAnsi="Arial"/>
                <w:b/>
                <w:bCs/>
                <w:color w:val="024A87"/>
                <w:sz w:val="36"/>
                <w:szCs w:val="36"/>
              </w:rPr>
              <w:t xml:space="preserve">$120,000 – $130,000</w:t>
            </w:r>
          </w:p>
          <w:p>
            <w:r>
              <w:rPr>
                <w:rFonts w:ascii="Arial" w:cs="Arial" w:eastAsia="Arial" w:hAnsi="Arial"/>
                <w:color w:val="666666"/>
                <w:sz w:val="20"/>
                <w:szCs w:val="20"/>
              </w:rPr>
              <w:t xml:space="preserve">Accounts for the strategic asset value, eliminated SaaS costs, competitive differentiation, and the scarcity of this combined skillset (PhD methodology + full-stack engineering + AI integration). Justified for a company of Nordic Naturals’ size.</w:t>
            </w:r>
          </w:p>
        </w:tc>
      </w:tr>
    </w:tbl>
    <w:p>
      <w:pPr>
        <w:spacing w:after="300"/>
      </w:pPr>
    </w:p>
    <w:p>
      <w:pPr>
        <w:pStyle w:val="Heading1"/>
        <w:spacing w:before="360" w:after="200"/>
      </w:pPr>
      <w:r>
        <w:rPr>
          <w:rFonts w:ascii="Arial" w:cs="Arial" w:eastAsia="Arial" w:hAnsi="Arial"/>
          <w:b/>
          <w:bCs/>
          <w:color w:val="024A87"/>
          <w:sz w:val="36"/>
          <w:szCs w:val="36"/>
        </w:rPr>
        <w:t xml:space="preserve">Notes &amp; Considerations</w:t>
      </w:r>
    </w:p>
    <w:p>
      <w:pPr>
        <w:pStyle w:val="ListParagraph"/>
        <w:numPr>
          <w:ilvl w:val="0"/>
          <w:numId w:val="2"/>
        </w:numPr>
        <w:spacing w:after="100" w:line="276"/>
      </w:pPr>
      <w:r>
        <w:rPr>
          <w:rFonts w:ascii="Arial" w:cs="Arial" w:eastAsia="Arial" w:hAnsi="Arial"/>
          <w:b/>
          <w:bCs/>
          <w:sz w:val="22"/>
          <w:szCs w:val="22"/>
        </w:rPr>
        <w:t xml:space="preserve">Ongoing support and maintenance </w:t>
      </w:r>
      <w:r>
        <w:rPr>
          <w:rFonts w:ascii="Arial" w:cs="Arial" w:eastAsia="Arial" w:hAnsi="Arial"/>
          <w:sz w:val="22"/>
          <w:szCs w:val="22"/>
        </w:rPr>
        <w:t xml:space="preserve">is not included in this estimate. A monthly retainer of $1,500–$3,000/month for hosting management, bug fixes, feature requests, and reviewer support would be appropriate.</w:t>
      </w:r>
    </w:p>
    <w:p>
      <w:pPr>
        <w:pStyle w:val="ListParagraph"/>
        <w:numPr>
          <w:ilvl w:val="0"/>
          <w:numId w:val="2"/>
        </w:numPr>
        <w:spacing w:after="100" w:line="276"/>
      </w:pPr>
      <w:r>
        <w:rPr>
          <w:rFonts w:ascii="Arial" w:cs="Arial" w:eastAsia="Arial" w:hAnsi="Arial"/>
          <w:b/>
          <w:bCs/>
          <w:sz w:val="22"/>
          <w:szCs w:val="22"/>
        </w:rPr>
        <w:t xml:space="preserve">AI API costs </w:t>
      </w:r>
      <w:r>
        <w:rPr>
          <w:rFonts w:ascii="Arial" w:cs="Arial" w:eastAsia="Arial" w:hAnsi="Arial"/>
          <w:sz w:val="22"/>
          <w:szCs w:val="22"/>
        </w:rPr>
        <w:t xml:space="preserve">(Anthropic/OpenAI) for the auto-review feature are operational expenses borne by the client, estimated at $500–$2,000/month depending on review volume.</w:t>
      </w:r>
    </w:p>
    <w:p>
      <w:pPr>
        <w:pStyle w:val="ListParagraph"/>
        <w:numPr>
          <w:ilvl w:val="0"/>
          <w:numId w:val="2"/>
        </w:numPr>
        <w:spacing w:after="100" w:line="276"/>
      </w:pPr>
      <w:r>
        <w:rPr>
          <w:rFonts w:ascii="Arial" w:cs="Arial" w:eastAsia="Arial" w:hAnsi="Arial"/>
          <w:b/>
          <w:bCs/>
          <w:sz w:val="22"/>
          <w:szCs w:val="22"/>
        </w:rPr>
        <w:t xml:space="preserve">Vercel hosting </w:t>
      </w:r>
      <w:r>
        <w:rPr>
          <w:rFonts w:ascii="Arial" w:cs="Arial" w:eastAsia="Arial" w:hAnsi="Arial"/>
          <w:sz w:val="22"/>
          <w:szCs w:val="22"/>
        </w:rPr>
        <w:t xml:space="preserve">on the Pro plan runs approximately $20/user/month. Notion API access is free.</w:t>
      </w:r>
    </w:p>
    <w:p>
      <w:pPr>
        <w:pStyle w:val="ListParagraph"/>
        <w:numPr>
          <w:ilvl w:val="0"/>
          <w:numId w:val="2"/>
        </w:numPr>
        <w:spacing w:after="100" w:line="276"/>
      </w:pPr>
      <w:r>
        <w:rPr>
          <w:rFonts w:ascii="Arial" w:cs="Arial" w:eastAsia="Arial" w:hAnsi="Arial"/>
          <w:b/>
          <w:bCs/>
          <w:sz w:val="22"/>
          <w:szCs w:val="22"/>
        </w:rPr>
        <w:t xml:space="preserve">IP ownership </w:t>
      </w:r>
      <w:r>
        <w:rPr>
          <w:rFonts w:ascii="Arial" w:cs="Arial" w:eastAsia="Arial" w:hAnsi="Arial"/>
          <w:sz w:val="22"/>
          <w:szCs w:val="22"/>
        </w:rPr>
        <w:t xml:space="preserve">terms should be clarified in the contract. The platform was built specifically for Nordic Naturals, and the transfer of all intellectual property rights is typically included in the project fee.</w:t>
      </w:r>
    </w:p>
    <w:p>
      <w:pPr>
        <w:pStyle w:val="ListParagraph"/>
        <w:numPr>
          <w:ilvl w:val="0"/>
          <w:numId w:val="2"/>
        </w:numPr>
        <w:spacing w:after="100" w:line="276"/>
      </w:pPr>
      <w:r>
        <w:rPr>
          <w:rFonts w:ascii="Arial" w:cs="Arial" w:eastAsia="Arial" w:hAnsi="Arial"/>
          <w:b/>
          <w:bCs/>
          <w:sz w:val="22"/>
          <w:szCs w:val="22"/>
        </w:rPr>
        <w:t xml:space="preserve">This estimate can be adjusted </w:t>
      </w:r>
      <w:r>
        <w:rPr>
          <w:rFonts w:ascii="Arial" w:cs="Arial" w:eastAsia="Arial" w:hAnsi="Arial"/>
          <w:sz w:val="22"/>
          <w:szCs w:val="22"/>
        </w:rPr>
        <w:t xml:space="preserve">once the R&amp;D description document is reviewed, which may reveal additional scope not captured here.</w:t>
      </w:r>
    </w:p>
    <w:p>
      <w:pPr>
        <w:spacing w:after="400"/>
      </w:pPr>
    </w:p>
    <w:p>
      <w:pPr>
        <w:spacing w:after="40"/>
        <w:jc w:val="center"/>
      </w:pPr>
      <w:r>
        <w:rPr>
          <w:rFonts w:ascii="Arial" w:cs="Arial" w:eastAsia="Arial" w:hAnsi="Arial"/>
          <w:color w:val="666666"/>
          <w:sz w:val="22"/>
          <w:szCs w:val="22"/>
        </w:rPr>
        <w:t xml:space="preserve">— — —</w:t>
      </w:r>
    </w:p>
    <w:p>
      <w:pPr>
        <w:spacing w:after="80"/>
        <w:jc w:val="center"/>
      </w:pPr>
      <w:r>
        <w:rPr>
          <w:rFonts w:ascii="Arial" w:cs="Arial" w:eastAsia="Arial" w:hAnsi="Arial"/>
          <w:color w:val="666666"/>
          <w:sz w:val="20"/>
          <w:szCs w:val="20"/>
        </w:rPr>
        <w:t xml:space="preserve">Prepared by Garrett Jaeger  |  winded.vertigo  |  garrett@windedvertigo.com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winded.vertigo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SQR-RCT Platform  |  Pricing Estimate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24A8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24A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2026-02-09T04:31:13.604Z</dcterms:created>
  <dcterms:modified xsi:type="dcterms:W3CDTF">2026-02-09T04:31:13.604Z</dcterms:modified>
</cp:coreProperties>
</file>

<file path=docProps/custom.xml><?xml version="1.0" encoding="utf-8"?>
<Properties xmlns="http://schemas.openxmlformats.org/officeDocument/2006/custom-properties" xmlns:vt="http://schemas.openxmlformats.org/officeDocument/2006/docPropsVTypes"/>
</file>