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jc w:val="center"/>
      </w:pPr>
      <w:r>
        <w:rPr>
          <w:rFonts w:ascii="Arial" w:cs="Arial" w:eastAsia="Arial" w:hAnsi="Arial"/>
          <w:caps/>
          <w:color w:val="555555"/>
          <w:sz w:val="20"/>
          <w:szCs w:val="20"/>
        </w:rPr>
        <w:t xml:space="preserve">NORDIC NATURALS  ·  PCS / AICS Platform</w:t>
      </w:r>
    </w:p>
    <w:p>
      <w:pPr>
        <w:spacing w:after="140"/>
        <w:jc w:val="center"/>
      </w:pPr>
      <w:r>
        <w:rPr>
          <w:rFonts w:ascii="Arial" w:cs="Arial" w:eastAsia="Arial" w:hAnsi="Arial"/>
          <w:b/>
          <w:bCs/>
          <w:color w:val="1B6B7B"/>
          <w:sz w:val="52"/>
          <w:szCs w:val="52"/>
        </w:rPr>
        <w:t xml:space="preserve">Data Security</w:t>
      </w:r>
    </w:p>
    <w:p>
      <w:pPr>
        <w:spacing w:after="100"/>
        <w:jc w:val="center"/>
      </w:pPr>
      <w:r>
        <w:rPr>
          <w:rFonts w:ascii="Arial" w:cs="Arial" w:eastAsia="Arial" w:hAnsi="Arial"/>
          <w:b/>
          <w:bCs/>
          <w:color w:val="1A1A1A"/>
          <w:sz w:val="40"/>
          <w:szCs w:val="40"/>
        </w:rPr>
        <w:t xml:space="preserve">Terms &amp; Conditions</w:t>
      </w:r>
    </w:p>
    <w:p>
      <w:pPr>
        <w:spacing w:after="480"/>
        <w:jc w:val="center"/>
      </w:pPr>
      <w:r>
        <w:rPr>
          <w:rFonts w:ascii="Arial" w:cs="Arial" w:eastAsia="Arial" w:hAnsi="Arial"/>
          <w:color w:val="555555"/>
          <w:sz w:val="24"/>
          <w:szCs w:val="24"/>
        </w:rPr>
        <w:t xml:space="preserve">Version 3  ·  May 15,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Document 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Jaeger, winded.vertigo LLC (platform builder + Data Protection Lead)</w:t>
            </w:r>
          </w:p>
        </w:tc>
      </w:tr>
      <w:tr>
        <w:tc>
          <w:tcPr>
            <w:tcW w:type="dxa" w:w="2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Recipient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Sharon Matheny, Nordic Naturals, for forwarding to Nordic IT / Legal</w:t>
            </w:r>
          </w:p>
        </w:tc>
      </w:tr>
      <w:tr>
        <w:tc>
          <w:tcPr>
            <w:tcW w:type="dxa" w:w="2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Upon Nordic countersignature. Data protection obligations apply from March 1, 2026 — see §9.5.</w:t>
            </w:r>
          </w:p>
        </w:tc>
      </w:tr>
      <w:tr>
        <w:tc>
          <w:tcPr>
            <w:tcW w:type="dxa" w:w="2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Supersedes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Security T&amp;C v2 (Cloudflare + Supabase, dated May 3, 2026)</w:t>
            </w:r>
          </w:p>
        </w:tc>
      </w:tr>
    </w:tbl>
    <w:p>
      <w:r>
        <w:br w:type="page"/>
      </w:r>
    </w:p>
    <w:p>
      <w:pPr>
        <w:pBdr>
          <w:bottom w:val="single" w:color="1B6B7B" w:sz="4" w:space="4"/>
        </w:pBdr>
        <w:spacing w:after="120" w:before="280"/>
      </w:pPr>
      <w:r>
        <w:rPr>
          <w:rFonts w:ascii="Arial" w:cs="Arial" w:eastAsia="Arial" w:hAnsi="Arial"/>
          <w:b/>
          <w:bCs/>
          <w:color w:val="1B6B7B"/>
          <w:sz w:val="28"/>
          <w:szCs w:val="28"/>
        </w:rPr>
        <w:t xml:space="preserve">What's New in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Changes from v2 (May 3, 2026):</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§2: AICS documents added as an explicit data class — documents Lauren creates manually via Google Drive are now formally documented in their transitional state and target state.</w:t>
            </w:r>
          </w:p>
          <w:p>
            <w:pPr>
              <w:spacing w:after="60"/>
            </w:pPr>
            <w:r>
              <w:rPr>
                <w:rFonts w:ascii="Arial" w:cs="Arial" w:eastAsia="Arial" w:hAnsi="Arial"/>
                <w:b w:val="false"/>
                <w:bCs w:val="false"/>
                <w:color w:val="1A1A1A"/>
                <w:sz w:val="19"/>
                <w:szCs w:val="19"/>
              </w:rPr>
              <w:t xml:space="preserve">§5.5: Named backup contractor identified as August Kinloch.</w:t>
            </w:r>
          </w:p>
          <w:p>
            <w:pPr>
              <w:spacing w:after="60"/>
            </w:pPr>
            <w:r>
              <w:rPr>
                <w:rFonts w:ascii="Arial" w:cs="Arial" w:eastAsia="Arial" w:hAnsi="Arial"/>
                <w:b w:val="false"/>
                <w:bCs w:val="false"/>
                <w:color w:val="1A1A1A"/>
                <w:sz w:val="19"/>
                <w:szCs w:val="19"/>
              </w:rPr>
              <w:t xml:space="preserve">§7: Sub-processor table updated — Vercel noted as transitional only (no live Nordic code after May 17, 2026); Google LLC added for AICS transitional docs; AWS S3 snapshot target confirmed.</w:t>
            </w:r>
          </w:p>
          <w:p>
            <w:pPr>
              <w:spacing w:after="60"/>
            </w:pPr>
            <w:r>
              <w:rPr>
                <w:rFonts w:ascii="Arial" w:cs="Arial" w:eastAsia="Arial" w:hAnsi="Arial"/>
                <w:b w:val="false"/>
                <w:bCs w:val="false"/>
                <w:color w:val="1A1A1A"/>
                <w:sz w:val="19"/>
                <w:szCs w:val="19"/>
              </w:rPr>
              <w:t xml:space="preserve">§9.3 (NEW): Named backup contractor data access terms added for August Kinloch.</w:t>
            </w:r>
          </w:p>
          <w:p>
            <w:pPr>
              <w:spacing w:after="60"/>
            </w:pPr>
            <w:r>
              <w:rPr>
                <w:rFonts w:ascii="Arial" w:cs="Arial" w:eastAsia="Arial" w:hAnsi="Arial"/>
                <w:b w:val="false"/>
                <w:bCs w:val="false"/>
                <w:color w:val="1A1A1A"/>
                <w:sz w:val="19"/>
                <w:szCs w:val="19"/>
              </w:rPr>
              <w:t xml:space="preserve">§9.5 (NEW): Data protection obligations retroactively effective from March 1, 2026.</w:t>
            </w:r>
          </w:p>
          <w:p>
            <w:pPr>
              <w:spacing w:after="60"/>
            </w:pPr>
            <w:r>
              <w:rPr>
                <w:rFonts w:ascii="Arial" w:cs="Arial" w:eastAsia="Arial" w:hAnsi="Arial"/>
                <w:b w:val="false"/>
                <w:bCs w:val="false"/>
                <w:color w:val="1A1A1A"/>
                <w:sz w:val="19"/>
                <w:szCs w:val="19"/>
              </w:rPr>
              <w:t xml:space="preserve">§10: Signature block updated to May 2026.</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1. Executive Summary — Three Plain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val="false"/>
                <w:bCs w:val="false"/>
                <w:color w:val="1A1A1A"/>
                <w:sz w:val="19"/>
                <w:szCs w:val="19"/>
              </w:rPr>
              <w:t xml:space="preserve">The platform has migrated its primary data store from Notion to a Cloudflare Workers + Supabase Postgres stack. PCS and AICS substantiation documents, claim records, and per-claim audit trails live in Postgres with row-level security; static substantiation files (source .docx and rendered .pdf exports) live in Cloudflare R2 with object-lock.</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The new stack is measurably more secure for Nordic's specific use case — per-claim audit, per-property access control, immutable substantiation files — because it can enforce controls that Notion structurally cannot (Notion supports row-level page permissions but no column-level access control).</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The platform-vendor risk (vendor breach, vendor outage) is roughly lateral: both Notion and the new stack hold SOC 2 Type 2; the net security improvement comes from the controls in §5, conditional on Nordic countersignature.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2. What Data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040"/>
        <w:gridCol w:w="264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Data Class</w:t>
            </w:r>
          </w:p>
        </w:tc>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Location</w:t>
            </w:r>
          </w:p>
        </w:tc>
        <w:tc>
          <w:tcPr>
            <w:tcW w:type="dxa" w:w="2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Encryption</w:t>
            </w:r>
          </w:p>
        </w:tc>
        <w:tc>
          <w:tcPr>
            <w:tcW w:type="dxa" w:w="26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Access Model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PCS / AICS substantiation records (claims, evidence links, dose tables, regulatory metadata)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Supabase Postgres (wv-nordic project, US West region)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 at rest, TLS 1.2+ in transit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Postgres Row-Level Security (RLS), required on every table; per-column GRANT for read-only views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Per-claim audit trail (every change with who/when/before/after)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Supabase Postgres (pcs_revisions + claim_migration_log)</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Same as above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Append-only via INSERT-only GRANT; pgaudit extension records SQL-level activity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Source substantiation files — PCS (.docx, .pdf)</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Cloudflare R2 (nordic-substantiation-2026 bucket)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 at rest, TLS 1.2+ in transit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Default-private, signed URLs only, object-lock on the substantiation bucket</w:t>
            </w:r>
          </w:p>
        </w:tc>
      </w:tr>
      <w:tr>
        <w:tc>
          <w:tcPr>
            <w:tcW w:type="dxa" w:w="21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pPr>
              <w:spacing w:after="60"/>
            </w:pPr>
            <w:r>
              <w:rPr>
                <w:rFonts w:ascii="Arial" w:cs="Arial" w:eastAsia="Arial" w:hAnsi="Arial"/>
                <w:b/>
                <w:bCs/>
                <w:color w:val="1A1A1A"/>
                <w:sz w:val="20"/>
                <w:szCs w:val="20"/>
              </w:rPr>
              <w:t xml:space="preserve">AICS Documents</w:t>
            </w:r>
          </w:p>
          <w:p>
            <w:pPr>
              <w:spacing w:after="60"/>
            </w:pPr>
            <w:r>
              <w:rPr>
                <w:rFonts w:ascii="Arial" w:cs="Arial" w:eastAsia="Arial" w:hAnsi="Arial"/>
                <w:b/>
                <w:bCs/>
                <w:color w:val="7A4F00"/>
                <w:sz w:val="18"/>
                <w:szCs w:val="18"/>
              </w:rPr>
              <w:t xml:space="preserve">TRANSITIONAL STATE</w:t>
            </w:r>
          </w:p>
        </w:tc>
        <w:tc>
          <w:tcPr>
            <w:tcW w:type="dxa" w:w="252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Currently: Lauren Bosio creating manually, shared via Google Drive. Target: generated from Supabase via platform UI. Transition begins on contract signing + onboarding.</w:t>
            </w:r>
          </w:p>
        </w:tc>
        <w:tc>
          <w:tcPr>
            <w:tcW w:type="dxa" w:w="204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Transitional: Google Drive AES-256. Target: Supabase / R2 per above.</w:t>
            </w:r>
          </w:p>
        </w:tc>
        <w:tc>
          <w:tcPr>
            <w:tcW w:type="dxa" w:w="264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Transitional: Google Drive permissions controlled by Lauren. Target: RLS + signed URL per above.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Reviewer registry (Nordic researchers + reviewer accounts; emails, bcrypt-hashed passwords, role assignments)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Notion (transitional through 2026) → Supabase Postgres (Phase N3, Q3 2026)</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Notion AES-256 / Supabase AES-256</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Notion: workspace member + page permission. Supabase: RLS + role grants.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 / LLM prompts and responses (claim extraction, substantiation drafts)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API (Claude); Cloudflare AI Gateway for caching + cost telemetry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TLS in transit; ephemeral processing</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Zero data retention configured on AI Gateway; Anthropic ZDR-by-default for the org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Build artifacts, secrets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Cloudflare Workers (secret bindings). Note: Vercel no longer used for live Nordic code as of May 17, 2026.</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Encrypted at rest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RBAC via Cloudflare account roles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6"/>
              <w:bottom w:val="single" w:color="7A4F00" w:sz="6"/>
              <w:right w:val="single" w:color="7A4F00" w:sz="6"/>
            </w:tcBorders>
            <w:shd w:fill="FFF8E6" w:val="clear"/>
            <w:tcMar>
              <w:top w:type="dxa" w:w="160"/>
              <w:left w:type="dxa" w:w="200"/>
              <w:bottom w:type="dxa" w:w="160"/>
              <w:right w:type="dxa" w:w="200"/>
            </w:tcMar>
          </w:tcPr>
          <w:p>
            <w:pPr>
              <w:spacing w:after="60"/>
            </w:pPr>
            <w:r>
              <w:rPr>
                <w:rFonts w:ascii="Arial" w:cs="Arial" w:eastAsia="Arial" w:hAnsi="Arial"/>
                <w:b/>
                <w:bCs/>
                <w:color w:val="1A1A1A"/>
                <w:sz w:val="20"/>
                <w:szCs w:val="20"/>
              </w:rPr>
              <w:t xml:space="preserve">Note on AICS Documents</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As of May 14, 2026, AICS documents are being created by Lauren Bosio and team outside the platform and shared via Google Drive. This is a known workflow gap. The platform infrastructure for AICS generation is built (Bundle 3, shipped as part of Budget A). The transition to platform-generated AICS documents begins immediately upon contract signing. Until that transition is complete, Google Drive is the de facto data location for this document class and is not governed by this T&amp;C.</w:t>
            </w:r>
          </w:p>
        </w:tc>
      </w:tr>
    </w:tbl>
    <w:p>
      <w:pPr>
        <w:spacing w:after="100"/>
      </w:pPr>
    </w:p>
    <w:p>
      <w:pPr>
        <w:spacing w:after="100"/>
      </w:pPr>
      <w:r>
        <w:rPr>
          <w:rFonts w:ascii="Arial" w:cs="Arial" w:eastAsia="Arial" w:hAnsi="Arial"/>
          <w:b w:val="false"/>
          <w:bCs w:val="false"/>
          <w:color w:val="1A1A1A"/>
          <w:sz w:val="20"/>
          <w:szCs w:val="20"/>
        </w:rPr>
        <w:t xml:space="preserve">No PHI is processed on this platform. PII is limited to Nordic researcher names, work emails, and role assignments — no resident addresses, no government IDs, no payment data.</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3. Cloudflare 2025 Incident Review — What Nordic IT Should Know</w:t>
      </w:r>
    </w:p>
    <w:p>
      <w:pPr>
        <w:spacing w:after="100"/>
      </w:pPr>
      <w:r>
        <w:rPr>
          <w:rFonts w:ascii="Arial" w:cs="Arial" w:eastAsia="Arial" w:hAnsi="Arial"/>
          <w:b w:val="false"/>
          <w:bCs w:val="false"/>
          <w:color w:val="1A1A1A"/>
          <w:sz w:val="20"/>
          <w:szCs w:val="20"/>
        </w:rPr>
        <w:t xml:space="preserve">Three Cloudflare incidents in 2025 are material to this T&amp;C. None compromised stored customer data on Cloudflare Workers, D1, KV, or R2.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5760"/>
      </w:tblGrid>
      <w:tr>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Incident</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Date</w:t>
            </w:r>
          </w:p>
        </w:tc>
        <w:tc>
          <w:tcPr>
            <w:tcW w:type="dxa" w:w="5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Nature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Salesloft / Drift supply-chain breach</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 12–17, 2025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 threat actor abused the Salesloft Drift / Salesforce integration and exfiltrated data from Cloudflare's Salesforce tenant — sales/support contact records and 104 API tokens from Cloudflare's customer-relationship pipeline. Cloudflare's production network and customer data planes were not touched. Tokens rotated and affected customers notified within 48 hours.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R2 availability outages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Feb 6 &amp; Mar 21, 2025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Both were operational, not security incidents: an over-broad abuse-remediation action and a credential mis-deploy. R2 was unavailable for ~59 minutes in February. No data loss or corruption.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Global proxy outage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Nov 18, 2025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 Bot Management config file crashed Cloudflare's proxy for ~3 hours. Workers KV and Access were impaired. Not a security incident; no data exposure.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val="false"/>
                <w:bCs w:val="false"/>
                <w:color w:val="1A1A1A"/>
                <w:sz w:val="19"/>
                <w:szCs w:val="19"/>
              </w:rPr>
              <w:t xml:space="preserve">Net interpretation for Nordic: Cloudflare's 2025 record is "high-availability risk, low data-confidentiality risk." Plan for outage recovery (read-only fallback, exported snapshots — see §5.5), not for breach assumptions on Cloudflare-stored data.</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4. Supabase Security Posture — And the One Gotcha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Control</w:t>
            </w:r>
          </w:p>
        </w:tc>
        <w:tc>
          <w:tcPr>
            <w:tcW w:type="dxa" w:w="62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SOC 2 Type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 — audited and renewed annually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GDPR / PIPEDA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 DPA available; Supabase signs as processor with the customer as controller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 at rest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 in transit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TLS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Row-Level Security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Available — opt-in per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Audit logging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pgaudit for SQL activity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6"/>
              <w:bottom w:val="single" w:color="7A4F00" w:sz="6"/>
              <w:right w:val="single" w:color="7A4F00" w:sz="6"/>
            </w:tcBorders>
            <w:shd w:fill="FFF8E6"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The One Gotcha: RLS Is Opt-In, Not Default</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This is the root cause of the largest Supabase security failure pattern of 2024–2025: CVE-2025-48757 and a wave of public-database leaks (13,000+ user records across 170+ apps). Both §5.1 and a CI enforcement check in the platform address this directly — any PR touching db/migrations/*.sql is rejected if it adds a table without RLS enabled.</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5. Five Operational Commitments — The Substance of the Sign-Off</w:t>
      </w:r>
    </w:p>
    <w:p>
      <w:pPr>
        <w:spacing w:after="60" w:before="160"/>
      </w:pPr>
      <w:r>
        <w:rPr>
          <w:rFonts w:ascii="Arial" w:cs="Arial" w:eastAsia="Arial" w:hAnsi="Arial"/>
          <w:b/>
          <w:bCs/>
          <w:color w:val="1B6B7B"/>
          <w:sz w:val="22"/>
          <w:szCs w:val="22"/>
        </w:rPr>
        <w:t xml:space="preserve">5.1  RLS Required on Every Supabase Table</w:t>
      </w:r>
    </w:p>
    <w:p>
      <w:pPr>
        <w:spacing w:after="100"/>
      </w:pPr>
      <w:r>
        <w:rPr>
          <w:rFonts w:ascii="Arial" w:cs="Arial" w:eastAsia="Arial" w:hAnsi="Arial"/>
          <w:b w:val="false"/>
          <w:bCs w:val="false"/>
          <w:color w:val="1A1A1A"/>
          <w:sz w:val="20"/>
          <w:szCs w:val="20"/>
        </w:rPr>
        <w:t xml:space="preserve">Every table in the wv-nordic Supabase project must have Row-Level Security enabled at table-creation time. A pre-merge CI check enforces this: any PR touching db/migrations/*.sql is rejected if it adds a table without RLS enabled. Existing platform tables get RLS retrofit in the next deploy following Nordic's countersignature.</w:t>
      </w:r>
    </w:p>
    <w:p>
      <w:pPr>
        <w:spacing w:after="100"/>
      </w:pPr>
    </w:p>
    <w:p>
      <w:pPr>
        <w:spacing w:after="60" w:before="160"/>
      </w:pPr>
      <w:r>
        <w:rPr>
          <w:rFonts w:ascii="Arial" w:cs="Arial" w:eastAsia="Arial" w:hAnsi="Arial"/>
          <w:b/>
          <w:bCs/>
          <w:color w:val="1B6B7B"/>
          <w:sz w:val="22"/>
          <w:szCs w:val="22"/>
        </w:rPr>
        <w:t xml:space="preserve">5.2  The service_role Key Never Reaches Client Code or LLM Tools</w:t>
      </w:r>
    </w:p>
    <w:p>
      <w:pPr>
        <w:spacing w:after="100"/>
      </w:pPr>
      <w:r>
        <w:rPr>
          <w:rFonts w:ascii="Arial" w:cs="Arial" w:eastAsia="Arial" w:hAnsi="Arial"/>
          <w:b w:val="false"/>
          <w:bCs w:val="false"/>
          <w:color w:val="1A1A1A"/>
          <w:sz w:val="20"/>
          <w:szCs w:val="20"/>
        </w:rPr>
        <w:t xml:space="preserve">The Supabase service_role key bypasses RLS entirely. The platform commits to:</w:t>
      </w:r>
    </w:p>
    <w:p>
      <w:pPr>
        <w:pStyle w:val="ListParagraph"/>
        <w:numPr>
          <w:ilvl w:val="0"/>
          <w:numId w:val="2"/>
        </w:numPr>
        <w:spacing w:after="60"/>
      </w:pPr>
      <w:r>
        <w:rPr>
          <w:rFonts w:ascii="Arial" w:cs="Arial" w:eastAsia="Arial" w:hAnsi="Arial"/>
          <w:color w:val="1A1A1A"/>
          <w:sz w:val="20"/>
          <w:szCs w:val="20"/>
        </w:rPr>
        <w:t xml:space="preserve">service_role is bound only to Cloudflare Worker secret bindings on server-side handlers.</w:t>
      </w:r>
    </w:p>
    <w:p>
      <w:pPr>
        <w:pStyle w:val="ListParagraph"/>
        <w:numPr>
          <w:ilvl w:val="0"/>
          <w:numId w:val="2"/>
        </w:numPr>
        <w:spacing w:after="60"/>
      </w:pPr>
      <w:r>
        <w:rPr>
          <w:rFonts w:ascii="Arial" w:cs="Arial" w:eastAsia="Arial" w:hAnsi="Arial"/>
          <w:color w:val="1A1A1A"/>
          <w:sz w:val="20"/>
          <w:szCs w:val="20"/>
        </w:rPr>
        <w:t xml:space="preserve">service_role is never bound to a Worker that takes raw user input as an LLM tool argument.</w:t>
      </w:r>
    </w:p>
    <w:p>
      <w:pPr>
        <w:pStyle w:val="ListParagraph"/>
        <w:numPr>
          <w:ilvl w:val="0"/>
          <w:numId w:val="2"/>
        </w:numPr>
        <w:spacing w:after="60"/>
      </w:pPr>
      <w:r>
        <w:rPr>
          <w:rFonts w:ascii="Arial" w:cs="Arial" w:eastAsia="Arial" w:hAnsi="Arial"/>
          <w:color w:val="1A1A1A"/>
          <w:sz w:val="20"/>
          <w:szCs w:val="20"/>
        </w:rPr>
        <w:t xml:space="preserve">service_role is never copied into any client bundle, mobile build, or AI agent runtime.</w:t>
      </w:r>
    </w:p>
    <w:p>
      <w:pPr>
        <w:pStyle w:val="ListParagraph"/>
        <w:numPr>
          <w:ilvl w:val="0"/>
          <w:numId w:val="2"/>
        </w:numPr>
        <w:spacing w:after="60"/>
      </w:pPr>
      <w:r>
        <w:rPr>
          <w:rFonts w:ascii="Arial" w:cs="Arial" w:eastAsia="Arial" w:hAnsi="Arial"/>
          <w:color w:val="1A1A1A"/>
          <w:sz w:val="20"/>
          <w:szCs w:val="20"/>
        </w:rPr>
        <w:t xml:space="preserve">All client-side code uses the anon key plus a verified JWT bound to the authenticated user.</w:t>
      </w:r>
    </w:p>
    <w:p>
      <w:pPr>
        <w:spacing w:after="100"/>
      </w:pPr>
    </w:p>
    <w:p>
      <w:pPr>
        <w:spacing w:after="60" w:before="160"/>
      </w:pPr>
      <w:r>
        <w:rPr>
          <w:rFonts w:ascii="Arial" w:cs="Arial" w:eastAsia="Arial" w:hAnsi="Arial"/>
          <w:b/>
          <w:bCs/>
          <w:color w:val="1B6B7B"/>
          <w:sz w:val="22"/>
          <w:szCs w:val="22"/>
        </w:rPr>
        <w:t xml:space="preserve">5.3  No MCP / AI-Agent Tools Wired to Production Data</w:t>
      </w:r>
    </w:p>
    <w:p>
      <w:pPr>
        <w:spacing w:after="100"/>
      </w:pPr>
      <w:r>
        <w:rPr>
          <w:rFonts w:ascii="Arial" w:cs="Arial" w:eastAsia="Arial" w:hAnsi="Arial"/>
          <w:b w:val="false"/>
          <w:bCs w:val="false"/>
          <w:color w:val="1A1A1A"/>
          <w:sz w:val="20"/>
          <w:szCs w:val="20"/>
        </w:rPr>
        <w:t xml:space="preserve">No MCP servers, agent tools, or LLMs with tool-use enabled have direct access to production Postgres or production R2. AI features that need database access do so through narrow, capability-gated REST endpoints (the same endpoints the human UI uses), never through an MCP-style tool descriptor.</w:t>
      </w:r>
    </w:p>
    <w:p>
      <w:pPr>
        <w:spacing w:after="100"/>
      </w:pPr>
    </w:p>
    <w:p>
      <w:pPr>
        <w:spacing w:after="60" w:before="160"/>
      </w:pPr>
      <w:r>
        <w:rPr>
          <w:rFonts w:ascii="Arial" w:cs="Arial" w:eastAsia="Arial" w:hAnsi="Arial"/>
          <w:b/>
          <w:bCs/>
          <w:color w:val="1B6B7B"/>
          <w:sz w:val="22"/>
          <w:szCs w:val="22"/>
        </w:rPr>
        <w:t xml:space="preserve">5.4  R2 Default-Private + Signed URLs + Object-Lock on Substantiation</w:t>
      </w:r>
    </w:p>
    <w:p>
      <w:pPr>
        <w:pStyle w:val="ListParagraph"/>
        <w:numPr>
          <w:ilvl w:val="0"/>
          <w:numId w:val="2"/>
        </w:numPr>
        <w:spacing w:after="60"/>
      </w:pPr>
      <w:r>
        <w:rPr>
          <w:rFonts w:ascii="Arial" w:cs="Arial" w:eastAsia="Arial" w:hAnsi="Arial"/>
          <w:color w:val="1A1A1A"/>
          <w:sz w:val="20"/>
          <w:szCs w:val="20"/>
        </w:rPr>
        <w:t xml:space="preserve">All R2 buckets are default-private.</w:t>
      </w:r>
    </w:p>
    <w:p>
      <w:pPr>
        <w:pStyle w:val="ListParagraph"/>
        <w:numPr>
          <w:ilvl w:val="0"/>
          <w:numId w:val="2"/>
        </w:numPr>
        <w:spacing w:after="60"/>
      </w:pPr>
      <w:r>
        <w:rPr>
          <w:rFonts w:ascii="Arial" w:cs="Arial" w:eastAsia="Arial" w:hAnsi="Arial"/>
          <w:color w:val="1A1A1A"/>
          <w:sz w:val="20"/>
          <w:szCs w:val="20"/>
        </w:rPr>
        <w:t xml:space="preserve">Substantiation files served only via signed URLs with maximum 24-hour TTL.</w:t>
      </w:r>
    </w:p>
    <w:p>
      <w:pPr>
        <w:pStyle w:val="ListParagraph"/>
        <w:numPr>
          <w:ilvl w:val="0"/>
          <w:numId w:val="2"/>
        </w:numPr>
        <w:spacing w:after="60"/>
      </w:pPr>
      <w:r>
        <w:rPr>
          <w:rFonts w:ascii="Arial" w:cs="Arial" w:eastAsia="Arial" w:hAnsi="Arial"/>
          <w:color w:val="1A1A1A"/>
          <w:sz w:val="20"/>
          <w:szCs w:val="20"/>
        </w:rPr>
        <w:t xml:space="preserve">The substantiation bucket has R2 object-lock enabled in compliance mode for RA-approved AICS documents — these cannot be deleted or overwritten until the configured retention period elapses.</w:t>
      </w:r>
    </w:p>
    <w:p>
      <w:pPr>
        <w:spacing w:after="100"/>
      </w:pPr>
    </w:p>
    <w:p>
      <w:pPr>
        <w:spacing w:after="60" w:before="160"/>
      </w:pPr>
      <w:r>
        <w:rPr>
          <w:rFonts w:ascii="Arial" w:cs="Arial" w:eastAsia="Arial" w:hAnsi="Arial"/>
          <w:b/>
          <w:bCs/>
          <w:color w:val="1B6B7B"/>
          <w:sz w:val="22"/>
          <w:szCs w:val="22"/>
        </w:rPr>
        <w:t xml:space="preserve">5.5  Off-Platform Daily Snapshot</w:t>
      </w:r>
    </w:p>
    <w:p>
      <w:pPr>
        <w:spacing w:after="100"/>
      </w:pPr>
      <w:r>
        <w:rPr>
          <w:rFonts w:ascii="Arial" w:cs="Arial" w:eastAsia="Arial" w:hAnsi="Arial"/>
          <w:b w:val="false"/>
          <w:bCs w:val="false"/>
          <w:color w:val="1A1A1A"/>
          <w:sz w:val="20"/>
          <w:szCs w:val="20"/>
        </w:rPr>
        <w:t xml:space="preserve">A daily pg_dump of the Supabase database is captured to a separate cloud provider's storage (AWS S3, us-west-2, Glacier Instant Retrieval). Retention: 30 days rolling. A weekly R2 manifest export (file inventory + checksums) is stored alongside. Both snapshots are encrypted with a key held only by:</w:t>
      </w:r>
    </w:p>
    <w:p>
      <w:pPr>
        <w:pStyle w:val="ListParagraph"/>
        <w:numPr>
          <w:ilvl w:val="0"/>
          <w:numId w:val="2"/>
        </w:numPr>
        <w:spacing w:after="60"/>
      </w:pPr>
      <w:r>
        <w:rPr>
          <w:rFonts w:ascii="Arial" w:cs="Arial" w:eastAsia="Arial" w:hAnsi="Arial"/>
          <w:color w:val="1A1A1A"/>
          <w:sz w:val="20"/>
          <w:szCs w:val="20"/>
        </w:rPr>
        <w:t xml:space="preserve">Garrett Jaeger (primary)</w:t>
      </w:r>
    </w:p>
    <w:p>
      <w:pPr>
        <w:pStyle w:val="ListParagraph"/>
        <w:numPr>
          <w:ilvl w:val="0"/>
          <w:numId w:val="2"/>
        </w:numPr>
        <w:spacing w:after="60"/>
      </w:pPr>
      <w:r>
        <w:rPr>
          <w:rFonts w:ascii="Arial" w:cs="Arial" w:eastAsia="Arial" w:hAnsi="Arial"/>
          <w:color w:val="1A1A1A"/>
          <w:sz w:val="20"/>
          <w:szCs w:val="20"/>
        </w:rPr>
        <w:t xml:space="preserve">August Kinloch (named backup contractor, currently onboarding to Nordic project — access provisioned under contractor-of-winded.vertigo agreement per §9.3)</w:t>
      </w:r>
    </w:p>
    <w:p>
      <w:pPr>
        <w:spacing w:after="80"/>
      </w:pPr>
    </w:p>
    <w:p>
      <w:pPr>
        <w:spacing w:after="100"/>
      </w:pPr>
      <w:r>
        <w:rPr>
          <w:rFonts w:ascii="Arial" w:cs="Arial" w:eastAsia="Arial" w:hAnsi="Arial"/>
          <w:b w:val="false"/>
          <w:bCs w:val="false"/>
          <w:color w:val="1A1A1A"/>
          <w:sz w:val="20"/>
          <w:szCs w:val="20"/>
        </w:rPr>
        <w:t xml:space="preserve">Nordic can request a snapshot recovery rehearsal once per quarter.</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6. Comparison Table — Notion-Primary vs. Cloudflare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Concern</w:t>
            </w:r>
          </w:p>
        </w:tc>
        <w:tc>
          <w:tcPr>
            <w:tcW w:type="dxa" w:w="34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Notion-primary</w:t>
            </w:r>
          </w:p>
        </w:tc>
        <w:tc>
          <w:tcPr>
            <w:tcW w:type="dxa" w:w="34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Cloudflare + Supabase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Per-claim audit trail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Workspace audit log (Enterprise tier) — coarse-grained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pgaudit + app-level pcs_revisions — fine-grained, queryable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Per-property access control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 supported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Postgres RLS + column privileges — enforced at the database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Substantiation document immutability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Page versions, soft delete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R2 object-lock + append-only revision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Encryption at rest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 opaque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 customer-controllable via Vault 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SOC 2 / ISO certifications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SOC 2 Type 2; ISO 27001/27017/27018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SOC 2 Type 2 (Cloudflare + Supabase both); ISO 27001 (Cloudflare)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Operational risk (availability)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Notion outages: short, infrequent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Cloudflare had 3-hr Nov 2025 global event; mitigated by §5.5 snapshots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Misuse risk surface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Workspace sharing mistakes; AI Agent injection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Missing RLS, leaked service_role, MCP/agent injection — all explicitly forbidden by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Data residency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EU available on Enterprise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Supabase: US West for wv-nordic; Cloudflare anycast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val="false"/>
                <w:bCs w:val="false"/>
                <w:color w:val="1A1A1A"/>
                <w:sz w:val="19"/>
                <w:szCs w:val="19"/>
              </w:rPr>
              <w:t xml:space="preserve">Where Cloudflare + Supabase materially exceeds Notion: per-property access control, audit trail granularity, substantiation file immutability, customer-controlled encryption keys, vendor-published incident postmortems.</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Where Notion is simpler: workspace-sharing UX, no operational responsibility for the customer.</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7. Sub-Processor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040"/>
        <w:gridCol w:w="3000"/>
      </w:tblGrid>
      <w:tr>
        <w:tc>
          <w:tcPr>
            <w:tcW w:type="dxa" w:w="1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Sub-Processor</w:t>
            </w:r>
          </w:p>
        </w:tc>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Role</w:t>
            </w:r>
          </w:p>
        </w:tc>
        <w:tc>
          <w:tcPr>
            <w:tcW w:type="dxa" w:w="2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DPA</w:t>
            </w:r>
          </w:p>
        </w:tc>
        <w:tc>
          <w:tcPr>
            <w:tcW w:type="dxa" w:w="30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Scope of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Cloudflare, Inc.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Edge compute (Workers), object storage (R2), CDN, AI Gateway</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Cloudflare Customer DPA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categories in §2 except AICS docs (transitional via Google Drive) and reviewer registry (transitional via Notion)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Supabase, Inc.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Postgres database, authentication backend, pgaudit logs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Supabase DPA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PCS / AICS substantiation records + per-claim audit trail</w:t>
            </w:r>
          </w:p>
        </w:tc>
      </w:tr>
      <w:tr>
        <w:tc>
          <w:tcPr>
            <w:tcW w:type="dxa" w:w="18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pPr>
              <w:spacing w:after="40"/>
            </w:pPr>
            <w:r>
              <w:rPr>
                <w:rFonts w:ascii="Arial" w:cs="Arial" w:eastAsia="Arial" w:hAnsi="Arial"/>
                <w:b/>
                <w:bCs/>
                <w:color w:val="1A1A1A"/>
                <w:sz w:val="20"/>
                <w:szCs w:val="20"/>
              </w:rPr>
              <w:t xml:space="preserve">Vercel, Inc.</w:t>
            </w:r>
          </w:p>
          <w:p>
            <w:pPr>
              <w:spacing w:after="40"/>
            </w:pPr>
            <w:r>
              <w:rPr>
                <w:rFonts w:ascii="Arial" w:cs="Arial" w:eastAsia="Arial" w:hAnsi="Arial"/>
                <w:b/>
                <w:bCs/>
                <w:color w:val="7A4F00"/>
                <w:sz w:val="18"/>
                <w:szCs w:val="18"/>
              </w:rPr>
              <w:t xml:space="preserve">TRANSITIONAL ONLY</w:t>
            </w:r>
          </w:p>
        </w:tc>
        <w:tc>
          <w:tcPr>
            <w:tcW w:type="dxa" w:w="252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live Nordic code after May 17, 2026. CRM rollback only, expires May 17.</w:t>
            </w:r>
          </w:p>
        </w:tc>
        <w:tc>
          <w:tcPr>
            <w:tcW w:type="dxa" w:w="204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Vercel DPA</w:t>
            </w:r>
          </w:p>
        </w:tc>
        <w:tc>
          <w:tcPr>
            <w:tcW w:type="dxa" w:w="30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Minimal; transitional build artifacts only. No Nordic substantiation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Anthropic, PBC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LLM inference (Claude API) for claim extraction and AICS draft generation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Commercial Terms, Zero Data Retention configured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Ephemeral processing of claim text; ZDR means no training and no retention beyond the synchronous response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Notion Labs, Inc.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Reviewer registry until Phase N3 cutover (Q3 2026). AICS transitional state (see §2).</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Notion DPA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Reviewer names, work emails, bcrypt-hashed passwords, role assignments; AICS docs during transition period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Google LLC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AICS documents (transitional — Lauren shares via Google Drive during onboarding gap)</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Google Workspace DPA (Nordic's existing agreement)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AICS documents only; governed by Nordic's own Google Workspace agreement, not winded.vertigo's agreement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AWS, Inc.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S3 Glacier Instant Retrieval — encrypted daily Postgres snapshot per §5.5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DPA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Encrypted dumps only; encryption key not held by AWS</w:t>
            </w:r>
          </w:p>
        </w:tc>
      </w:tr>
    </w:tbl>
    <w:p>
      <w:pPr>
        <w:spacing w:after="100"/>
      </w:pPr>
    </w:p>
    <w:p>
      <w:pPr>
        <w:spacing w:after="100"/>
      </w:pPr>
      <w:r>
        <w:rPr>
          <w:rFonts w:ascii="Arial" w:cs="Arial" w:eastAsia="Arial" w:hAnsi="Arial"/>
          <w:b w:val="false"/>
          <w:bCs w:val="false"/>
          <w:color w:val="1A1A1A"/>
          <w:sz w:val="20"/>
          <w:szCs w:val="20"/>
        </w:rPr>
        <w:t xml:space="preserve">If any sub-processor is added or replaced, Nordic is notified at least 14 days in advance with a description of the change and the option to object before activation.</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8. Incident Response Chain — Garrett's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Commitment</w:t>
            </w:r>
          </w:p>
        </w:tc>
        <w:tc>
          <w:tcPr>
            <w:tcW w:type="dxa" w:w="64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Detail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48-hour vendor-incident forwarding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When Garrett receives a security-relevant notification from any sub-processor in §7, Nordic IT is notified within 48 hours, with a description of scope and remediation status.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24-hour Garrett-side notification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If Garrett detects a security event affecting Nordic data, Nordic IT is notified within 24 hours.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Quarterly sub-processor register review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publishes a current sub-processor register every quarter; Nordic reviews and counter-signs.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Annual penetration 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Recommended scope: capability-gated API endpoints, RLS effectiveness on wv-nordic, R2 object-lock enforcement. Performed by a third party Nordic IT approves; results shared within 30 days.</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9. Role of Garrett Jaeger / winded.vertigo LLC</w:t>
      </w:r>
    </w:p>
    <w:p>
      <w:pPr>
        <w:spacing w:after="80" w:before="200"/>
      </w:pPr>
      <w:r>
        <w:rPr>
          <w:rFonts w:ascii="Arial" w:cs="Arial" w:eastAsia="Arial" w:hAnsi="Arial"/>
          <w:b/>
          <w:bCs/>
          <w:color w:val="1A1A1A"/>
          <w:sz w:val="24"/>
          <w:szCs w:val="24"/>
        </w:rPr>
        <w:t xml:space="preserve">9.1 Data Protection Lead Title</w:t>
      </w:r>
    </w:p>
    <w:p>
      <w:pPr>
        <w:spacing w:after="100"/>
      </w:pPr>
      <w:r>
        <w:rPr>
          <w:rFonts w:ascii="Arial" w:cs="Arial" w:eastAsia="Arial" w:hAnsi="Arial"/>
          <w:b w:val="false"/>
          <w:bCs w:val="false"/>
          <w:color w:val="1A1A1A"/>
          <w:sz w:val="20"/>
          <w:szCs w:val="20"/>
        </w:rPr>
        <w:t xml:space="preserve">Garrett's role is titled Data Protection Lead (not Data Protection Officer / DPO). This is intentional:</w:t>
      </w:r>
    </w:p>
    <w:p>
      <w:pPr>
        <w:pStyle w:val="ListParagraph"/>
        <w:numPr>
          <w:ilvl w:val="0"/>
          <w:numId w:val="2"/>
        </w:numPr>
        <w:spacing w:after="60"/>
      </w:pPr>
      <w:r>
        <w:rPr>
          <w:rFonts w:ascii="Arial" w:cs="Arial" w:eastAsia="Arial" w:hAnsi="Arial"/>
          <w:color w:val="1A1A1A"/>
          <w:sz w:val="20"/>
          <w:szCs w:val="20"/>
        </w:rPr>
        <w:t xml:space="preserve">Strict GDPR Article 37 DPO requirements likely do not apply to Nordic for this dataset (no large-scale special-category processing, no systematic monitoring of EU data subjects).</w:t>
      </w:r>
    </w:p>
    <w:p>
      <w:pPr>
        <w:pStyle w:val="ListParagraph"/>
        <w:numPr>
          <w:ilvl w:val="0"/>
          <w:numId w:val="2"/>
        </w:numPr>
        <w:spacing w:after="60"/>
      </w:pPr>
      <w:r>
        <w:rPr>
          <w:rFonts w:ascii="Arial" w:cs="Arial" w:eastAsia="Arial" w:hAnsi="Arial"/>
          <w:color w:val="1A1A1A"/>
          <w:sz w:val="20"/>
          <w:szCs w:val="20"/>
        </w:rPr>
        <w:t xml:space="preserve">Architecture: winded.vertigo LLC is Nordic's processor; entities in §7 are sub-processors. "Lead" accurately reflects this without triggering Art. 37 expectations Nordic doesn't actually need.</w:t>
      </w:r>
    </w:p>
    <w:p>
      <w:pPr>
        <w:spacing w:after="80"/>
      </w:pPr>
    </w:p>
    <w:p>
      <w:pPr>
        <w:spacing w:after="100"/>
      </w:pPr>
      <w:r>
        <w:rPr>
          <w:rFonts w:ascii="Arial" w:cs="Arial" w:eastAsia="Arial" w:hAnsi="Arial"/>
          <w:b w:val="false"/>
          <w:bCs w:val="false"/>
          <w:color w:val="1A1A1A"/>
          <w:sz w:val="20"/>
          <w:szCs w:val="20"/>
        </w:rPr>
        <w:t xml:space="preserve">If Nordic later appoints a formal DPO under Article 37, the contractual framing here continues to hold — Nordic's DPO oversees Garrett-as-processor under the existing chain.</w:t>
      </w:r>
    </w:p>
    <w:p>
      <w:pPr>
        <w:spacing w:after="120"/>
      </w:pPr>
    </w:p>
    <w:p>
      <w:pPr>
        <w:spacing w:after="80" w:before="200"/>
      </w:pPr>
      <w:r>
        <w:rPr>
          <w:rFonts w:ascii="Arial" w:cs="Arial" w:eastAsia="Arial" w:hAnsi="Arial"/>
          <w:b/>
          <w:bCs/>
          <w:color w:val="1A1A1A"/>
          <w:sz w:val="24"/>
          <w:szCs w:val="24"/>
        </w:rPr>
        <w:t xml:space="preserve">9.2 Operational Responsibilities</w:t>
      </w:r>
    </w:p>
    <w:p>
      <w:pPr>
        <w:pStyle w:val="ListParagraph"/>
        <w:numPr>
          <w:ilvl w:val="0"/>
          <w:numId w:val="2"/>
        </w:numPr>
        <w:spacing w:after="60"/>
      </w:pPr>
      <w:r>
        <w:rPr>
          <w:rFonts w:ascii="Arial" w:cs="Arial" w:eastAsia="Arial" w:hAnsi="Arial"/>
          <w:color w:val="1A1A1A"/>
          <w:sz w:val="20"/>
          <w:szCs w:val="20"/>
        </w:rPr>
        <w:t xml:space="preserve">Single point of contact for Nordic IT on platform security questions</w:t>
      </w:r>
    </w:p>
    <w:p>
      <w:pPr>
        <w:pStyle w:val="ListParagraph"/>
        <w:numPr>
          <w:ilvl w:val="0"/>
          <w:numId w:val="2"/>
        </w:numPr>
        <w:spacing w:after="60"/>
      </w:pPr>
      <w:r>
        <w:rPr>
          <w:rFonts w:ascii="Arial" w:cs="Arial" w:eastAsia="Arial" w:hAnsi="Arial"/>
          <w:color w:val="1A1A1A"/>
          <w:sz w:val="20"/>
          <w:szCs w:val="20"/>
        </w:rPr>
        <w:t xml:space="preserve">Author and maintainer of this T&amp;C</w:t>
      </w:r>
    </w:p>
    <w:p>
      <w:pPr>
        <w:pStyle w:val="ListParagraph"/>
        <w:numPr>
          <w:ilvl w:val="0"/>
          <w:numId w:val="2"/>
        </w:numPr>
        <w:spacing w:after="60"/>
      </w:pPr>
      <w:r>
        <w:rPr>
          <w:rFonts w:ascii="Arial" w:cs="Arial" w:eastAsia="Arial" w:hAnsi="Arial"/>
          <w:color w:val="1A1A1A"/>
          <w:sz w:val="20"/>
          <w:szCs w:val="20"/>
        </w:rPr>
        <w:t xml:space="preserve">Custodian of platform credentials and key rotation schedule</w:t>
      </w:r>
    </w:p>
    <w:p>
      <w:pPr>
        <w:pStyle w:val="ListParagraph"/>
        <w:numPr>
          <w:ilvl w:val="0"/>
          <w:numId w:val="2"/>
        </w:numPr>
        <w:spacing w:after="60"/>
      </w:pPr>
      <w:r>
        <w:rPr>
          <w:rFonts w:ascii="Arial" w:cs="Arial" w:eastAsia="Arial" w:hAnsi="Arial"/>
          <w:color w:val="1A1A1A"/>
          <w:sz w:val="20"/>
          <w:szCs w:val="20"/>
        </w:rPr>
        <w:t xml:space="preserve">Incident response lead per §8</w:t>
      </w:r>
    </w:p>
    <w:p>
      <w:pPr>
        <w:pStyle w:val="ListParagraph"/>
        <w:numPr>
          <w:ilvl w:val="0"/>
          <w:numId w:val="2"/>
        </w:numPr>
        <w:spacing w:after="60"/>
      </w:pPr>
      <w:r>
        <w:rPr>
          <w:rFonts w:ascii="Arial" w:cs="Arial" w:eastAsia="Arial" w:hAnsi="Arial"/>
          <w:color w:val="1A1A1A"/>
          <w:sz w:val="20"/>
          <w:szCs w:val="20"/>
        </w:rPr>
        <w:t xml:space="preserve">Owner of the named-backup continuity arrangement</w:t>
      </w:r>
    </w:p>
    <w:p>
      <w:pPr>
        <w:spacing w:after="120"/>
      </w:pPr>
    </w:p>
    <w:p>
      <w:pPr>
        <w:spacing w:after="80" w:before="200"/>
      </w:pPr>
      <w:r>
        <w:rPr>
          <w:rFonts w:ascii="Arial" w:cs="Arial" w:eastAsia="Arial" w:hAnsi="Arial"/>
          <w:b/>
          <w:bCs/>
          <w:color w:val="1A1A1A"/>
          <w:sz w:val="24"/>
          <w:szCs w:val="24"/>
        </w:rPr>
        <w:t xml:space="preserve">9.3 Named Backup Contractor — August Kinloch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Topic</w:t>
            </w:r>
          </w:p>
        </w:tc>
        <w:tc>
          <w:tcPr>
            <w:tcW w:type="dxa" w:w="72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Detail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Data access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Kinloch holds contractor access to the following systems under a contractor-of-winded.vertigo agreement: Cloudflare (Workers + R2 + KV), Supabase (wv-nordic project, read-write), Notion (Nordic workspace member), Anthropic (org member). All access is provisioned under contractor-of-winded.vertigo terms, not direct Nordic-issued accounts.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Data handling obligations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is bound by equivalent confidentiality and data handling obligations to Garrett's, including: no sharing, publishing, or use of Nordic's proprietary data outside this engagement; no referencing Nordic as a client in public-facing materials without prior written approval; compliance with the RLS, service_role, and MCP/agent restrictions in §5.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Access scope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August's access to Nordic data is scoped to incidents during Garrett's absence, snapshot management (§5.5), and specific tasks explicitly delegated by Garrett in writing. August does not have standing authorization to access Nordic data outside these contexts.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Nordic notification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is notified in writing if August's role changes or if a new named backup contractor is substituted (30-day advance notice per the Retainer + Buyout Agreement §3a).</w:t>
            </w:r>
          </w:p>
        </w:tc>
      </w:tr>
    </w:tbl>
    <w:p>
      <w:pPr>
        <w:spacing w:after="120"/>
      </w:pPr>
    </w:p>
    <w:p>
      <w:pPr>
        <w:spacing w:after="80" w:before="200"/>
      </w:pPr>
      <w:r>
        <w:rPr>
          <w:rFonts w:ascii="Arial" w:cs="Arial" w:eastAsia="Arial" w:hAnsi="Arial"/>
          <w:b/>
          <w:bCs/>
          <w:color w:val="1A1A1A"/>
          <w:sz w:val="24"/>
          <w:szCs w:val="24"/>
        </w:rPr>
        <w:t xml:space="preserve">9.4 Data Ownership and Exit Terms</w:t>
      </w:r>
    </w:p>
    <w:p>
      <w:pPr>
        <w:spacing w:after="100"/>
      </w:pPr>
      <w:r>
        <w:rPr>
          <w:rFonts w:ascii="Arial" w:cs="Arial" w:eastAsia="Arial" w:hAnsi="Arial"/>
          <w:b w:val="false"/>
          <w:bCs w:val="false"/>
          <w:color w:val="1A1A1A"/>
          <w:sz w:val="20"/>
          <w:szCs w:val="20"/>
        </w:rPr>
        <w:t xml:space="preserve">Nordic's data remains Nordic's property at all times. winded.vertigo holds it as processor only.</w:t>
      </w:r>
    </w:p>
    <w:p>
      <w:pPr>
        <w:spacing w:after="60"/>
      </w:pPr>
    </w:p>
    <w:p>
      <w:pPr>
        <w:spacing w:after="100"/>
      </w:pPr>
      <w:r>
        <w:rPr>
          <w:rFonts w:ascii="Arial" w:cs="Arial" w:eastAsia="Arial" w:hAnsi="Arial"/>
          <w:b w:val="false"/>
          <w:bCs w:val="false"/>
          <w:color w:val="1A1A1A"/>
          <w:sz w:val="20"/>
          <w:szCs w:val="20"/>
        </w:rPr>
        <w:t xml:space="preserve">On termination of the retainer:</w:t>
      </w:r>
    </w:p>
    <w:p>
      <w:pPr>
        <w:pStyle w:val="ListParagraph"/>
        <w:numPr>
          <w:ilvl w:val="0"/>
          <w:numId w:val="2"/>
        </w:numPr>
        <w:spacing w:after="60"/>
      </w:pPr>
      <w:r>
        <w:rPr>
          <w:rFonts w:ascii="Arial" w:cs="Arial" w:eastAsia="Arial" w:hAnsi="Arial"/>
          <w:color w:val="1A1A1A"/>
          <w:sz w:val="20"/>
          <w:szCs w:val="20"/>
        </w:rPr>
        <w:t xml:space="preserve">All Nordic data is returned to Nordic in standard formats (JSON, CSV, PDF) within 30 days of termination.</w:t>
      </w:r>
    </w:p>
    <w:p>
      <w:pPr>
        <w:pStyle w:val="ListParagraph"/>
        <w:numPr>
          <w:ilvl w:val="0"/>
          <w:numId w:val="2"/>
        </w:numPr>
        <w:spacing w:after="60"/>
      </w:pPr>
      <w:r>
        <w:rPr>
          <w:rFonts w:ascii="Arial" w:cs="Arial" w:eastAsia="Arial" w:hAnsi="Arial"/>
          <w:color w:val="1A1A1A"/>
          <w:sz w:val="20"/>
          <w:szCs w:val="20"/>
        </w:rPr>
        <w:t xml:space="preserve">All Nordic data is deleted from winded.vertigo systems and sub-processor systems within 30 days of termination, with written confirmation to Nordic.</w:t>
      </w:r>
    </w:p>
    <w:p>
      <w:pPr>
        <w:pStyle w:val="ListParagraph"/>
        <w:numPr>
          <w:ilvl w:val="0"/>
          <w:numId w:val="2"/>
        </w:numPr>
        <w:spacing w:after="60"/>
      </w:pPr>
      <w:r>
        <w:rPr>
          <w:rFonts w:ascii="Arial" w:cs="Arial" w:eastAsia="Arial" w:hAnsi="Arial"/>
          <w:color w:val="1A1A1A"/>
          <w:sz w:val="20"/>
          <w:szCs w:val="20"/>
        </w:rPr>
        <w:t xml:space="preserve">The daily snapshot (§5.5) is purged within 30 days; the encryption key is transferred to Nordic or destroyed with confirmation.</w:t>
      </w:r>
    </w:p>
    <w:p>
      <w:pPr>
        <w:pStyle w:val="ListParagraph"/>
        <w:numPr>
          <w:ilvl w:val="0"/>
          <w:numId w:val="2"/>
        </w:numPr>
        <w:spacing w:after="60"/>
      </w:pPr>
      <w:r>
        <w:rPr>
          <w:rFonts w:ascii="Arial" w:cs="Arial" w:eastAsia="Arial" w:hAnsi="Arial"/>
          <w:color w:val="1A1A1A"/>
          <w:sz w:val="20"/>
          <w:szCs w:val="20"/>
        </w:rPr>
        <w:t xml:space="preserve">August Kinloch's access is revoked on the termination effective date.</w:t>
      </w:r>
    </w:p>
    <w:p>
      <w:pPr>
        <w:spacing w:after="80"/>
      </w:pPr>
    </w:p>
    <w:p>
      <w:pPr>
        <w:spacing w:after="100"/>
      </w:pPr>
      <w:r>
        <w:rPr>
          <w:rFonts w:ascii="Arial" w:cs="Arial" w:eastAsia="Arial" w:hAnsi="Arial"/>
          <w:b w:val="false"/>
          <w:bCs w:val="false"/>
          <w:color w:val="1A1A1A"/>
          <w:sz w:val="20"/>
          <w:szCs w:val="20"/>
        </w:rPr>
        <w:t xml:space="preserve">Full export is available at any time on Nordic's written request, not only on termination.</w:t>
      </w:r>
    </w:p>
    <w:p>
      <w:pPr>
        <w:spacing w:after="120"/>
      </w:pPr>
    </w:p>
    <w:p>
      <w:pPr>
        <w:spacing w:after="80" w:before="200"/>
      </w:pPr>
      <w:r>
        <w:rPr>
          <w:rFonts w:ascii="Arial" w:cs="Arial" w:eastAsia="Arial" w:hAnsi="Arial"/>
          <w:b/>
          <w:bCs/>
          <w:color w:val="1A1A1A"/>
          <w:sz w:val="24"/>
          <w:szCs w:val="24"/>
        </w:rPr>
        <w:t xml:space="preserve">9.5 Data Protection Obligations —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Data protection obligations under this agreement apply from March 1, 2026</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This is the date winded.vertigo began actively processing Nordic research data in the retainer capacity — consulting, schema work, AICS collaboration with Lauren Bosio, and platform adaptation. This applies regardless of the formal contract execution date.</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This means:</w:t>
            </w:r>
          </w:p>
          <w:p>
            <w:pPr>
              <w:spacing w:after="60"/>
            </w:pPr>
            <w:r>
              <w:rPr>
                <w:rFonts w:ascii="Arial" w:cs="Arial" w:eastAsia="Arial" w:hAnsi="Arial"/>
                <w:b w:val="false"/>
                <w:bCs w:val="false"/>
                <w:color w:val="1A1A1A"/>
                <w:sz w:val="19"/>
                <w:szCs w:val="19"/>
              </w:rPr>
              <w:t xml:space="preserve">  ·  The operational commitments in §5 govern how Nordic data has been handled since March 1, 2026.</w:t>
            </w:r>
          </w:p>
          <w:p>
            <w:pPr>
              <w:spacing w:after="60"/>
            </w:pPr>
            <w:r>
              <w:rPr>
                <w:rFonts w:ascii="Arial" w:cs="Arial" w:eastAsia="Arial" w:hAnsi="Arial"/>
                <w:b w:val="false"/>
                <w:bCs w:val="false"/>
                <w:color w:val="1A1A1A"/>
                <w:sz w:val="19"/>
                <w:szCs w:val="19"/>
              </w:rPr>
              <w:t xml:space="preserve">  ·  The incident notification chain in §8 applies retroactively to any security event occurring after March 1, 2026.</w:t>
            </w:r>
          </w:p>
          <w:p>
            <w:pPr>
              <w:spacing w:after="60"/>
            </w:pPr>
            <w:r>
              <w:rPr>
                <w:rFonts w:ascii="Arial" w:cs="Arial" w:eastAsia="Arial" w:hAnsi="Arial"/>
                <w:b w:val="false"/>
                <w:bCs w:val="false"/>
                <w:color w:val="1A1A1A"/>
                <w:sz w:val="19"/>
                <w:szCs w:val="19"/>
              </w:rPr>
              <w:t xml:space="preserve">  ·  Nordic's data rights under §9.4 (export on request, deletion on termination, ownership) apply from March 1, 2026.</w:t>
            </w:r>
          </w:p>
        </w:tc>
      </w:tr>
    </w:tbl>
    <w:p>
      <w:pPr>
        <w:spacing w:after="160"/>
      </w:pPr>
    </w:p>
    <w:p>
      <w:r>
        <w:br w:type="page"/>
      </w:r>
    </w:p>
    <w:p>
      <w:pPr>
        <w:pBdr>
          <w:bottom w:val="single" w:color="1B6B7B" w:sz="4" w:space="4"/>
        </w:pBdr>
        <w:spacing w:after="120" w:before="280"/>
      </w:pPr>
      <w:r>
        <w:rPr>
          <w:rFonts w:ascii="Arial" w:cs="Arial" w:eastAsia="Arial" w:hAnsi="Arial"/>
          <w:b/>
          <w:bCs/>
          <w:color w:val="1B6B7B"/>
          <w:sz w:val="28"/>
          <w:szCs w:val="28"/>
        </w:rPr>
        <w:t xml:space="preserve">10.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1440"/>
        <w:gridCol w:w="108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Party</w:t>
            </w:r>
          </w:p>
        </w:tc>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Name</w:t>
            </w:r>
          </w:p>
        </w:tc>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Role</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Signature</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Date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Naturals (data controller)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Sharon Matheny → forwarded to: Nordic IT named contact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Research VP / IT Director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___________________</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___________</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winded.vertigo LLC (data processor)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Jaeger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Protection Lead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___________________</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___________</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val="false"/>
                <w:bCs w:val="false"/>
                <w:color w:val="1A1A1A"/>
                <w:sz w:val="19"/>
                <w:szCs w:val="19"/>
              </w:rPr>
              <w:t xml:space="preserve">Effective date is the date both parties sign.</w:t>
            </w:r>
          </w:p>
          <w:p>
            <w:pPr>
              <w:spacing w:after="60"/>
            </w:pPr>
            <w:r>
              <w:rPr>
                <w:rFonts w:ascii="Arial" w:cs="Arial" w:eastAsia="Arial" w:hAnsi="Arial"/>
                <w:b w:val="false"/>
                <w:bCs w:val="false"/>
                <w:color w:val="1A1A1A"/>
                <w:sz w:val="19"/>
                <w:szCs w:val="19"/>
              </w:rPr>
              <w:t xml:space="preserve">Data protection obligations per §9.5 are retroactive to March 1, 2026.</w:t>
            </w:r>
          </w:p>
          <w:p>
            <w:pPr>
              <w:spacing w:after="60"/>
            </w:pPr>
            <w:r>
              <w:rPr>
                <w:rFonts w:ascii="Arial" w:cs="Arial" w:eastAsia="Arial" w:hAnsi="Arial"/>
                <w:b w:val="false"/>
                <w:bCs w:val="false"/>
                <w:color w:val="1A1A1A"/>
                <w:sz w:val="19"/>
                <w:szCs w:val="19"/>
              </w:rPr>
              <w:t xml:space="preserve">This T&amp;C v3 supersedes v2 (May 3, 2026) and v1 (Notion-primary, 2025).</w:t>
            </w:r>
          </w:p>
          <w:p>
            <w:pPr>
              <w:spacing w:after="60"/>
            </w:pPr>
            <w:r>
              <w:rPr>
                <w:rFonts w:ascii="Arial" w:cs="Arial" w:eastAsia="Arial" w:hAnsi="Arial"/>
                <w:b w:val="false"/>
                <w:bCs w:val="false"/>
                <w:color w:val="1A1A1A"/>
                <w:sz w:val="19"/>
                <w:szCs w:val="19"/>
              </w:rPr>
              <w:t xml:space="preserve">The operational commitments in §5 are in effect from the next platform deploy following countersignature.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Appendix — Sources</w:t>
      </w:r>
    </w:p>
    <w:p>
      <w:pPr>
        <w:pStyle w:val="ListParagraph"/>
        <w:numPr>
          <w:ilvl w:val="0"/>
          <w:numId w:val="2"/>
        </w:numPr>
        <w:spacing w:after="60"/>
      </w:pPr>
      <w:r>
        <w:rPr>
          <w:rFonts w:ascii="Arial" w:cs="Arial" w:eastAsia="Arial" w:hAnsi="Arial"/>
          <w:color w:val="1A1A1A"/>
          <w:sz w:val="20"/>
          <w:szCs w:val="20"/>
        </w:rPr>
        <w:t xml:space="preserve">Cloudflare response to Salesloft Drift incident, Aug 2025</w:t>
      </w:r>
    </w:p>
    <w:p>
      <w:pPr>
        <w:pStyle w:val="ListParagraph"/>
        <w:numPr>
          <w:ilvl w:val="0"/>
          <w:numId w:val="2"/>
        </w:numPr>
        <w:spacing w:after="60"/>
      </w:pPr>
      <w:r>
        <w:rPr>
          <w:rFonts w:ascii="Arial" w:cs="Arial" w:eastAsia="Arial" w:hAnsi="Arial"/>
          <w:color w:val="1A1A1A"/>
          <w:sz w:val="20"/>
          <w:szCs w:val="20"/>
        </w:rPr>
        <w:t xml:space="preserve">Cloudflare R2 incident postmortem, Feb 6, 2025</w:t>
      </w:r>
    </w:p>
    <w:p>
      <w:pPr>
        <w:pStyle w:val="ListParagraph"/>
        <w:numPr>
          <w:ilvl w:val="0"/>
          <w:numId w:val="2"/>
        </w:numPr>
        <w:spacing w:after="60"/>
      </w:pPr>
      <w:r>
        <w:rPr>
          <w:rFonts w:ascii="Arial" w:cs="Arial" w:eastAsia="Arial" w:hAnsi="Arial"/>
          <w:color w:val="1A1A1A"/>
          <w:sz w:val="20"/>
          <w:szCs w:val="20"/>
        </w:rPr>
        <w:t xml:space="preserve">Cloudflare R2 incident postmortem, Mar 21, 2025</w:t>
      </w:r>
    </w:p>
    <w:p>
      <w:pPr>
        <w:pStyle w:val="ListParagraph"/>
        <w:numPr>
          <w:ilvl w:val="0"/>
          <w:numId w:val="2"/>
        </w:numPr>
        <w:spacing w:after="60"/>
      </w:pPr>
      <w:r>
        <w:rPr>
          <w:rFonts w:ascii="Arial" w:cs="Arial" w:eastAsia="Arial" w:hAnsi="Arial"/>
          <w:color w:val="1A1A1A"/>
          <w:sz w:val="20"/>
          <w:szCs w:val="20"/>
        </w:rPr>
        <w:t xml:space="preserve">Cloudflare Nov 18, 2025 outage postmortem</w:t>
      </w:r>
    </w:p>
    <w:p>
      <w:pPr>
        <w:pStyle w:val="ListParagraph"/>
        <w:numPr>
          <w:ilvl w:val="0"/>
          <w:numId w:val="2"/>
        </w:numPr>
        <w:spacing w:after="60"/>
      </w:pPr>
      <w:r>
        <w:rPr>
          <w:rFonts w:ascii="Arial" w:cs="Arial" w:eastAsia="Arial" w:hAnsi="Arial"/>
          <w:color w:val="1A1A1A"/>
          <w:sz w:val="20"/>
          <w:szCs w:val="20"/>
        </w:rPr>
        <w:t xml:space="preserve">Supabase SOC 2 documentation</w:t>
      </w:r>
    </w:p>
    <w:p>
      <w:pPr>
        <w:pStyle w:val="ListParagraph"/>
        <w:numPr>
          <w:ilvl w:val="0"/>
          <w:numId w:val="2"/>
        </w:numPr>
        <w:spacing w:after="60"/>
      </w:pPr>
      <w:r>
        <w:rPr>
          <w:rFonts w:ascii="Arial" w:cs="Arial" w:eastAsia="Arial" w:hAnsi="Arial"/>
          <w:color w:val="1A1A1A"/>
          <w:sz w:val="20"/>
          <w:szCs w:val="20"/>
        </w:rPr>
        <w:t xml:space="preserve">Supabase DPA</w:t>
      </w:r>
    </w:p>
    <w:p>
      <w:pPr>
        <w:pStyle w:val="ListParagraph"/>
        <w:numPr>
          <w:ilvl w:val="0"/>
          <w:numId w:val="2"/>
        </w:numPr>
        <w:spacing w:after="60"/>
      </w:pPr>
      <w:r>
        <w:rPr>
          <w:rFonts w:ascii="Arial" w:cs="Arial" w:eastAsia="Arial" w:hAnsi="Arial"/>
          <w:color w:val="1A1A1A"/>
          <w:sz w:val="20"/>
          <w:szCs w:val="20"/>
        </w:rPr>
        <w:t xml:space="preserve">Supabase MCP lethal-trifecta writeup (Willison)</w:t>
      </w:r>
    </w:p>
    <w:p>
      <w:pPr>
        <w:pStyle w:val="ListParagraph"/>
        <w:numPr>
          <w:ilvl w:val="0"/>
          <w:numId w:val="2"/>
        </w:numPr>
        <w:spacing w:after="60"/>
      </w:pPr>
      <w:r>
        <w:rPr>
          <w:rFonts w:ascii="Arial" w:cs="Arial" w:eastAsia="Arial" w:hAnsi="Arial"/>
          <w:color w:val="1A1A1A"/>
          <w:sz w:val="20"/>
          <w:szCs w:val="20"/>
        </w:rPr>
        <w:t xml:space="preserve">byteiota — Supabase RLS missing-policy leak (CVE-2025-48757)</w:t>
      </w:r>
    </w:p>
    <w:p>
      <w:pPr>
        <w:pStyle w:val="ListParagraph"/>
        <w:numPr>
          <w:ilvl w:val="0"/>
          <w:numId w:val="2"/>
        </w:numPr>
        <w:spacing w:after="60"/>
      </w:pPr>
      <w:r>
        <w:rPr>
          <w:rFonts w:ascii="Arial" w:cs="Arial" w:eastAsia="Arial" w:hAnsi="Arial"/>
          <w:color w:val="1A1A1A"/>
          <w:sz w:val="20"/>
          <w:szCs w:val="20"/>
        </w:rPr>
        <w:t xml:space="preserve">Notion Security / Notion Trust Center</w:t>
      </w:r>
    </w:p>
    <w:p>
      <w:pPr>
        <w:pStyle w:val="ListParagraph"/>
        <w:numPr>
          <w:ilvl w:val="0"/>
          <w:numId w:val="2"/>
        </w:numPr>
        <w:spacing w:after="60"/>
      </w:pPr>
      <w:r>
        <w:rPr>
          <w:rFonts w:ascii="Arial" w:cs="Arial" w:eastAsia="Arial" w:hAnsi="Arial"/>
          <w:color w:val="1A1A1A"/>
          <w:sz w:val="20"/>
          <w:szCs w:val="20"/>
        </w:rPr>
        <w:t xml:space="preserve">Cloudflare Customer DPA</w:t>
      </w:r>
    </w:p>
    <w:p>
      <w:pPr>
        <w:pStyle w:val="ListParagraph"/>
        <w:numPr>
          <w:ilvl w:val="0"/>
          <w:numId w:val="2"/>
        </w:numPr>
        <w:spacing w:after="60"/>
      </w:pPr>
      <w:r>
        <w:rPr>
          <w:rFonts w:ascii="Arial" w:cs="Arial" w:eastAsia="Arial" w:hAnsi="Arial"/>
          <w:color w:val="1A1A1A"/>
          <w:sz w:val="20"/>
          <w:szCs w:val="20"/>
        </w:rPr>
        <w:t xml:space="preserve">Vercel DPA</w:t>
      </w:r>
    </w:p>
    <w:p>
      <w:pPr>
        <w:pStyle w:val="ListParagraph"/>
        <w:numPr>
          <w:ilvl w:val="0"/>
          <w:numId w:val="2"/>
        </w:numPr>
        <w:spacing w:after="60"/>
      </w:pPr>
      <w:r>
        <w:rPr>
          <w:rFonts w:ascii="Arial" w:cs="Arial" w:eastAsia="Arial" w:hAnsi="Arial"/>
          <w:color w:val="1A1A1A"/>
          <w:sz w:val="20"/>
          <w:szCs w:val="20"/>
        </w:rPr>
        <w:t xml:space="preserve">Anthropic Commercial Terms + ZDR documentation</w:t>
      </w:r>
    </w:p>
    <w:p>
      <w:pPr>
        <w:spacing w:after="200"/>
      </w:pPr>
    </w:p>
    <w:p>
      <w:pPr>
        <w:spacing w:after="80" w:before="200"/>
        <w:jc w:val="center"/>
      </w:pPr>
      <w:r>
        <w:rPr>
          <w:rFonts w:ascii="Arial" w:cs="Arial" w:eastAsia="Arial" w:hAnsi="Arial"/>
          <w:color w:val="555555"/>
          <w:sz w:val="20"/>
          <w:szCs w:val="20"/>
        </w:rPr>
        <w:t xml:space="preserve">— End of Data Security T&amp;C v3 —</w:t>
      </w:r>
    </w:p>
    <w:p>
      <w:pPr>
        <w:spacing w:after="60"/>
        <w:jc w:val="center"/>
      </w:pPr>
      <w:r>
        <w:rPr>
          <w:rFonts w:ascii="Arial" w:cs="Arial" w:eastAsia="Arial" w:hAnsi="Arial"/>
          <w:color w:val="555555"/>
          <w:sz w:val="18"/>
          <w:szCs w:val="18"/>
        </w:rPr>
        <w:t xml:space="preserve">Prepared by Garrett Jaeger, winded.vertigo LLC  ·  May 2026</w:t>
      </w:r>
    </w:p>
    <w:p>
      <w:pPr>
        <w:jc w:val="center"/>
      </w:pPr>
      <w:r>
        <w:rPr>
          <w:rFonts w:ascii="Arial" w:cs="Arial" w:eastAsia="Arial" w:hAnsi="Arial"/>
          <w:color w:val="1B6B7B"/>
          <w:sz w:val="18"/>
          <w:szCs w:val="18"/>
        </w:rPr>
        <w:t xml:space="preserve">garrett@windedvertigo.com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7B" w:sz="4"/>
      </w:pBdr>
      <w:tabs>
        <w:tab w:val="right" w:pos="9026"/>
      </w:tabs>
      <w:spacing w:before="80"/>
    </w:pPr>
    <w:r>
      <w:rPr>
        <w:rFonts w:ascii="Arial" w:cs="Arial" w:eastAsia="Arial" w:hAnsi="Arial"/>
        <w:color w:val="555555"/>
        <w:sz w:val="16"/>
        <w:szCs w:val="16"/>
      </w:rPr>
      <w:t xml:space="preserve">Confidential  ·  May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B" w:sz="4"/>
      </w:pBdr>
      <w:tabs>
        <w:tab w:val="right" w:pos="9026"/>
      </w:tabs>
      <w:spacing w:after="80"/>
    </w:pPr>
    <w:r>
      <w:rPr>
        <w:rFonts w:ascii="Arial" w:cs="Arial" w:eastAsia="Arial" w:hAnsi="Arial"/>
        <w:b/>
        <w:bCs/>
        <w:color w:val="1B6B7B"/>
        <w:sz w:val="18"/>
        <w:szCs w:val="18"/>
      </w:rPr>
      <w:t xml:space="preserve">Nordic Naturals — Data Security T&amp;C v3</w:t>
    </w:r>
    <w:r>
      <w:rPr>
        <w:rFonts w:ascii="Arial" w:cs="Arial" w:eastAsia="Arial" w:hAnsi="Arial"/>
        <w:color w:val="555555"/>
        <w:sz w:val="18"/>
        <w:szCs w:val="18"/>
      </w:rPr>
      <w:t xml:space="preserve">	winded.vertigo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6B7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2026-05-15T14:54:16.722Z</dcterms:created>
  <dcterms:modified xsi:type="dcterms:W3CDTF">2026-05-15T14:54:16.723Z</dcterms:modified>
</cp:coreProperties>
</file>

<file path=docProps/custom.xml><?xml version="1.0" encoding="utf-8"?>
<Properties xmlns="http://schemas.openxmlformats.org/officeDocument/2006/custom-properties" xmlns:vt="http://schemas.openxmlformats.org/officeDocument/2006/docPropsVTypes"/>
</file>