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p>
      <w:pPr>
        <w:spacing w:after="100"/>
        <w:jc w:val="center"/>
      </w:pPr>
      <w:r>
        <w:rPr>
          <w:rFonts w:ascii="Arial" w:cs="Arial" w:eastAsia="Arial" w:hAnsi="Arial"/>
          <w:caps/>
          <w:color w:val="555555"/>
          <w:sz w:val="20"/>
          <w:szCs w:val="20"/>
        </w:rPr>
        <w:t xml:space="preserve">NORDIC NATURALS  ·  SQR-RCT + PCS Platform</w:t>
      </w:r>
    </w:p>
    <w:p>
      <w:pPr>
        <w:spacing w:after="140"/>
        <w:jc w:val="center"/>
      </w:pPr>
      <w:r>
        <w:rPr>
          <w:rFonts w:ascii="Arial" w:cs="Arial" w:eastAsia="Arial" w:hAnsi="Arial"/>
          <w:b/>
          <w:bCs/>
          <w:color w:val="1B6B7B"/>
          <w:sz w:val="52"/>
          <w:szCs w:val="52"/>
        </w:rPr>
        <w:t xml:space="preserve">Ongoing Services</w:t>
      </w:r>
    </w:p>
    <w:p>
      <w:pPr>
        <w:spacing w:after="100"/>
        <w:jc w:val="center"/>
      </w:pPr>
      <w:r>
        <w:rPr>
          <w:rFonts w:ascii="Arial" w:cs="Arial" w:eastAsia="Arial" w:hAnsi="Arial"/>
          <w:b/>
          <w:bCs/>
          <w:color w:val="1A1A1A"/>
          <w:sz w:val="36"/>
          <w:szCs w:val="36"/>
        </w:rPr>
        <w:t xml:space="preserve">Retainer + Buyout Proposal</w:t>
      </w:r>
    </w:p>
    <w:p>
      <w:pPr>
        <w:spacing w:after="480"/>
        <w:jc w:val="center"/>
      </w:pPr>
      <w:r>
        <w:rPr>
          <w:rFonts w:ascii="Arial" w:cs="Arial" w:eastAsia="Arial" w:hAnsi="Arial"/>
          <w:color w:val="555555"/>
          <w:sz w:val="24"/>
          <w:szCs w:val="24"/>
        </w:rPr>
        <w:t xml:space="preserve">Version 3  ·  May 15, 2026</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shd w:fill="E8F4F7" w:val="clear"/>
            <w:tcMar>
              <w:top w:type="dxa" w:w="80"/>
              <w:left w:type="dxa" w:w="120"/>
              <w:bottom w:type="dxa" w:w="80"/>
              <w:right w:type="dxa" w:w="120"/>
            </w:tcMar>
            <w:vAlign w:val="top"/>
          </w:tcPr>
          <w:p>
            <w:r>
              <w:rPr>
                <w:rFonts w:ascii="Arial" w:cs="Arial" w:eastAsia="Arial" w:hAnsi="Arial"/>
                <w:b/>
                <w:bCs/>
                <w:color w:val="1A1A1A"/>
                <w:sz w:val="20"/>
                <w:szCs w:val="20"/>
              </w:rPr>
              <w:t xml:space="preserve">Prepared by</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Garrett Jaeger, winded.vertigo LLC</w:t>
            </w:r>
          </w:p>
        </w:tc>
      </w:tr>
      <w:tr>
        <w:tc>
          <w:tcPr>
            <w:tcW w:type="dxa" w:w="2160"/>
            <w:tcBorders>
              <w:top w:val="single" w:color="CCCCCC" w:sz="1"/>
              <w:left w:val="single" w:color="CCCCCC" w:sz="1"/>
              <w:bottom w:val="single" w:color="CCCCCC" w:sz="1"/>
              <w:right w:val="single" w:color="CCCCCC" w:sz="1"/>
            </w:tcBorders>
            <w:shd w:fill="E8F4F7" w:val="clear"/>
            <w:tcMar>
              <w:top w:type="dxa" w:w="80"/>
              <w:left w:type="dxa" w:w="120"/>
              <w:bottom w:type="dxa" w:w="80"/>
              <w:right w:type="dxa" w:w="120"/>
            </w:tcMar>
            <w:vAlign w:val="top"/>
          </w:tcPr>
          <w:p>
            <w:r>
              <w:rPr>
                <w:rFonts w:ascii="Arial" w:cs="Arial" w:eastAsia="Arial" w:hAnsi="Arial"/>
                <w:b/>
                <w:bCs/>
                <w:color w:val="1A1A1A"/>
                <w:sz w:val="20"/>
                <w:szCs w:val="20"/>
              </w:rPr>
              <w:t xml:space="preserve">For</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Nordic Naturals</w:t>
            </w:r>
          </w:p>
        </w:tc>
      </w:tr>
      <w:tr>
        <w:tc>
          <w:tcPr>
            <w:tcW w:type="dxa" w:w="2160"/>
            <w:tcBorders>
              <w:top w:val="single" w:color="CCCCCC" w:sz="1"/>
              <w:left w:val="single" w:color="CCCCCC" w:sz="1"/>
              <w:bottom w:val="single" w:color="CCCCCC" w:sz="1"/>
              <w:right w:val="single" w:color="CCCCCC" w:sz="1"/>
            </w:tcBorders>
            <w:shd w:fill="E8F4F7" w:val="clear"/>
            <w:tcMar>
              <w:top w:type="dxa" w:w="80"/>
              <w:left w:type="dxa" w:w="120"/>
              <w:bottom w:type="dxa" w:w="80"/>
              <w:right w:type="dxa" w:w="120"/>
            </w:tcMar>
            <w:vAlign w:val="top"/>
          </w:tcPr>
          <w:p>
            <w:r>
              <w:rPr>
                <w:rFonts w:ascii="Arial" w:cs="Arial" w:eastAsia="Arial" w:hAnsi="Arial"/>
                <w:b/>
                <w:bCs/>
                <w:color w:val="1A1A1A"/>
                <w:sz w:val="20"/>
                <w:szCs w:val="20"/>
              </w:rPr>
              <w:t xml:space="preserve">Status</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Contract-ready — supersedes v2 (April 30, 2026)</w:t>
            </w:r>
          </w:p>
        </w:tc>
      </w:tr>
      <w:tr>
        <w:tc>
          <w:tcPr>
            <w:tcW w:type="dxa" w:w="2160"/>
            <w:tcBorders>
              <w:top w:val="single" w:color="CCCCCC" w:sz="1"/>
              <w:left w:val="single" w:color="CCCCCC" w:sz="1"/>
              <w:bottom w:val="single" w:color="CCCCCC" w:sz="1"/>
              <w:right w:val="single" w:color="CCCCCC" w:sz="1"/>
            </w:tcBorders>
            <w:shd w:fill="E8F4F7" w:val="clear"/>
            <w:tcMar>
              <w:top w:type="dxa" w:w="80"/>
              <w:left w:type="dxa" w:w="120"/>
              <w:bottom w:type="dxa" w:w="80"/>
              <w:right w:type="dxa" w:w="120"/>
            </w:tcMar>
            <w:vAlign w:val="top"/>
          </w:tcPr>
          <w:p>
            <w:r>
              <w:rPr>
                <w:rFonts w:ascii="Arial" w:cs="Arial" w:eastAsia="Arial" w:hAnsi="Arial"/>
                <w:b/>
                <w:bCs/>
                <w:color w:val="1A1A1A"/>
                <w:sz w:val="20"/>
                <w:szCs w:val="20"/>
              </w:rPr>
              <w:t xml:space="preserve">Contact</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garrett@windedvertigo.com</w:t>
            </w:r>
          </w:p>
        </w:tc>
      </w:tr>
    </w:tbl>
    <w:p>
      <w:r>
        <w:br w:type="page"/>
      </w:r>
    </w:p>
    <w:p>
      <w:pPr>
        <w:pBdr>
          <w:bottom w:val="single" w:color="1B6B7B" w:sz="4" w:space="4"/>
        </w:pBdr>
        <w:spacing w:after="120" w:before="280"/>
      </w:pPr>
      <w:r>
        <w:rPr>
          <w:rFonts w:ascii="Arial" w:cs="Arial" w:eastAsia="Arial" w:hAnsi="Arial"/>
          <w:b/>
          <w:bCs/>
          <w:color w:val="1B6B7B"/>
          <w:sz w:val="28"/>
          <w:szCs w:val="28"/>
        </w:rPr>
        <w:t xml:space="preserve">What's New in This Version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6B7B" w:sz="6"/>
              <w:left w:val="single" w:color="1B6B7B" w:sz="6"/>
              <w:bottom w:val="single" w:color="1B6B7B" w:sz="6"/>
              <w:right w:val="single" w:color="1B6B7B" w:sz="6"/>
            </w:tcBorders>
            <w:shd w:fill="E8F4F7" w:val="clear"/>
            <w:tcMar>
              <w:top w:type="dxa" w:w="160"/>
              <w:left w:type="dxa" w:w="200"/>
              <w:bottom w:type="dxa" w:w="160"/>
              <w:right w:type="dxa" w:w="200"/>
            </w:tcMar>
          </w:tcPr>
          <w:p>
            <w:pPr>
              <w:spacing w:after="60"/>
            </w:pPr>
            <w:r>
              <w:rPr>
                <w:rFonts w:ascii="Arial" w:cs="Arial" w:eastAsia="Arial" w:hAnsi="Arial"/>
                <w:b/>
                <w:bCs/>
                <w:color w:val="1A1A1A"/>
                <w:sz w:val="21"/>
                <w:szCs w:val="21"/>
              </w:rPr>
              <w:t xml:space="preserve">Changes from v2 (April 30, 2026):</w:t>
            </w:r>
          </w:p>
          <w:p>
            <w:pPr>
              <w:spacing w:after="60"/>
            </w:pPr>
            <w:r>
              <w:rPr>
                <w:rFonts w:ascii="Arial" w:cs="Arial" w:eastAsia="Arial" w:hAnsi="Arial"/>
                <w:b w:val="false"/>
                <w:bCs w:val="false"/>
                <w:color w:val="1A1A1A"/>
                <w:sz w:val="20"/>
                <w:szCs w:val="20"/>
              </w:rPr>
              <w:t xml:space="preserve"> </w:t>
            </w:r>
          </w:p>
          <w:p>
            <w:pPr>
              <w:spacing w:after="60"/>
            </w:pPr>
            <w:r>
              <w:rPr>
                <w:rFonts w:ascii="Arial" w:cs="Arial" w:eastAsia="Arial" w:hAnsi="Arial"/>
                <w:b w:val="false"/>
                <w:bCs w:val="false"/>
                <w:color w:val="1A1A1A"/>
                <w:sz w:val="19"/>
                <w:szCs w:val="19"/>
              </w:rPr>
              <w:t xml:space="preserve">Budget A payment: full $50,000 invoiced at signing — not milestone-billed. Work is substantially delivered.</w:t>
            </w:r>
          </w:p>
          <w:p>
            <w:pPr>
              <w:spacing w:after="60"/>
            </w:pPr>
            <w:r>
              <w:rPr>
                <w:rFonts w:ascii="Arial" w:cs="Arial" w:eastAsia="Arial" w:hAnsi="Arial"/>
                <w:b w:val="false"/>
                <w:bCs w:val="false"/>
                <w:color w:val="1A1A1A"/>
                <w:sz w:val="19"/>
                <w:szCs w:val="19"/>
              </w:rPr>
              <w:t xml:space="preserve">Budget B effective date: March 1, 2026. Back-pay owed for March + April + prorated May at $6,000/mo.</w:t>
            </w:r>
          </w:p>
          <w:p>
            <w:pPr>
              <w:spacing w:after="60"/>
            </w:pPr>
            <w:r>
              <w:rPr>
                <w:rFonts w:ascii="Arial" w:cs="Arial" w:eastAsia="Arial" w:hAnsi="Arial"/>
                <w:b w:val="false"/>
                <w:bCs w:val="false"/>
                <w:color w:val="1A1A1A"/>
                <w:sz w:val="19"/>
                <w:szCs w:val="19"/>
              </w:rPr>
              <w:t xml:space="preserve">Budget B framing: retainer = active onboarding, adaptation, and consulting — not maintenance.</w:t>
            </w:r>
          </w:p>
          <w:p>
            <w:pPr>
              <w:spacing w:after="60"/>
            </w:pPr>
            <w:r>
              <w:rPr>
                <w:rFonts w:ascii="Arial" w:cs="Arial" w:eastAsia="Arial" w:hAnsi="Arial"/>
                <w:b w:val="false"/>
                <w:bCs w:val="false"/>
                <w:color w:val="1A1A1A"/>
                <w:sz w:val="19"/>
                <w:szCs w:val="19"/>
              </w:rPr>
              <w:t xml:space="preserve">AICS workflow gap documented: team is creating AICS docs manually; platform infrastructure is ready.</w:t>
            </w:r>
          </w:p>
          <w:p>
            <w:pPr>
              <w:spacing w:after="60"/>
            </w:pPr>
            <w:r>
              <w:rPr>
                <w:rFonts w:ascii="Arial" w:cs="Arial" w:eastAsia="Arial" w:hAnsi="Arial"/>
                <w:b w:val="false"/>
                <w:bCs w:val="false"/>
                <w:color w:val="1A1A1A"/>
                <w:sz w:val="19"/>
                <w:szCs w:val="19"/>
              </w:rPr>
              <w:t xml:space="preserve">Named backup confirmed: August Kinloch, currently onboarding to the Nordic project.</w:t>
            </w:r>
          </w:p>
          <w:p>
            <w:pPr>
              <w:spacing w:after="60"/>
            </w:pPr>
            <w:r>
              <w:rPr>
                <w:rFonts w:ascii="Arial" w:cs="Arial" w:eastAsia="Arial" w:hAnsi="Arial"/>
                <w:b w:val="false"/>
                <w:bCs w:val="false"/>
                <w:color w:val="1A1A1A"/>
                <w:sz w:val="19"/>
                <w:szCs w:val="19"/>
              </w:rPr>
              <w:t xml:space="preserve">Rate flexibility: ongoing retainer rate is negotiable if Budget A and back-pay are honored in full at signing.</w:t>
            </w:r>
          </w:p>
        </w:tc>
      </w:tr>
    </w:tbl>
    <w:p>
      <w:pPr>
        <w:spacing w:after="160"/>
      </w:pPr>
    </w:p>
    <w:p>
      <w:pPr>
        <w:pBdr>
          <w:bottom w:val="single" w:color="1B6B7B" w:sz="4" w:space="4"/>
        </w:pBdr>
        <w:spacing w:after="120" w:before="280"/>
      </w:pPr>
      <w:r>
        <w:rPr>
          <w:rFonts w:ascii="Arial" w:cs="Arial" w:eastAsia="Arial" w:hAnsi="Arial"/>
          <w:b/>
          <w:bCs/>
          <w:color w:val="1B6B7B"/>
          <w:sz w:val="28"/>
          <w:szCs w:val="28"/>
        </w:rPr>
        <w:t xml:space="preserve">1. The Shape of This Contract</w:t>
      </w:r>
    </w:p>
    <w:p>
      <w:pPr>
        <w:spacing w:after="100"/>
      </w:pPr>
      <w:r>
        <w:rPr>
          <w:rFonts w:ascii="Arial" w:cs="Arial" w:eastAsia="Arial" w:hAnsi="Arial"/>
          <w:b w:val="false"/>
          <w:bCs w:val="false"/>
          <w:color w:val="1A1A1A"/>
          <w:sz w:val="20"/>
          <w:szCs w:val="20"/>
        </w:rPr>
        <w:t xml:space="preserve">The work to date has delivered a production platform with live integrations into Nordic's research operations — PCS documents, canonical claims, label import, SQR-RCT scoring, weekly digests, nightly re-pings, ingredient-safety escalations, in-app feedback, bcrypt-authenticated multi-role auth with 1-hour access tokens and live role re-verification, and a full audit trail for mutations.</w:t>
      </w:r>
    </w:p>
    <w:p>
      <w:pPr>
        <w:spacing w:after="80"/>
      </w:pPr>
    </w:p>
    <w:p>
      <w:pPr>
        <w:spacing w:after="100"/>
      </w:pPr>
      <w:r>
        <w:rPr>
          <w:rFonts w:ascii="Arial" w:cs="Arial" w:eastAsia="Arial" w:hAnsi="Arial"/>
          <w:b w:val="false"/>
          <w:bCs w:val="false"/>
          <w:color w:val="1A1A1A"/>
          <w:sz w:val="20"/>
          <w:szCs w:val="20"/>
        </w:rPr>
        <w:t xml:space="preserve">Three categories of ongoing work are unavoidable and warrant a recurring commercial relationship rather than a one-time build fee:</w:t>
      </w:r>
    </w:p>
    <w:p>
      <w:pPr>
        <w:spacing w:after="60"/>
      </w:pPr>
    </w:p>
    <w:p>
      <w:pPr>
        <w:pStyle w:val="ListParagraph"/>
        <w:numPr>
          <w:ilvl w:val="0"/>
          <w:numId w:val="2"/>
        </w:numPr>
        <w:spacing w:after="60"/>
      </w:pPr>
      <w:r>
        <w:rPr>
          <w:rFonts w:ascii="Arial" w:cs="Arial" w:eastAsia="Arial" w:hAnsi="Arial"/>
          <w:b w:val="false"/>
          <w:bCs w:val="false"/>
          <w:color w:val="1A1A1A"/>
          <w:sz w:val="20"/>
          <w:szCs w:val="20"/>
        </w:rPr>
        <w:t xml:space="preserve">Security maintenance — password policy, token rotation, dependency patches, vendor-breach response, regulatory updates (FDA DSHEA, FTC Green Guides, GDPR, CCPA), penetration-test findings, audit-log reviews.</w:t>
      </w:r>
    </w:p>
    <w:p>
      <w:pPr>
        <w:pStyle w:val="ListParagraph"/>
        <w:numPr>
          <w:ilvl w:val="0"/>
          <w:numId w:val="2"/>
        </w:numPr>
        <w:spacing w:after="60"/>
      </w:pPr>
      <w:r>
        <w:rPr>
          <w:rFonts w:ascii="Arial" w:cs="Arial" w:eastAsia="Arial" w:hAnsi="Arial"/>
          <w:b w:val="false"/>
          <w:bCs w:val="false"/>
          <w:color w:val="1A1A1A"/>
          <w:sz w:val="20"/>
          <w:szCs w:val="20"/>
        </w:rPr>
        <w:t xml:space="preserve">LLM ecosystem churn — Claude, OpenAI, and every downstream LLM provider ship breaking changes on ~quarterly cadence (pricing, rate limits, API shape, model deprecations). Every one is a live risk to the platform's extraction pipelines and auto-scoring.</w:t>
      </w:r>
    </w:p>
    <w:p>
      <w:pPr>
        <w:pStyle w:val="ListParagraph"/>
        <w:numPr>
          <w:ilvl w:val="0"/>
          <w:numId w:val="2"/>
        </w:numPr>
        <w:spacing w:after="60"/>
      </w:pPr>
      <w:r>
        <w:rPr>
          <w:rFonts w:ascii="Arial" w:cs="Arial" w:eastAsia="Arial" w:hAnsi="Arial"/>
          <w:b w:val="false"/>
          <w:bCs w:val="false"/>
          <w:color w:val="1A1A1A"/>
          <w:sz w:val="20"/>
          <w:szCs w:val="20"/>
        </w:rPr>
        <w:t xml:space="preserve">Nordic-side data hygiene and evolution — new products, new claim templates, label format revisions, Lauren's template updates, canonical claim deduplication, formula line backfills, study intake changes.</w:t>
      </w:r>
    </w:p>
    <w:p>
      <w:pPr>
        <w:spacing w:after="100"/>
      </w:pPr>
    </w:p>
    <w:p>
      <w:pPr>
        <w:spacing w:after="100"/>
      </w:pPr>
      <w:r>
        <w:rPr>
          <w:rFonts w:ascii="Arial" w:cs="Arial" w:eastAsia="Arial" w:hAnsi="Arial"/>
          <w:b w:val="false"/>
          <w:bCs w:val="false"/>
          <w:color w:val="1A1A1A"/>
          <w:sz w:val="20"/>
          <w:szCs w:val="20"/>
        </w:rPr>
        <w:t xml:space="preserve">This contract has two commercial components that run simultaneously: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40"/>
        <w:gridCol w:w="5120"/>
      </w:tblGrid>
      <w:tr>
        <w:tc>
          <w:tcPr>
            <w:tcW w:type="dxa" w:w="2800"/>
            <w:tcBorders>
              <w:top w:val="single" w:color="CCCCCC" w:sz="1"/>
              <w:left w:val="single" w:color="CCCCCC" w:sz="1"/>
              <w:bottom w:val="single" w:color="CCCCCC" w:sz="1"/>
              <w:right w:val="single" w:color="CCCCCC" w:sz="1"/>
            </w:tcBorders>
            <w:shd w:fill="E8F4F7" w:val="clear"/>
            <w:tcMar>
              <w:top w:type="dxa" w:w="80"/>
              <w:left w:type="dxa" w:w="120"/>
              <w:bottom w:type="dxa" w:w="80"/>
              <w:right w:type="dxa" w:w="120"/>
            </w:tcMar>
            <w:vAlign w:val="top"/>
          </w:tcPr>
          <w:p>
            <w:r>
              <w:rPr>
                <w:rFonts w:ascii="Arial" w:cs="Arial" w:eastAsia="Arial" w:hAnsi="Arial"/>
                <w:b/>
                <w:bCs/>
                <w:color w:val="1A1A1A"/>
                <w:sz w:val="20"/>
                <w:szCs w:val="20"/>
              </w:rPr>
              <w:t xml:space="preserve">Component</w:t>
            </w:r>
          </w:p>
        </w:tc>
        <w:tc>
          <w:tcPr>
            <w:tcW w:type="dxa" w:w="1440"/>
            <w:tcBorders>
              <w:top w:val="single" w:color="CCCCCC" w:sz="1"/>
              <w:left w:val="single" w:color="CCCCCC" w:sz="1"/>
              <w:bottom w:val="single" w:color="CCCCCC" w:sz="1"/>
              <w:right w:val="single" w:color="CCCCCC" w:sz="1"/>
            </w:tcBorders>
            <w:shd w:fill="E8F4F7" w:val="clear"/>
            <w:tcMar>
              <w:top w:type="dxa" w:w="80"/>
              <w:left w:type="dxa" w:w="120"/>
              <w:bottom w:type="dxa" w:w="80"/>
              <w:right w:type="dxa" w:w="120"/>
            </w:tcMar>
            <w:vAlign w:val="top"/>
          </w:tcPr>
          <w:p>
            <w:r>
              <w:rPr>
                <w:rFonts w:ascii="Arial" w:cs="Arial" w:eastAsia="Arial" w:hAnsi="Arial"/>
                <w:b/>
                <w:bCs/>
                <w:color w:val="1A1A1A"/>
                <w:sz w:val="20"/>
                <w:szCs w:val="20"/>
              </w:rPr>
              <w:t xml:space="preserve">Amount</w:t>
            </w:r>
          </w:p>
        </w:tc>
        <w:tc>
          <w:tcPr>
            <w:tcW w:type="dxa" w:w="5120"/>
            <w:tcBorders>
              <w:top w:val="single" w:color="CCCCCC" w:sz="1"/>
              <w:left w:val="single" w:color="CCCCCC" w:sz="1"/>
              <w:bottom w:val="single" w:color="CCCCCC" w:sz="1"/>
              <w:right w:val="single" w:color="CCCCCC" w:sz="1"/>
            </w:tcBorders>
            <w:shd w:fill="E8F4F7" w:val="clear"/>
            <w:tcMar>
              <w:top w:type="dxa" w:w="80"/>
              <w:left w:type="dxa" w:w="120"/>
              <w:bottom w:type="dxa" w:w="80"/>
              <w:right w:type="dxa" w:w="120"/>
            </w:tcMar>
            <w:vAlign w:val="top"/>
          </w:tcPr>
          <w:p>
            <w:r>
              <w:rPr>
                <w:rFonts w:ascii="Arial" w:cs="Arial" w:eastAsia="Arial" w:hAnsi="Arial"/>
                <w:b/>
                <w:bCs/>
                <w:color w:val="1A1A1A"/>
                <w:sz w:val="20"/>
                <w:szCs w:val="20"/>
              </w:rPr>
              <w:t xml:space="preserve">Status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1A1A1A"/>
                <w:sz w:val="20"/>
                <w:szCs w:val="20"/>
              </w:rPr>
              <w:t xml:space="preserve">Budget A — Platform Build</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$50,000</w:t>
            </w:r>
          </w:p>
        </w:tc>
        <w:tc>
          <w:tcPr>
            <w:tcW w:type="dxa" w:w="51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Fixed fee, invoiced at contract signing. Work is substantially delivered.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1A1A1A"/>
                <w:sz w:val="20"/>
                <w:szCs w:val="20"/>
              </w:rPr>
              <w:t xml:space="preserve">Budget B — Retainer</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$4,000–$6,000/mo</w:t>
            </w:r>
          </w:p>
        </w:tc>
        <w:tc>
          <w:tcPr>
            <w:tcW w:type="dxa" w:w="51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Active consulting, onboarding, and adaptation. Running since March 1, 2026 — back-pay owed from that date.</w:t>
            </w:r>
          </w:p>
        </w:tc>
      </w:tr>
    </w:tbl>
    <w:p>
      <w:pPr>
        <w:spacing w:after="160"/>
      </w:pPr>
    </w:p>
    <w:p>
      <w:pPr>
        <w:pBdr>
          <w:bottom w:val="single" w:color="1B6B7B" w:sz="4" w:space="4"/>
        </w:pBdr>
        <w:spacing w:after="120" w:before="280"/>
      </w:pPr>
      <w:r>
        <w:rPr>
          <w:rFonts w:ascii="Arial" w:cs="Arial" w:eastAsia="Arial" w:hAnsi="Arial"/>
          <w:b/>
          <w:bCs/>
          <w:color w:val="1B6B7B"/>
          <w:sz w:val="28"/>
          <w:szCs w:val="28"/>
        </w:rPr>
        <w:t xml:space="preserve">2. What the Retainer Covers (and Doesn't)</w:t>
      </w:r>
    </w:p>
    <w:p>
      <w:pPr>
        <w:spacing w:after="80" w:before="200"/>
      </w:pPr>
      <w:r>
        <w:rPr>
          <w:rFonts w:ascii="Arial" w:cs="Arial" w:eastAsia="Arial" w:hAnsi="Arial"/>
          <w:b/>
          <w:bCs/>
          <w:color w:val="1A1A1A"/>
          <w:sz w:val="24"/>
          <w:szCs w:val="24"/>
        </w:rPr>
        <w:t xml:space="preserve">Included in the Monthly Retainer</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CCCCC" w:sz="1"/>
              <w:left w:val="single" w:color="CCCCCC" w:sz="1"/>
              <w:bottom w:val="single" w:color="CCCCCC" w:sz="1"/>
              <w:right w:val="single" w:color="CCCCCC" w:sz="1"/>
            </w:tcBorders>
            <w:shd w:fill="E8F4F7" w:val="clear"/>
            <w:tcMar>
              <w:top w:type="dxa" w:w="80"/>
              <w:left w:type="dxa" w:w="120"/>
              <w:bottom w:type="dxa" w:w="80"/>
              <w:right w:type="dxa" w:w="120"/>
            </w:tcMar>
            <w:vAlign w:val="top"/>
          </w:tcPr>
          <w:p>
            <w:r>
              <w:rPr>
                <w:rFonts w:ascii="Arial" w:cs="Arial" w:eastAsia="Arial" w:hAnsi="Arial"/>
                <w:b/>
                <w:bCs/>
                <w:color w:val="1A1A1A"/>
                <w:sz w:val="20"/>
                <w:szCs w:val="20"/>
              </w:rPr>
              <w:t xml:space="preserve">Responsibility</w:t>
            </w:r>
          </w:p>
        </w:tc>
        <w:tc>
          <w:tcPr>
            <w:tcW w:type="dxa" w:w="6720"/>
            <w:tcBorders>
              <w:top w:val="single" w:color="CCCCCC" w:sz="1"/>
              <w:left w:val="single" w:color="CCCCCC" w:sz="1"/>
              <w:bottom w:val="single" w:color="CCCCCC" w:sz="1"/>
              <w:right w:val="single" w:color="CCCCCC" w:sz="1"/>
            </w:tcBorders>
            <w:shd w:fill="E8F4F7" w:val="clear"/>
            <w:tcMar>
              <w:top w:type="dxa" w:w="80"/>
              <w:left w:type="dxa" w:w="120"/>
              <w:bottom w:type="dxa" w:w="80"/>
              <w:right w:type="dxa" w:w="120"/>
            </w:tcMar>
            <w:vAlign w:val="top"/>
          </w:tcPr>
          <w:p>
            <w:r>
              <w:rPr>
                <w:rFonts w:ascii="Arial" w:cs="Arial" w:eastAsia="Arial" w:hAnsi="Arial"/>
                <w:b/>
                <w:bCs/>
                <w:color w:val="1A1A1A"/>
                <w:sz w:val="20"/>
                <w:szCs w:val="20"/>
              </w:rPr>
              <w:t xml:space="preserve">Description</w:t>
            </w:r>
          </w:p>
        </w:tc>
      </w:tr>
      <w:tr>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1A1A1A"/>
                <w:sz w:val="20"/>
                <w:szCs w:val="20"/>
              </w:rPr>
              <w:t xml:space="preserve">Platform Onboarding &amp; Adoption</w:t>
            </w:r>
          </w:p>
        </w:tc>
        <w:tc>
          <w:tcPr>
            <w:tcW w:type="dxa" w:w="67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Active support for Lauren Bosio, Gina, and the RA/Product Development teams as they transition workflows to the new platform. Primary focus: AICS document generation — the research team is currently creating AICS documents manually via Google Drive. The platform already has the infrastructure to generate these. This workflow transition is the highest-priority Budget B item as of May 14, 2026 and is blocked by contract execution.</w:t>
            </w:r>
          </w:p>
        </w:tc>
      </w:tr>
      <w:tr>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1A1A1A"/>
                <w:sz w:val="20"/>
                <w:szCs w:val="20"/>
              </w:rPr>
              <w:t xml:space="preserve">Security Patching</w:t>
            </w:r>
          </w:p>
        </w:tc>
        <w:tc>
          <w:tcPr>
            <w:tcW w:type="dxa" w:w="67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Dependency updates, CVE response within agreed SLA, token and credential rotation, Notion / Cloudflare / Supabase / Anthropic vendor-breach assessment and mitigation.</w:t>
            </w:r>
          </w:p>
        </w:tc>
      </w:tr>
      <w:tr>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1A1A1A"/>
                <w:sz w:val="20"/>
                <w:szCs w:val="20"/>
              </w:rPr>
              <w:t xml:space="preserve">LLM Vendor Management</w:t>
            </w:r>
          </w:p>
        </w:tc>
        <w:tc>
          <w:tcPr>
            <w:tcW w:type="dxa" w:w="67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Monitor Claude/OpenAI API changelogs, model deprecations, pricing shifts. Adjust prompts and pipelines to stay within budget and compliance. Negotiate addenda (ZDR, BAA) on Nordic's behalf.</w:t>
            </w:r>
          </w:p>
        </w:tc>
      </w:tr>
      <w:tr>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1A1A1A"/>
                <w:sz w:val="20"/>
                <w:szCs w:val="20"/>
              </w:rPr>
              <w:t xml:space="preserve">Data Hygiene Assistance</w:t>
            </w:r>
          </w:p>
        </w:tc>
        <w:tc>
          <w:tcPr>
            <w:tcW w:type="dxa" w:w="67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Operate the existing backfill scripts, duplicate audits, and canonical-claim merges. Triage intake-queue anomalies.</w:t>
            </w:r>
          </w:p>
        </w:tc>
      </w:tr>
      <w:tr>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1A1A1A"/>
                <w:sz w:val="20"/>
                <w:szCs w:val="20"/>
              </w:rPr>
              <w:t xml:space="preserve">Adaptive Feature Development</w:t>
            </w:r>
          </w:p>
        </w:tc>
        <w:tc>
          <w:tcPr>
            <w:tcW w:type="dxa" w:w="67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Continuous adaptation of platform to stakeholder feedback, schema evolution, and emerging workflows. Up to 8 hours/month (Standard) or 16 hours/month (Priority) of minor feature work; carryover 1 month max. This is the primary Budget B work underway since March.</w:t>
            </w:r>
          </w:p>
        </w:tc>
      </w:tr>
      <w:tr>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1A1A1A"/>
                <w:sz w:val="20"/>
                <w:szCs w:val="20"/>
              </w:rPr>
              <w:t xml:space="preserve">Incident Response</w:t>
            </w:r>
          </w:p>
        </w:tc>
        <w:tc>
          <w:tcPr>
            <w:tcW w:type="dxa" w:w="67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Triage production issues within defined response-time SLA (see §6). Revert via Wave 8 Phase A audit trail when appropriate. After-action writeup.</w:t>
            </w:r>
          </w:p>
        </w:tc>
      </w:tr>
      <w:tr>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1A1A1A"/>
                <w:sz w:val="20"/>
                <w:szCs w:val="20"/>
              </w:rPr>
              <w:t xml:space="preserve">Quarterly Security Review</w:t>
            </w:r>
          </w:p>
        </w:tc>
        <w:tc>
          <w:tcPr>
            <w:tcW w:type="dxa" w:w="67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Review of audit logs, access patterns, capability assignments, Cloudflare / Supabase / Notion workspace membership, secret hygiene. Written report to Nordic leadership.</w:t>
            </w:r>
          </w:p>
        </w:tc>
      </w:tr>
      <w:tr>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1A1A1A"/>
                <w:sz w:val="20"/>
                <w:szCs w:val="20"/>
              </w:rPr>
              <w:t xml:space="preserve">Research Advising</w:t>
            </w:r>
          </w:p>
        </w:tc>
        <w:tc>
          <w:tcPr>
            <w:tcW w:type="dxa" w:w="67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Up to 2 hours/month of strategy conversations, vendor selection advice, architectural recommendations. Also: maintaining momentum on the Validation Study — journal selection, authorship structuring, statistical review, submission preparation.</w:t>
            </w:r>
          </w:p>
        </w:tc>
      </w:tr>
    </w:tbl>
    <w:p>
      <w:pPr>
        <w:spacing w:after="120"/>
      </w:pPr>
    </w:p>
    <w:p>
      <w:pPr>
        <w:spacing w:after="80" w:before="200"/>
      </w:pPr>
      <w:r>
        <w:rPr>
          <w:rFonts w:ascii="Arial" w:cs="Arial" w:eastAsia="Arial" w:hAnsi="Arial"/>
          <w:b/>
          <w:bCs/>
          <w:color w:val="1A1A1A"/>
          <w:sz w:val="24"/>
          <w:szCs w:val="24"/>
        </w:rPr>
        <w:t xml:space="preserve">Not Included (scoped separately as project work)</w:t>
      </w:r>
    </w:p>
    <w:p>
      <w:pPr>
        <w:spacing w:after="60"/>
      </w:pPr>
    </w:p>
    <w:p>
      <w:pPr>
        <w:pStyle w:val="ListParagraph"/>
        <w:numPr>
          <w:ilvl w:val="0"/>
          <w:numId w:val="2"/>
        </w:numPr>
        <w:spacing w:after="60"/>
      </w:pPr>
      <w:r>
        <w:rPr>
          <w:rFonts w:ascii="Arial" w:cs="Arial" w:eastAsia="Arial" w:hAnsi="Arial"/>
          <w:b w:val="false"/>
          <w:bCs w:val="false"/>
          <w:color w:val="1A1A1A"/>
          <w:sz w:val="20"/>
          <w:szCs w:val="20"/>
        </w:rPr>
        <w:t xml:space="preserve">Major Feature Builds — New waves (Wave 9 real-time collaboration, Wave 10 Supabase migration, future analytics). Each scoped as its own SOW.</w:t>
      </w:r>
    </w:p>
    <w:p>
      <w:pPr>
        <w:pStyle w:val="ListParagraph"/>
        <w:numPr>
          <w:ilvl w:val="0"/>
          <w:numId w:val="2"/>
        </w:numPr>
        <w:spacing w:after="60"/>
      </w:pPr>
      <w:r>
        <w:rPr>
          <w:rFonts w:ascii="Arial" w:cs="Arial" w:eastAsia="Arial" w:hAnsi="Arial"/>
          <w:b w:val="false"/>
          <w:bCs w:val="false"/>
          <w:color w:val="1A1A1A"/>
          <w:sz w:val="20"/>
          <w:szCs w:val="20"/>
        </w:rPr>
        <w:t xml:space="preserve">LLM Platform Migration — See §5. Separate deliverable.</w:t>
      </w:r>
    </w:p>
    <w:p>
      <w:pPr>
        <w:pStyle w:val="ListParagraph"/>
        <w:numPr>
          <w:ilvl w:val="0"/>
          <w:numId w:val="2"/>
        </w:numPr>
        <w:spacing w:after="60"/>
      </w:pPr>
      <w:r>
        <w:rPr>
          <w:rFonts w:ascii="Arial" w:cs="Arial" w:eastAsia="Arial" w:hAnsi="Arial"/>
          <w:b w:val="false"/>
          <w:bCs w:val="false"/>
          <w:color w:val="1A1A1A"/>
          <w:sz w:val="20"/>
          <w:szCs w:val="20"/>
        </w:rPr>
        <w:t xml:space="preserve">Nordic-Driven Data Migrations — Large imports, one-time integrations with other Nordic systems (SAP, ERP), large-scale taxonomy reworks.</w:t>
      </w:r>
    </w:p>
    <w:p>
      <w:pPr>
        <w:pStyle w:val="ListParagraph"/>
        <w:numPr>
          <w:ilvl w:val="0"/>
          <w:numId w:val="2"/>
        </w:numPr>
        <w:spacing w:after="60"/>
      </w:pPr>
      <w:r>
        <w:rPr>
          <w:rFonts w:ascii="Arial" w:cs="Arial" w:eastAsia="Arial" w:hAnsi="Arial"/>
          <w:b w:val="false"/>
          <w:bCs w:val="false"/>
          <w:color w:val="1A1A1A"/>
          <w:sz w:val="20"/>
          <w:szCs w:val="20"/>
        </w:rPr>
        <w:t xml:space="preserve">Training + Documentation Deliverables — Written runbooks beyond existing docs, video walkthroughs, onboarding sessions. Hourly.</w:t>
      </w:r>
    </w:p>
    <w:p>
      <w:pPr>
        <w:pStyle w:val="ListParagraph"/>
        <w:numPr>
          <w:ilvl w:val="0"/>
          <w:numId w:val="2"/>
        </w:numPr>
        <w:spacing w:after="60"/>
      </w:pPr>
      <w:r>
        <w:rPr>
          <w:rFonts w:ascii="Arial" w:cs="Arial" w:eastAsia="Arial" w:hAnsi="Arial"/>
          <w:b w:val="false"/>
          <w:bCs w:val="false"/>
          <w:color w:val="1A1A1A"/>
          <w:sz w:val="20"/>
          <w:szCs w:val="20"/>
        </w:rPr>
        <w:t xml:space="preserve">Legal or Compliance Attestations — SOC 2 preparation, HIPAA BAA preparation, FDA regulatory documentation.</w:t>
      </w:r>
    </w:p>
    <w:p>
      <w:pPr>
        <w:spacing w:after="160"/>
      </w:pPr>
    </w:p>
    <w:p>
      <w:pPr>
        <w:pBdr>
          <w:bottom w:val="single" w:color="1B6B7B" w:sz="4" w:space="4"/>
        </w:pBdr>
        <w:spacing w:after="120" w:before="280"/>
      </w:pPr>
      <w:r>
        <w:rPr>
          <w:rFonts w:ascii="Arial" w:cs="Arial" w:eastAsia="Arial" w:hAnsi="Arial"/>
          <w:b/>
          <w:bCs/>
          <w:color w:val="1B6B7B"/>
          <w:sz w:val="28"/>
          <w:szCs w:val="28"/>
        </w:rPr>
        <w:t xml:space="preserve">3. Proposed Retainer Structure</w:t>
      </w:r>
    </w:p>
    <w:p>
      <w:pPr>
        <w:spacing w:after="80" w:before="200"/>
      </w:pPr>
      <w:r>
        <w:rPr>
          <w:rFonts w:ascii="Arial" w:cs="Arial" w:eastAsia="Arial" w:hAnsi="Arial"/>
          <w:b/>
          <w:bCs/>
          <w:color w:val="1A1A1A"/>
          <w:sz w:val="24"/>
          <w:szCs w:val="24"/>
        </w:rPr>
        <w:t xml:space="preserve">Baseline Monthly Retainer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60"/>
        <w:gridCol w:w="1680"/>
        <w:gridCol w:w="1560"/>
        <w:gridCol w:w="2760"/>
      </w:tblGrid>
      <w:tr>
        <w:tc>
          <w:tcPr>
            <w:tcW w:type="dxa" w:w="1800"/>
            <w:tcBorders>
              <w:top w:val="single" w:color="CCCCCC" w:sz="1"/>
              <w:left w:val="single" w:color="CCCCCC" w:sz="1"/>
              <w:bottom w:val="single" w:color="CCCCCC" w:sz="1"/>
              <w:right w:val="single" w:color="CCCCCC" w:sz="1"/>
            </w:tcBorders>
            <w:shd w:fill="E8F4F7" w:val="clear"/>
            <w:tcMar>
              <w:top w:type="dxa" w:w="80"/>
              <w:left w:type="dxa" w:w="120"/>
              <w:bottom w:type="dxa" w:w="80"/>
              <w:right w:type="dxa" w:w="120"/>
            </w:tcMar>
            <w:vAlign w:val="top"/>
          </w:tcPr>
          <w:p>
            <w:r>
              <w:rPr>
                <w:rFonts w:ascii="Arial" w:cs="Arial" w:eastAsia="Arial" w:hAnsi="Arial"/>
                <w:b/>
                <w:bCs/>
                <w:color w:val="1A1A1A"/>
                <w:sz w:val="20"/>
                <w:szCs w:val="20"/>
              </w:rPr>
              <w:t xml:space="preserve">Tier</w:t>
            </w:r>
          </w:p>
        </w:tc>
        <w:tc>
          <w:tcPr>
            <w:tcW w:type="dxa" w:w="1560"/>
            <w:tcBorders>
              <w:top w:val="single" w:color="CCCCCC" w:sz="1"/>
              <w:left w:val="single" w:color="CCCCCC" w:sz="1"/>
              <w:bottom w:val="single" w:color="CCCCCC" w:sz="1"/>
              <w:right w:val="single" w:color="CCCCCC" w:sz="1"/>
            </w:tcBorders>
            <w:shd w:fill="E8F4F7" w:val="clear"/>
            <w:tcMar>
              <w:top w:type="dxa" w:w="80"/>
              <w:left w:type="dxa" w:w="120"/>
              <w:bottom w:type="dxa" w:w="80"/>
              <w:right w:type="dxa" w:w="120"/>
            </w:tcMar>
            <w:vAlign w:val="top"/>
          </w:tcPr>
          <w:p>
            <w:r>
              <w:rPr>
                <w:rFonts w:ascii="Arial" w:cs="Arial" w:eastAsia="Arial" w:hAnsi="Arial"/>
                <w:b/>
                <w:bCs/>
                <w:color w:val="1A1A1A"/>
                <w:sz w:val="20"/>
                <w:szCs w:val="20"/>
              </w:rPr>
              <w:t xml:space="preserve">Monthly Rate</w:t>
            </w:r>
          </w:p>
        </w:tc>
        <w:tc>
          <w:tcPr>
            <w:tcW w:type="dxa" w:w="1680"/>
            <w:tcBorders>
              <w:top w:val="single" w:color="CCCCCC" w:sz="1"/>
              <w:left w:val="single" w:color="CCCCCC" w:sz="1"/>
              <w:bottom w:val="single" w:color="CCCCCC" w:sz="1"/>
              <w:right w:val="single" w:color="CCCCCC" w:sz="1"/>
            </w:tcBorders>
            <w:shd w:fill="E8F4F7" w:val="clear"/>
            <w:tcMar>
              <w:top w:type="dxa" w:w="80"/>
              <w:left w:type="dxa" w:w="120"/>
              <w:bottom w:type="dxa" w:w="80"/>
              <w:right w:type="dxa" w:w="120"/>
            </w:tcMar>
            <w:vAlign w:val="top"/>
          </w:tcPr>
          <w:p>
            <w:r>
              <w:rPr>
                <w:rFonts w:ascii="Arial" w:cs="Arial" w:eastAsia="Arial" w:hAnsi="Arial"/>
                <w:b/>
                <w:bCs/>
                <w:color w:val="1A1A1A"/>
                <w:sz w:val="20"/>
                <w:szCs w:val="20"/>
              </w:rPr>
              <w:t xml:space="preserve">Hours Included</w:t>
            </w:r>
          </w:p>
        </w:tc>
        <w:tc>
          <w:tcPr>
            <w:tcW w:type="dxa" w:w="1560"/>
            <w:tcBorders>
              <w:top w:val="single" w:color="CCCCCC" w:sz="1"/>
              <w:left w:val="single" w:color="CCCCCC" w:sz="1"/>
              <w:bottom w:val="single" w:color="CCCCCC" w:sz="1"/>
              <w:right w:val="single" w:color="CCCCCC" w:sz="1"/>
            </w:tcBorders>
            <w:shd w:fill="E8F4F7" w:val="clear"/>
            <w:tcMar>
              <w:top w:type="dxa" w:w="80"/>
              <w:left w:type="dxa" w:w="120"/>
              <w:bottom w:type="dxa" w:w="80"/>
              <w:right w:type="dxa" w:w="120"/>
            </w:tcMar>
            <w:vAlign w:val="top"/>
          </w:tcPr>
          <w:p>
            <w:r>
              <w:rPr>
                <w:rFonts w:ascii="Arial" w:cs="Arial" w:eastAsia="Arial" w:hAnsi="Arial"/>
                <w:b/>
                <w:bCs/>
                <w:color w:val="1A1A1A"/>
                <w:sz w:val="20"/>
                <w:szCs w:val="20"/>
              </w:rPr>
              <w:t xml:space="preserve">P1 SLA</w:t>
            </w:r>
          </w:p>
        </w:tc>
        <w:tc>
          <w:tcPr>
            <w:tcW w:type="dxa" w:w="2760"/>
            <w:tcBorders>
              <w:top w:val="single" w:color="CCCCCC" w:sz="1"/>
              <w:left w:val="single" w:color="CCCCCC" w:sz="1"/>
              <w:bottom w:val="single" w:color="CCCCCC" w:sz="1"/>
              <w:right w:val="single" w:color="CCCCCC" w:sz="1"/>
            </w:tcBorders>
            <w:shd w:fill="E8F4F7" w:val="clear"/>
            <w:tcMar>
              <w:top w:type="dxa" w:w="80"/>
              <w:left w:type="dxa" w:w="120"/>
              <w:bottom w:type="dxa" w:w="80"/>
              <w:right w:type="dxa" w:w="120"/>
            </w:tcMar>
            <w:vAlign w:val="top"/>
          </w:tcPr>
          <w:p>
            <w:r>
              <w:rPr>
                <w:rFonts w:ascii="Arial" w:cs="Arial" w:eastAsia="Arial" w:hAnsi="Arial"/>
                <w:b/>
                <w:bCs/>
                <w:color w:val="1A1A1A"/>
                <w:sz w:val="20"/>
                <w:szCs w:val="20"/>
              </w:rPr>
              <w:t xml:space="preserve">Named Backup</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Standard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$4,000/mo</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8 hours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24 business hours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August Kinloch</w:t>
            </w:r>
          </w:p>
        </w:tc>
      </w:tr>
      <w:tr>
        <w:tc>
          <w:tcPr>
            <w:tcW w:type="dxa" w:w="1800"/>
            <w:tcBorders>
              <w:top w:val="single" w:color="CCCCCC" w:sz="1"/>
              <w:left w:val="single" w:color="CCCCCC" w:sz="1"/>
              <w:bottom w:val="single" w:color="CCCCCC" w:sz="1"/>
              <w:right w:val="single" w:color="CCCCCC" w:sz="1"/>
            </w:tcBorders>
            <w:shd w:fill="E8F4F7" w:val="clear"/>
            <w:tcMar>
              <w:top w:type="dxa" w:w="80"/>
              <w:left w:type="dxa" w:w="120"/>
              <w:bottom w:type="dxa" w:w="80"/>
              <w:right w:type="dxa" w:w="120"/>
            </w:tcMar>
            <w:vAlign w:val="top"/>
          </w:tcPr>
          <w:p>
            <w:r>
              <w:rPr>
                <w:rFonts w:ascii="Arial" w:cs="Arial" w:eastAsia="Arial" w:hAnsi="Arial"/>
                <w:b/>
                <w:bCs/>
                <w:color w:val="1A1A1A"/>
                <w:sz w:val="20"/>
                <w:szCs w:val="20"/>
              </w:rPr>
              <w:t xml:space="preserve">Priority</w:t>
            </w:r>
          </w:p>
        </w:tc>
        <w:tc>
          <w:tcPr>
            <w:tcW w:type="dxa" w:w="1560"/>
            <w:tcBorders>
              <w:top w:val="single" w:color="CCCCCC" w:sz="1"/>
              <w:left w:val="single" w:color="CCCCCC" w:sz="1"/>
              <w:bottom w:val="single" w:color="CCCCCC" w:sz="1"/>
              <w:right w:val="single" w:color="CCCCCC" w:sz="1"/>
            </w:tcBorders>
            <w:shd w:fill="E8F4F7" w:val="clear"/>
            <w:tcMar>
              <w:top w:type="dxa" w:w="80"/>
              <w:left w:type="dxa" w:w="120"/>
              <w:bottom w:type="dxa" w:w="80"/>
              <w:right w:type="dxa" w:w="120"/>
            </w:tcMar>
            <w:vAlign w:val="top"/>
          </w:tcPr>
          <w:p>
            <w:r>
              <w:rPr>
                <w:rFonts w:ascii="Arial" w:cs="Arial" w:eastAsia="Arial" w:hAnsi="Arial"/>
                <w:b/>
                <w:bCs/>
                <w:color w:val="1A1A1A"/>
                <w:sz w:val="20"/>
                <w:szCs w:val="20"/>
              </w:rPr>
              <w:t xml:space="preserve">$6,000/mo</w:t>
            </w:r>
          </w:p>
        </w:tc>
        <w:tc>
          <w:tcPr>
            <w:tcW w:type="dxa" w:w="1680"/>
            <w:tcBorders>
              <w:top w:val="single" w:color="CCCCCC" w:sz="1"/>
              <w:left w:val="single" w:color="CCCCCC" w:sz="1"/>
              <w:bottom w:val="single" w:color="CCCCCC" w:sz="1"/>
              <w:right w:val="single" w:color="CCCCCC" w:sz="1"/>
            </w:tcBorders>
            <w:shd w:fill="E8F4F7"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16 hours</w:t>
            </w:r>
          </w:p>
        </w:tc>
        <w:tc>
          <w:tcPr>
            <w:tcW w:type="dxa" w:w="1560"/>
            <w:tcBorders>
              <w:top w:val="single" w:color="CCCCCC" w:sz="1"/>
              <w:left w:val="single" w:color="CCCCCC" w:sz="1"/>
              <w:bottom w:val="single" w:color="CCCCCC" w:sz="1"/>
              <w:right w:val="single" w:color="CCCCCC" w:sz="1"/>
            </w:tcBorders>
            <w:shd w:fill="E8F4F7"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4 business hours</w:t>
            </w:r>
          </w:p>
        </w:tc>
        <w:tc>
          <w:tcPr>
            <w:tcW w:type="dxa" w:w="2760"/>
            <w:tcBorders>
              <w:top w:val="single" w:color="CCCCCC" w:sz="1"/>
              <w:left w:val="single" w:color="CCCCCC" w:sz="1"/>
              <w:bottom w:val="single" w:color="CCCCCC" w:sz="1"/>
              <w:right w:val="single" w:color="CCCCCC" w:sz="1"/>
            </w:tcBorders>
            <w:shd w:fill="E8F4F7" w:val="clear"/>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August Kinloch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Dedicated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$9,000/mo</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24 hours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1 business hour</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August Kinloch</w:t>
            </w:r>
          </w:p>
        </w:tc>
      </w:tr>
    </w:tbl>
    <w:p>
      <w:pPr>
        <w:spacing w:after="100"/>
      </w:pPr>
    </w:p>
    <w:p>
      <w:pPr>
        <w:spacing w:after="100"/>
      </w:pPr>
      <w:r>
        <w:rPr>
          <w:rFonts w:ascii="Arial" w:cs="Arial" w:eastAsia="Arial" w:hAnsi="Arial"/>
          <w:b w:val="false"/>
          <w:bCs w:val="false"/>
          <w:color w:val="1A1A1A"/>
          <w:sz w:val="20"/>
          <w:szCs w:val="20"/>
        </w:rPr>
        <w:t xml:space="preserve">Over-limit hours billed at $200/hr (Standard) or $175/hr (Priority+). August Kinloch is named backup at every tier, currently onboarding to the Nordic project.</w:t>
      </w:r>
    </w:p>
    <w:p>
      <w:pPr>
        <w:spacing w:after="120"/>
      </w:pPr>
    </w:p>
    <w:p>
      <w:pPr>
        <w:spacing w:after="80" w:before="200"/>
      </w:pPr>
      <w:r>
        <w:rPr>
          <w:rFonts w:ascii="Arial" w:cs="Arial" w:eastAsia="Arial" w:hAnsi="Arial"/>
          <w:b/>
          <w:bCs/>
          <w:color w:val="1A1A1A"/>
          <w:sz w:val="24"/>
          <w:szCs w:val="24"/>
        </w:rPr>
        <w:t xml:space="preserve">3a. Named Backup Contractor — August Kinloch</w:t>
      </w:r>
    </w:p>
    <w:p>
      <w:pPr>
        <w:spacing w:after="60"/>
      </w:pPr>
    </w:p>
    <w:p>
      <w:pPr>
        <w:spacing w:after="100"/>
      </w:pPr>
      <w:r>
        <w:rPr>
          <w:rFonts w:ascii="Arial" w:cs="Arial" w:eastAsia="Arial" w:hAnsi="Arial"/>
          <w:b w:val="false"/>
          <w:bCs w:val="false"/>
          <w:color w:val="1A1A1A"/>
          <w:sz w:val="20"/>
          <w:szCs w:val="20"/>
        </w:rPr>
        <w:t xml:space="preserve">Every tier includes a named backup contractor — currently August Kinloch — providing secondary on-call coverage during Garrett's planned absences (vacation &gt; 3 days), unplanned absences (illness, emergency), or sustained unreachability.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shd w:fill="E8F4F7" w:val="clear"/>
            <w:tcMar>
              <w:top w:type="dxa" w:w="80"/>
              <w:left w:type="dxa" w:w="120"/>
              <w:bottom w:type="dxa" w:w="80"/>
              <w:right w:type="dxa" w:w="120"/>
            </w:tcMar>
            <w:vAlign w:val="top"/>
          </w:tcPr>
          <w:p>
            <w:r>
              <w:rPr>
                <w:rFonts w:ascii="Arial" w:cs="Arial" w:eastAsia="Arial" w:hAnsi="Arial"/>
                <w:b/>
                <w:bCs/>
                <w:color w:val="1A1A1A"/>
                <w:sz w:val="20"/>
                <w:szCs w:val="20"/>
              </w:rPr>
              <w:t xml:space="preserve">Topic</w:t>
            </w:r>
          </w:p>
        </w:tc>
        <w:tc>
          <w:tcPr>
            <w:tcW w:type="dxa" w:w="7200"/>
            <w:tcBorders>
              <w:top w:val="single" w:color="CCCCCC" w:sz="1"/>
              <w:left w:val="single" w:color="CCCCCC" w:sz="1"/>
              <w:bottom w:val="single" w:color="CCCCCC" w:sz="1"/>
              <w:right w:val="single" w:color="CCCCCC" w:sz="1"/>
            </w:tcBorders>
            <w:shd w:fill="E8F4F7" w:val="clear"/>
            <w:tcMar>
              <w:top w:type="dxa" w:w="80"/>
              <w:left w:type="dxa" w:w="120"/>
              <w:bottom w:type="dxa" w:w="80"/>
              <w:right w:type="dxa" w:w="120"/>
            </w:tcMar>
            <w:vAlign w:val="top"/>
          </w:tcPr>
          <w:p>
            <w:r>
              <w:rPr>
                <w:rFonts w:ascii="Arial" w:cs="Arial" w:eastAsia="Arial" w:hAnsi="Arial"/>
                <w:b/>
                <w:bCs/>
                <w:color w:val="1A1A1A"/>
                <w:sz w:val="20"/>
                <w:szCs w:val="20"/>
              </w:rPr>
              <w:t xml:space="preserve">Detail</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1A1A1A"/>
                <w:sz w:val="20"/>
                <w:szCs w:val="20"/>
              </w:rPr>
              <w:t xml:space="preserve">Coverage scope</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August acknowledges and triages P1/P2 incidents within the tier's stated SLA when Garrett is unreachable. Resolution may extend beyond Garrett's normal SLA window when work genuinely requires Garrett's return.</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1A1A1A"/>
                <w:sz w:val="20"/>
                <w:szCs w:val="20"/>
              </w:rPr>
              <w:t xml:space="preserve">Access provisioning</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August maintains a named contractor account with read-write access to the Nordic technology stack: Cloudflare, Supabase, Notion (workspace member), and Anthropic (org member). All access is under a contractor-of-winded.vertigo agreement, not direct Nordic-issued accounts. Audit logs distinguish Garrett's actions from August's.</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1A1A1A"/>
                <w:sz w:val="20"/>
                <w:szCs w:val="20"/>
              </w:rPr>
              <w:t xml:space="preserve">Billing</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August's hours bill against the retainer's monthly hour pool. No separate Nordic-facing invoice line for August. Garrett pays August directly out of retainer revenue.</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1A1A1A"/>
                <w:sz w:val="20"/>
                <w:szCs w:val="20"/>
              </w:rPr>
              <w:t xml:space="preserve">Vacation notification</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Garrett gives Nordic ≥ 2 weeks' notice for absences &gt; 3 days and identifies August as the on-call contact.</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1A1A1A"/>
                <w:sz w:val="20"/>
                <w:szCs w:val="20"/>
              </w:rPr>
              <w:t xml:space="preserve">Successor clause</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If August becomes unavailable, Garrett identifies a replacement named-backup with 30 calendar days' notice to Nordic.</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1A1A1A"/>
                <w:sz w:val="20"/>
                <w:szCs w:val="20"/>
              </w:rPr>
              <w:t xml:space="preserve">Non-solicitation</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Nordic agrees not to engage August directly outside the winded.vertigo retainer for the term of the contract + 12 months post-termination.</w:t>
            </w:r>
          </w:p>
        </w:tc>
      </w:tr>
    </w:tbl>
    <w:p>
      <w:pPr>
        <w:spacing w:after="100"/>
      </w:pPr>
    </w:p>
    <w:p>
      <w:pPr>
        <w:spacing w:after="80" w:before="200"/>
      </w:pPr>
      <w:r>
        <w:rPr>
          <w:rFonts w:ascii="Arial" w:cs="Arial" w:eastAsia="Arial" w:hAnsi="Arial"/>
          <w:b/>
          <w:bCs/>
          <w:color w:val="1A1A1A"/>
          <w:sz w:val="24"/>
          <w:szCs w:val="24"/>
        </w:rPr>
        <w:t xml:space="preserve">Term</w:t>
      </w:r>
    </w:p>
    <w:p>
      <w:pPr>
        <w:pStyle w:val="ListParagraph"/>
        <w:numPr>
          <w:ilvl w:val="0"/>
          <w:numId w:val="2"/>
        </w:numPr>
        <w:spacing w:after="60"/>
      </w:pPr>
      <w:r>
        <w:rPr>
          <w:rFonts w:ascii="Arial" w:cs="Arial" w:eastAsia="Arial" w:hAnsi="Arial"/>
          <w:b w:val="false"/>
          <w:bCs w:val="false"/>
          <w:color w:val="1A1A1A"/>
          <w:sz w:val="20"/>
          <w:szCs w:val="20"/>
        </w:rPr>
        <w:t xml:space="preserve">12-month initial term, auto-renewing in 12-month increments.</w:t>
      </w:r>
    </w:p>
    <w:p>
      <w:pPr>
        <w:pStyle w:val="ListParagraph"/>
        <w:numPr>
          <w:ilvl w:val="0"/>
          <w:numId w:val="2"/>
        </w:numPr>
        <w:spacing w:after="60"/>
      </w:pPr>
      <w:r>
        <w:rPr>
          <w:rFonts w:ascii="Arial" w:cs="Arial" w:eastAsia="Arial" w:hAnsi="Arial"/>
          <w:b w:val="false"/>
          <w:bCs w:val="false"/>
          <w:color w:val="1A1A1A"/>
          <w:sz w:val="20"/>
          <w:szCs w:val="20"/>
        </w:rPr>
        <w:t xml:space="preserve">60-day mutual notice for non-renewal or tier change.</w:t>
      </w:r>
    </w:p>
    <w:p>
      <w:pPr>
        <w:pStyle w:val="ListParagraph"/>
        <w:numPr>
          <w:ilvl w:val="0"/>
          <w:numId w:val="2"/>
        </w:numPr>
        <w:spacing w:after="60"/>
      </w:pPr>
      <w:r>
        <w:rPr>
          <w:rFonts w:ascii="Arial" w:cs="Arial" w:eastAsia="Arial" w:hAnsi="Arial"/>
          <w:b w:val="false"/>
          <w:bCs w:val="false"/>
          <w:color w:val="1A1A1A"/>
          <w:sz w:val="20"/>
          <w:szCs w:val="20"/>
        </w:rPr>
        <w:t xml:space="preserve">Price adjustment: CPI-linked annual review, capped at 5%/yr.</w:t>
      </w:r>
    </w:p>
    <w:p>
      <w:pPr>
        <w:spacing w:after="160"/>
      </w:pPr>
    </w:p>
    <w:p>
      <w:pPr>
        <w:pBdr>
          <w:bottom w:val="single" w:color="1B6B7B" w:sz="4" w:space="4"/>
        </w:pBdr>
        <w:spacing w:after="120" w:before="280"/>
      </w:pPr>
      <w:r>
        <w:rPr>
          <w:rFonts w:ascii="Arial" w:cs="Arial" w:eastAsia="Arial" w:hAnsi="Arial"/>
          <w:b/>
          <w:bCs/>
          <w:color w:val="1B6B7B"/>
          <w:sz w:val="28"/>
          <w:szCs w:val="28"/>
        </w:rPr>
        <w:t xml:space="preserve">4. Buyout / Termination / Transition</w:t>
      </w:r>
    </w:p>
    <w:p>
      <w:pPr>
        <w:spacing w:after="80" w:before="200"/>
      </w:pPr>
      <w:r>
        <w:rPr>
          <w:rFonts w:ascii="Arial" w:cs="Arial" w:eastAsia="Arial" w:hAnsi="Arial"/>
          <w:b/>
          <w:bCs/>
          <w:color w:val="1A1A1A"/>
          <w:sz w:val="24"/>
          <w:szCs w:val="24"/>
        </w:rPr>
        <w:t xml:space="preserve">Path A — Wind-Down</w:t>
      </w:r>
    </w:p>
    <w:p>
      <w:pPr>
        <w:spacing w:after="100"/>
      </w:pPr>
      <w:r>
        <w:rPr>
          <w:rFonts w:ascii="Arial" w:cs="Arial" w:eastAsia="Arial" w:hAnsi="Arial"/>
          <w:b w:val="false"/>
          <w:bCs w:val="false"/>
          <w:color w:val="1A1A1A"/>
          <w:sz w:val="20"/>
          <w:szCs w:val="20"/>
        </w:rPr>
        <w:t xml:space="preserve">If Nordic gives notice, a 90-day wind-down begins. During wind-down:</w:t>
      </w:r>
    </w:p>
    <w:p>
      <w:pPr>
        <w:pStyle w:val="ListParagraph"/>
        <w:numPr>
          <w:ilvl w:val="0"/>
          <w:numId w:val="2"/>
        </w:numPr>
        <w:spacing w:after="60"/>
      </w:pPr>
      <w:r>
        <w:rPr>
          <w:rFonts w:ascii="Arial" w:cs="Arial" w:eastAsia="Arial" w:hAnsi="Arial"/>
          <w:b w:val="false"/>
          <w:bCs w:val="false"/>
          <w:color w:val="1A1A1A"/>
          <w:sz w:val="20"/>
          <w:szCs w:val="20"/>
        </w:rPr>
        <w:t xml:space="preserve">Retainer continues at current rate.</w:t>
      </w:r>
    </w:p>
    <w:p>
      <w:pPr>
        <w:pStyle w:val="ListParagraph"/>
        <w:numPr>
          <w:ilvl w:val="0"/>
          <w:numId w:val="2"/>
        </w:numPr>
        <w:spacing w:after="60"/>
      </w:pPr>
      <w:r>
        <w:rPr>
          <w:rFonts w:ascii="Arial" w:cs="Arial" w:eastAsia="Arial" w:hAnsi="Arial"/>
          <w:b w:val="false"/>
          <w:bCs w:val="false"/>
          <w:color w:val="1A1A1A"/>
          <w:sz w:val="20"/>
          <w:szCs w:val="20"/>
        </w:rPr>
        <w:t xml:space="preserve">Garrett delivers: complete handoff runbook, credentials transfer, live walkthrough sessions (up to 8 hours), dependency/vendor map, 30-day post-termination email/Slack availability for critical questions.</w:t>
      </w:r>
    </w:p>
    <w:p>
      <w:pPr>
        <w:spacing w:after="100"/>
      </w:pPr>
    </w:p>
    <w:p>
      <w:pPr>
        <w:spacing w:after="80" w:before="200"/>
      </w:pPr>
      <w:r>
        <w:rPr>
          <w:rFonts w:ascii="Arial" w:cs="Arial" w:eastAsia="Arial" w:hAnsi="Arial"/>
          <w:b/>
          <w:bCs/>
          <w:color w:val="1A1A1A"/>
          <w:sz w:val="24"/>
          <w:szCs w:val="24"/>
        </w:rPr>
        <w:t xml:space="preserve">Path B — Buyout / Accelerated Exit</w:t>
      </w:r>
    </w:p>
    <w:p>
      <w:pPr>
        <w:spacing w:after="100"/>
      </w:pPr>
      <w:r>
        <w:rPr>
          <w:rFonts w:ascii="Arial" w:cs="Arial" w:eastAsia="Arial" w:hAnsi="Arial"/>
          <w:b w:val="false"/>
          <w:bCs w:val="false"/>
          <w:color w:val="1A1A1A"/>
          <w:sz w:val="20"/>
          <w:szCs w:val="20"/>
        </w:rPr>
        <w:t xml:space="preserve">Exit fee = 6 × current monthly retainer, paid on termination. Includes everything in Path A compressed into 30 days.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8F4F7" w:val="clear"/>
            <w:tcMar>
              <w:top w:type="dxa" w:w="80"/>
              <w:left w:type="dxa" w:w="120"/>
              <w:bottom w:type="dxa" w:w="80"/>
              <w:right w:type="dxa" w:w="120"/>
            </w:tcMar>
            <w:vAlign w:val="top"/>
          </w:tcPr>
          <w:p>
            <w:r>
              <w:rPr>
                <w:rFonts w:ascii="Arial" w:cs="Arial" w:eastAsia="Arial" w:hAnsi="Arial"/>
                <w:b/>
                <w:bCs/>
                <w:color w:val="1A1A1A"/>
                <w:sz w:val="20"/>
                <w:szCs w:val="20"/>
              </w:rPr>
              <w:t xml:space="preserve">Tier</w:t>
            </w:r>
          </w:p>
        </w:tc>
        <w:tc>
          <w:tcPr>
            <w:tcW w:type="dxa" w:w="6240"/>
            <w:tcBorders>
              <w:top w:val="single" w:color="CCCCCC" w:sz="1"/>
              <w:left w:val="single" w:color="CCCCCC" w:sz="1"/>
              <w:bottom w:val="single" w:color="CCCCCC" w:sz="1"/>
              <w:right w:val="single" w:color="CCCCCC" w:sz="1"/>
            </w:tcBorders>
            <w:shd w:fill="E8F4F7" w:val="clear"/>
            <w:tcMar>
              <w:top w:type="dxa" w:w="80"/>
              <w:left w:type="dxa" w:w="120"/>
              <w:bottom w:type="dxa" w:w="80"/>
              <w:right w:type="dxa" w:w="120"/>
            </w:tcMar>
            <w:vAlign w:val="top"/>
          </w:tcPr>
          <w:p>
            <w:r>
              <w:rPr>
                <w:rFonts w:ascii="Arial" w:cs="Arial" w:eastAsia="Arial" w:hAnsi="Arial"/>
                <w:b/>
                <w:bCs/>
                <w:color w:val="1A1A1A"/>
                <w:sz w:val="20"/>
                <w:szCs w:val="20"/>
              </w:rPr>
              <w:t xml:space="preserve">Exit Fee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Standard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$24,000 (6 × $4,000)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Priority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$36,000 (6 × $6,000)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Dedicated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$54,000 (6 × $9,000)</w:t>
            </w:r>
          </w:p>
        </w:tc>
      </w:tr>
    </w:tbl>
    <w:p>
      <w:pPr>
        <w:spacing w:after="100"/>
      </w:pPr>
    </w:p>
    <w:p>
      <w:pPr>
        <w:spacing w:after="80" w:before="200"/>
      </w:pPr>
      <w:r>
        <w:rPr>
          <w:rFonts w:ascii="Arial" w:cs="Arial" w:eastAsia="Arial" w:hAnsi="Arial"/>
          <w:b/>
          <w:bCs/>
          <w:color w:val="1A1A1A"/>
          <w:sz w:val="24"/>
          <w:szCs w:val="24"/>
        </w:rPr>
        <w:t xml:space="preserve">Termination for Cause</w:t>
      </w:r>
    </w:p>
    <w:p>
      <w:pPr>
        <w:spacing w:after="100"/>
      </w:pPr>
      <w:r>
        <w:rPr>
          <w:rFonts w:ascii="Arial" w:cs="Arial" w:eastAsia="Arial" w:hAnsi="Arial"/>
          <w:b w:val="false"/>
          <w:bCs w:val="false"/>
          <w:color w:val="1A1A1A"/>
          <w:sz w:val="20"/>
          <w:szCs w:val="20"/>
        </w:rPr>
        <w:t xml:space="preserve">If termination is for documented cause (Garrett breach of contract, gross negligence, confirmed willful misconduct), neither path's fees apply. Ordinary performance disagreements do NOT constitute cause.</w:t>
      </w:r>
    </w:p>
    <w:p>
      <w:pPr>
        <w:spacing w:after="100"/>
      </w:pPr>
    </w:p>
    <w:p>
      <w:pPr>
        <w:spacing w:after="80" w:before="200"/>
      </w:pPr>
      <w:r>
        <w:rPr>
          <w:rFonts w:ascii="Arial" w:cs="Arial" w:eastAsia="Arial" w:hAnsi="Arial"/>
          <w:b/>
          <w:bCs/>
          <w:color w:val="1A1A1A"/>
          <w:sz w:val="24"/>
          <w:szCs w:val="24"/>
        </w:rPr>
        <w:t xml:space="preserve">Non-Reverse-Engineering Clause</w:t>
      </w:r>
    </w:p>
    <w:p>
      <w:pPr>
        <w:spacing w:after="100"/>
      </w:pPr>
      <w:r>
        <w:rPr>
          <w:rFonts w:ascii="Arial" w:cs="Arial" w:eastAsia="Arial" w:hAnsi="Arial"/>
          <w:b w:val="false"/>
          <w:bCs w:val="false"/>
          <w:color w:val="1A1A1A"/>
          <w:sz w:val="20"/>
          <w:szCs w:val="20"/>
        </w:rPr>
        <w:t xml:space="preserve">Garrett retains the right to re-use generic patterns, libraries, and non-Nordic-specific code in future client engagements. Nordic retains full ownership of Nordic-specific code, data, schemas, and branding.</w:t>
      </w:r>
    </w:p>
    <w:p>
      <w:pPr>
        <w:spacing w:after="160"/>
      </w:pPr>
    </w:p>
    <w:p>
      <w:pPr>
        <w:pBdr>
          <w:bottom w:val="single" w:color="1B6B7B" w:sz="4" w:space="4"/>
        </w:pBdr>
        <w:spacing w:after="120" w:before="280"/>
      </w:pPr>
      <w:r>
        <w:rPr>
          <w:rFonts w:ascii="Arial" w:cs="Arial" w:eastAsia="Arial" w:hAnsi="Arial"/>
          <w:b/>
          <w:bCs/>
          <w:color w:val="1B6B7B"/>
          <w:sz w:val="28"/>
          <w:szCs w:val="28"/>
        </w:rPr>
        <w:t xml:space="preserve">5. The LLM Dependency Problem — And How to Neutralize It</w:t>
      </w:r>
    </w:p>
    <w:p>
      <w:pPr>
        <w:spacing w:after="100"/>
      </w:pPr>
      <w:r>
        <w:rPr>
          <w:rFonts w:ascii="Arial" w:cs="Arial" w:eastAsia="Arial" w:hAnsi="Arial"/>
          <w:b w:val="false"/>
          <w:bCs w:val="false"/>
          <w:color w:val="1A1A1A"/>
          <w:sz w:val="20"/>
          <w:szCs w:val="20"/>
        </w:rPr>
        <w:t xml:space="preserve">The platform's most valuable capabilities depend on Anthropic's Claude API. A dedicated Wave 10 — Evergreen Extraction project (scoped separately) reduces this risk:</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E8F4F7" w:val="clear"/>
            <w:tcMar>
              <w:top w:type="dxa" w:w="80"/>
              <w:left w:type="dxa" w:w="120"/>
              <w:bottom w:type="dxa" w:w="80"/>
              <w:right w:type="dxa" w:w="120"/>
            </w:tcMar>
            <w:vAlign w:val="top"/>
          </w:tcPr>
          <w:p>
            <w:r>
              <w:rPr>
                <w:rFonts w:ascii="Arial" w:cs="Arial" w:eastAsia="Arial" w:hAnsi="Arial"/>
                <w:b/>
                <w:bCs/>
                <w:color w:val="1A1A1A"/>
                <w:sz w:val="20"/>
                <w:szCs w:val="20"/>
              </w:rPr>
              <w:t xml:space="preserve">#</w:t>
            </w:r>
          </w:p>
        </w:tc>
        <w:tc>
          <w:tcPr>
            <w:tcW w:type="dxa" w:w="8640"/>
            <w:tcBorders>
              <w:top w:val="single" w:color="CCCCCC" w:sz="1"/>
              <w:left w:val="single" w:color="CCCCCC" w:sz="1"/>
              <w:bottom w:val="single" w:color="CCCCCC" w:sz="1"/>
              <w:right w:val="single" w:color="CCCCCC" w:sz="1"/>
            </w:tcBorders>
            <w:shd w:fill="E8F4F7" w:val="clear"/>
            <w:tcMar>
              <w:top w:type="dxa" w:w="80"/>
              <w:left w:type="dxa" w:w="120"/>
              <w:bottom w:type="dxa" w:w="80"/>
              <w:right w:type="dxa" w:w="120"/>
            </w:tcMar>
            <w:vAlign w:val="top"/>
          </w:tcPr>
          <w:p>
            <w:r>
              <w:rPr>
                <w:rFonts w:ascii="Arial" w:cs="Arial" w:eastAsia="Arial" w:hAnsi="Arial"/>
                <w:b/>
                <w:bCs/>
                <w:color w:val="1A1A1A"/>
                <w:sz w:val="20"/>
                <w:szCs w:val="20"/>
              </w:rPr>
              <w:t xml:space="preserve">Action</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1</w:t>
            </w:r>
          </w:p>
        </w:tc>
        <w:tc>
          <w:tcPr>
            <w:tcW w:type="dxa" w:w="8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Deterministic parsers first — replace LLM calls for well-structured fields with rule-based extraction.</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2</w:t>
            </w:r>
          </w:p>
        </w:tc>
        <w:tc>
          <w:tcPr>
            <w:tcW w:type="dxa" w:w="8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Open-source LLMs via managed hosts — Llama 3 / Mistral / DeepSeek via Groq, Together.ai, or Replicate. ~80–95% cost reduction vs. Claude.</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3</w:t>
            </w:r>
          </w:p>
        </w:tc>
        <w:tc>
          <w:tcPr>
            <w:tcW w:type="dxa" w:w="8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Self-hosted OSS fallback — for content where managed OSS has egress risk.</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4</w:t>
            </w:r>
          </w:p>
        </w:tc>
        <w:tc>
          <w:tcPr>
            <w:tcW w:type="dxa" w:w="8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Vision holdout — Claude vision remains best for label OCR specifically; move everything else to OSS.</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5</w:t>
            </w:r>
          </w:p>
        </w:tc>
        <w:tc>
          <w:tcPr>
            <w:tcW w:type="dxa" w:w="8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Aggressive caching — every extraction result persists with a content hash.</w:t>
            </w:r>
          </w:p>
        </w:tc>
      </w:tr>
    </w:tbl>
    <w:p>
      <w:pPr>
        <w:spacing w:after="100"/>
      </w:pPr>
    </w:p>
    <w:p>
      <w:pPr>
        <w:spacing w:after="100"/>
      </w:pPr>
      <w:r>
        <w:rPr>
          <w:rFonts w:ascii="Arial" w:cs="Arial" w:eastAsia="Arial" w:hAnsi="Arial"/>
          <w:b w:val="false"/>
          <w:bCs w:val="false"/>
          <w:color w:val="1A1A1A"/>
          <w:sz w:val="20"/>
          <w:szCs w:val="20"/>
        </w:rPr>
        <w:t xml:space="preserve">Estimated Wave 10 budget: $20,000–$35,000, one-time. Retainer continues throughout Wave 10 delivery.</w:t>
      </w:r>
    </w:p>
    <w:p>
      <w:pPr>
        <w:spacing w:after="160"/>
      </w:pPr>
    </w:p>
    <w:p>
      <w:pPr>
        <w:pBdr>
          <w:bottom w:val="single" w:color="1B6B7B" w:sz="4" w:space="4"/>
        </w:pBdr>
        <w:spacing w:after="120" w:before="280"/>
      </w:pPr>
      <w:r>
        <w:rPr>
          <w:rFonts w:ascii="Arial" w:cs="Arial" w:eastAsia="Arial" w:hAnsi="Arial"/>
          <w:b/>
          <w:bCs/>
          <w:color w:val="1B6B7B"/>
          <w:sz w:val="28"/>
          <w:szCs w:val="28"/>
        </w:rPr>
        <w:t xml:space="preserve">6. SLA Specifics</w:t>
      </w:r>
    </w:p>
    <w:p>
      <w:pPr>
        <w:spacing w:after="80" w:before="200"/>
      </w:pPr>
      <w:r>
        <w:rPr>
          <w:rFonts w:ascii="Arial" w:cs="Arial" w:eastAsia="Arial" w:hAnsi="Arial"/>
          <w:b/>
          <w:bCs/>
          <w:color w:val="1A1A1A"/>
          <w:sz w:val="24"/>
          <w:szCs w:val="24"/>
        </w:rPr>
        <w:t xml:space="preserve">Incident Severity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W w:type="dxa" w:w="1080"/>
            <w:tcBorders>
              <w:top w:val="single" w:color="CCCCCC" w:sz="1"/>
              <w:left w:val="single" w:color="CCCCCC" w:sz="1"/>
              <w:bottom w:val="single" w:color="CCCCCC" w:sz="1"/>
              <w:right w:val="single" w:color="CCCCCC" w:sz="1"/>
            </w:tcBorders>
            <w:shd w:fill="E8F4F7" w:val="clear"/>
            <w:tcMar>
              <w:top w:type="dxa" w:w="80"/>
              <w:left w:type="dxa" w:w="120"/>
              <w:bottom w:type="dxa" w:w="80"/>
              <w:right w:type="dxa" w:w="120"/>
            </w:tcMar>
            <w:vAlign w:val="top"/>
          </w:tcPr>
          <w:p>
            <w:r>
              <w:rPr>
                <w:rFonts w:ascii="Arial" w:cs="Arial" w:eastAsia="Arial" w:hAnsi="Arial"/>
                <w:b/>
                <w:bCs/>
                <w:color w:val="1A1A1A"/>
                <w:sz w:val="20"/>
                <w:szCs w:val="20"/>
              </w:rPr>
              <w:t xml:space="preserve">Level</w:t>
            </w:r>
          </w:p>
        </w:tc>
        <w:tc>
          <w:tcPr>
            <w:tcW w:type="dxa" w:w="8280"/>
            <w:tcBorders>
              <w:top w:val="single" w:color="CCCCCC" w:sz="1"/>
              <w:left w:val="single" w:color="CCCCCC" w:sz="1"/>
              <w:bottom w:val="single" w:color="CCCCCC" w:sz="1"/>
              <w:right w:val="single" w:color="CCCCCC" w:sz="1"/>
            </w:tcBorders>
            <w:shd w:fill="E8F4F7" w:val="clear"/>
            <w:tcMar>
              <w:top w:type="dxa" w:w="80"/>
              <w:left w:type="dxa" w:w="120"/>
              <w:bottom w:type="dxa" w:w="80"/>
              <w:right w:type="dxa" w:w="120"/>
            </w:tcMar>
            <w:vAlign w:val="top"/>
          </w:tcPr>
          <w:p>
            <w:r>
              <w:rPr>
                <w:rFonts w:ascii="Arial" w:cs="Arial" w:eastAsia="Arial" w:hAnsi="Arial"/>
                <w:b/>
                <w:bCs/>
                <w:color w:val="1A1A1A"/>
                <w:sz w:val="20"/>
                <w:szCs w:val="20"/>
              </w:rPr>
              <w:t xml:space="preserve">Definition</w:t>
            </w:r>
          </w:p>
        </w:tc>
      </w:tr>
      <w:tr>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1A1A1A"/>
                <w:sz w:val="20"/>
                <w:szCs w:val="20"/>
              </w:rPr>
              <w:t xml:space="preserve">P1</w:t>
            </w:r>
          </w:p>
        </w:tc>
        <w:tc>
          <w:tcPr>
            <w:tcW w:type="dxa" w:w="8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Production down or data loss in progress.</w:t>
            </w:r>
          </w:p>
        </w:tc>
      </w:tr>
      <w:tr>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1A1A1A"/>
                <w:sz w:val="20"/>
                <w:szCs w:val="20"/>
              </w:rPr>
              <w:t xml:space="preserve">P2</w:t>
            </w:r>
          </w:p>
        </w:tc>
        <w:tc>
          <w:tcPr>
            <w:tcW w:type="dxa" w:w="8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Significant feature broken, workaround exists.</w:t>
            </w:r>
          </w:p>
        </w:tc>
      </w:tr>
      <w:tr>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1A1A1A"/>
                <w:sz w:val="20"/>
                <w:szCs w:val="20"/>
              </w:rPr>
              <w:t xml:space="preserve">P3</w:t>
            </w:r>
          </w:p>
        </w:tc>
        <w:tc>
          <w:tcPr>
            <w:tcW w:type="dxa" w:w="8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Minor bug, cosmetic issue, non-blocking degradation.</w:t>
            </w:r>
          </w:p>
        </w:tc>
      </w:tr>
      <w:tr>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1A1A1A"/>
                <w:sz w:val="20"/>
                <w:szCs w:val="20"/>
              </w:rPr>
              <w:t xml:space="preserve">P4</w:t>
            </w:r>
          </w:p>
        </w:tc>
        <w:tc>
          <w:tcPr>
            <w:tcW w:type="dxa" w:w="8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Enhancement request, question, non-urgent feature.</w:t>
            </w:r>
          </w:p>
        </w:tc>
      </w:tr>
    </w:tbl>
    <w:p>
      <w:pPr>
        <w:spacing w:after="100"/>
      </w:pPr>
    </w:p>
    <w:p>
      <w:pPr>
        <w:spacing w:after="80" w:before="200"/>
      </w:pPr>
      <w:r>
        <w:rPr>
          <w:rFonts w:ascii="Arial" w:cs="Arial" w:eastAsia="Arial" w:hAnsi="Arial"/>
          <w:b/>
          <w:bCs/>
          <w:color w:val="1A1A1A"/>
          <w:sz w:val="24"/>
          <w:szCs w:val="24"/>
        </w:rPr>
        <w:t xml:space="preserve">Response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3600"/>
      </w:tblGrid>
      <w:tr>
        <w:tc>
          <w:tcPr>
            <w:tcW w:type="dxa" w:w="2160"/>
            <w:tcBorders>
              <w:top w:val="single" w:color="CCCCCC" w:sz="1"/>
              <w:left w:val="single" w:color="CCCCCC" w:sz="1"/>
              <w:bottom w:val="single" w:color="CCCCCC" w:sz="1"/>
              <w:right w:val="single" w:color="CCCCCC" w:sz="1"/>
            </w:tcBorders>
            <w:shd w:fill="E8F4F7" w:val="clear"/>
            <w:tcMar>
              <w:top w:type="dxa" w:w="80"/>
              <w:left w:type="dxa" w:w="120"/>
              <w:bottom w:type="dxa" w:w="80"/>
              <w:right w:type="dxa" w:w="120"/>
            </w:tcMar>
            <w:vAlign w:val="top"/>
          </w:tcPr>
          <w:p>
            <w:r>
              <w:rPr>
                <w:rFonts w:ascii="Arial" w:cs="Arial" w:eastAsia="Arial" w:hAnsi="Arial"/>
                <w:b/>
                <w:bCs/>
                <w:color w:val="1A1A1A"/>
                <w:sz w:val="20"/>
                <w:szCs w:val="20"/>
              </w:rPr>
              <w:t xml:space="preserve">Tier</w:t>
            </w:r>
          </w:p>
        </w:tc>
        <w:tc>
          <w:tcPr>
            <w:tcW w:type="dxa" w:w="3600"/>
            <w:tcBorders>
              <w:top w:val="single" w:color="CCCCCC" w:sz="1"/>
              <w:left w:val="single" w:color="CCCCCC" w:sz="1"/>
              <w:bottom w:val="single" w:color="CCCCCC" w:sz="1"/>
              <w:right w:val="single" w:color="CCCCCC" w:sz="1"/>
            </w:tcBorders>
            <w:shd w:fill="E8F4F7" w:val="clear"/>
            <w:tcMar>
              <w:top w:type="dxa" w:w="80"/>
              <w:left w:type="dxa" w:w="120"/>
              <w:bottom w:type="dxa" w:w="80"/>
              <w:right w:type="dxa" w:w="120"/>
            </w:tcMar>
            <w:vAlign w:val="top"/>
          </w:tcPr>
          <w:p>
            <w:r>
              <w:rPr>
                <w:rFonts w:ascii="Arial" w:cs="Arial" w:eastAsia="Arial" w:hAnsi="Arial"/>
                <w:b/>
                <w:bCs/>
                <w:color w:val="1A1A1A"/>
                <w:sz w:val="20"/>
                <w:szCs w:val="20"/>
              </w:rPr>
              <w:t xml:space="preserve">P1 Response</w:t>
            </w:r>
          </w:p>
        </w:tc>
        <w:tc>
          <w:tcPr>
            <w:tcW w:type="dxa" w:w="3600"/>
            <w:tcBorders>
              <w:top w:val="single" w:color="CCCCCC" w:sz="1"/>
              <w:left w:val="single" w:color="CCCCCC" w:sz="1"/>
              <w:bottom w:val="single" w:color="CCCCCC" w:sz="1"/>
              <w:right w:val="single" w:color="CCCCCC" w:sz="1"/>
            </w:tcBorders>
            <w:shd w:fill="E8F4F7" w:val="clear"/>
            <w:tcMar>
              <w:top w:type="dxa" w:w="80"/>
              <w:left w:type="dxa" w:w="120"/>
              <w:bottom w:type="dxa" w:w="80"/>
              <w:right w:type="dxa" w:w="120"/>
            </w:tcMar>
            <w:vAlign w:val="top"/>
          </w:tcPr>
          <w:p>
            <w:r>
              <w:rPr>
                <w:rFonts w:ascii="Arial" w:cs="Arial" w:eastAsia="Arial" w:hAnsi="Arial"/>
                <w:b/>
                <w:bCs/>
                <w:color w:val="1A1A1A"/>
                <w:sz w:val="20"/>
                <w:szCs w:val="20"/>
              </w:rPr>
              <w:t xml:space="preserve">P2 Response</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Standard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24 business hours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3 business days</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Priority</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4 business hours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1 business day</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Dedicated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1 business hour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4 business hours</w:t>
            </w:r>
          </w:p>
        </w:tc>
      </w:tr>
    </w:tbl>
    <w:p>
      <w:pPr>
        <w:spacing w:after="100"/>
      </w:pPr>
    </w:p>
    <w:p>
      <w:pPr>
        <w:spacing w:after="80" w:before="200"/>
      </w:pPr>
      <w:r>
        <w:rPr>
          <w:rFonts w:ascii="Arial" w:cs="Arial" w:eastAsia="Arial" w:hAnsi="Arial"/>
          <w:b/>
          <w:bCs/>
          <w:color w:val="1A1A1A"/>
          <w:sz w:val="24"/>
          <w:szCs w:val="24"/>
        </w:rPr>
        <w:t xml:space="preserve">Communication &amp; Availability</w:t>
      </w:r>
    </w:p>
    <w:p>
      <w:pPr>
        <w:pStyle w:val="ListParagraph"/>
        <w:numPr>
          <w:ilvl w:val="0"/>
          <w:numId w:val="2"/>
        </w:numPr>
        <w:spacing w:after="60"/>
      </w:pPr>
      <w:r>
        <w:rPr>
          <w:rFonts w:ascii="Arial" w:cs="Arial" w:eastAsia="Arial" w:hAnsi="Arial"/>
          <w:b w:val="false"/>
          <w:bCs w:val="false"/>
          <w:color w:val="1A1A1A"/>
          <w:sz w:val="20"/>
          <w:szCs w:val="20"/>
        </w:rPr>
        <w:t xml:space="preserve">Primary channel: Slack (Nordic workspace)</w:t>
      </w:r>
    </w:p>
    <w:p>
      <w:pPr>
        <w:pStyle w:val="ListParagraph"/>
        <w:numPr>
          <w:ilvl w:val="0"/>
          <w:numId w:val="2"/>
        </w:numPr>
        <w:spacing w:after="60"/>
      </w:pPr>
      <w:r>
        <w:rPr>
          <w:rFonts w:ascii="Arial" w:cs="Arial" w:eastAsia="Arial" w:hAnsi="Arial"/>
          <w:b w:val="false"/>
          <w:bCs w:val="false"/>
          <w:color w:val="1A1A1A"/>
          <w:sz w:val="20"/>
          <w:szCs w:val="20"/>
        </w:rPr>
        <w:t xml:space="preserve">Secondary: garrett@windedvertigo.com</w:t>
      </w:r>
    </w:p>
    <w:p>
      <w:pPr>
        <w:pStyle w:val="ListParagraph"/>
        <w:numPr>
          <w:ilvl w:val="0"/>
          <w:numId w:val="2"/>
        </w:numPr>
        <w:spacing w:after="60"/>
      </w:pPr>
      <w:r>
        <w:rPr>
          <w:rFonts w:ascii="Arial" w:cs="Arial" w:eastAsia="Arial" w:hAnsi="Arial"/>
          <w:b w:val="false"/>
          <w:bCs w:val="false"/>
          <w:color w:val="1A1A1A"/>
          <w:sz w:val="20"/>
          <w:szCs w:val="20"/>
        </w:rPr>
        <w:t xml:space="preserve">P1 only: SMS/phone fallback</w:t>
      </w:r>
    </w:p>
    <w:p>
      <w:pPr>
        <w:pStyle w:val="ListParagraph"/>
        <w:numPr>
          <w:ilvl w:val="0"/>
          <w:numId w:val="2"/>
        </w:numPr>
        <w:spacing w:after="60"/>
      </w:pPr>
      <w:r>
        <w:rPr>
          <w:rFonts w:ascii="Arial" w:cs="Arial" w:eastAsia="Arial" w:hAnsi="Arial"/>
          <w:b w:val="false"/>
          <w:bCs w:val="false"/>
          <w:color w:val="1A1A1A"/>
          <w:sz w:val="20"/>
          <w:szCs w:val="20"/>
        </w:rPr>
        <w:t xml:space="preserve">Business hours: US Pacific, Monday–Friday, 9am–6pm PT</w:t>
      </w:r>
    </w:p>
    <w:p>
      <w:pPr>
        <w:pStyle w:val="ListParagraph"/>
        <w:numPr>
          <w:ilvl w:val="0"/>
          <w:numId w:val="2"/>
        </w:numPr>
        <w:spacing w:after="60"/>
      </w:pPr>
      <w:r>
        <w:rPr>
          <w:rFonts w:ascii="Arial" w:cs="Arial" w:eastAsia="Arial" w:hAnsi="Arial"/>
          <w:b w:val="false"/>
          <w:bCs w:val="false"/>
          <w:color w:val="1A1A1A"/>
          <w:sz w:val="20"/>
          <w:szCs w:val="20"/>
        </w:rPr>
        <w:t xml:space="preserve">After-hours P1: best-effort within 2 hours; guaranteed next-morning response</w:t>
      </w:r>
    </w:p>
    <w:p>
      <w:pPr>
        <w:pStyle w:val="ListParagraph"/>
        <w:numPr>
          <w:ilvl w:val="0"/>
          <w:numId w:val="2"/>
        </w:numPr>
        <w:spacing w:after="60"/>
      </w:pPr>
      <w:r>
        <w:rPr>
          <w:rFonts w:ascii="Arial" w:cs="Arial" w:eastAsia="Arial" w:hAnsi="Arial"/>
          <w:b w:val="false"/>
          <w:bCs w:val="false"/>
          <w:color w:val="1A1A1A"/>
          <w:sz w:val="20"/>
          <w:szCs w:val="20"/>
        </w:rPr>
        <w:t xml:space="preserve">Vacation coverage: August Kinloch (named backup) per §3a</w:t>
      </w:r>
    </w:p>
    <w:p>
      <w:pPr>
        <w:spacing w:after="160"/>
      </w:pPr>
    </w:p>
    <w:p>
      <w:pPr>
        <w:pBdr>
          <w:bottom w:val="single" w:color="1B6B7B" w:sz="4" w:space="4"/>
        </w:pBdr>
        <w:spacing w:after="120" w:before="280"/>
      </w:pPr>
      <w:r>
        <w:rPr>
          <w:rFonts w:ascii="Arial" w:cs="Arial" w:eastAsia="Arial" w:hAnsi="Arial"/>
          <w:b/>
          <w:bCs/>
          <w:color w:val="1B6B7B"/>
          <w:sz w:val="28"/>
          <w:szCs w:val="28"/>
        </w:rPr>
        <w:t xml:space="preserve">7. Roadmap of Separately-Scoped Projects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1440"/>
        <w:gridCol w:w="3600"/>
      </w:tblGrid>
      <w:tr>
        <w:tc>
          <w:tcPr>
            <w:tcW w:type="dxa" w:w="4320"/>
            <w:tcBorders>
              <w:top w:val="single" w:color="CCCCCC" w:sz="1"/>
              <w:left w:val="single" w:color="CCCCCC" w:sz="1"/>
              <w:bottom w:val="single" w:color="CCCCCC" w:sz="1"/>
              <w:right w:val="single" w:color="CCCCCC" w:sz="1"/>
            </w:tcBorders>
            <w:shd w:fill="E8F4F7" w:val="clear"/>
            <w:tcMar>
              <w:top w:type="dxa" w:w="80"/>
              <w:left w:type="dxa" w:w="120"/>
              <w:bottom w:type="dxa" w:w="80"/>
              <w:right w:type="dxa" w:w="120"/>
            </w:tcMar>
            <w:vAlign w:val="top"/>
          </w:tcPr>
          <w:p>
            <w:r>
              <w:rPr>
                <w:rFonts w:ascii="Arial" w:cs="Arial" w:eastAsia="Arial" w:hAnsi="Arial"/>
                <w:b/>
                <w:bCs/>
                <w:color w:val="1A1A1A"/>
                <w:sz w:val="20"/>
                <w:szCs w:val="20"/>
              </w:rPr>
              <w:t xml:space="preserve">Project</w:t>
            </w:r>
          </w:p>
        </w:tc>
        <w:tc>
          <w:tcPr>
            <w:tcW w:type="dxa" w:w="1440"/>
            <w:tcBorders>
              <w:top w:val="single" w:color="CCCCCC" w:sz="1"/>
              <w:left w:val="single" w:color="CCCCCC" w:sz="1"/>
              <w:bottom w:val="single" w:color="CCCCCC" w:sz="1"/>
              <w:right w:val="single" w:color="CCCCCC" w:sz="1"/>
            </w:tcBorders>
            <w:shd w:fill="E8F4F7" w:val="clear"/>
            <w:tcMar>
              <w:top w:type="dxa" w:w="80"/>
              <w:left w:type="dxa" w:w="120"/>
              <w:bottom w:type="dxa" w:w="80"/>
              <w:right w:type="dxa" w:w="120"/>
            </w:tcMar>
            <w:vAlign w:val="top"/>
          </w:tcPr>
          <w:p>
            <w:r>
              <w:rPr>
                <w:rFonts w:ascii="Arial" w:cs="Arial" w:eastAsia="Arial" w:hAnsi="Arial"/>
                <w:b/>
                <w:bCs/>
                <w:color w:val="1A1A1A"/>
                <w:sz w:val="20"/>
                <w:szCs w:val="20"/>
              </w:rPr>
              <w:t xml:space="preserve">Est. Hours</w:t>
            </w:r>
          </w:p>
        </w:tc>
        <w:tc>
          <w:tcPr>
            <w:tcW w:type="dxa" w:w="3600"/>
            <w:tcBorders>
              <w:top w:val="single" w:color="CCCCCC" w:sz="1"/>
              <w:left w:val="single" w:color="CCCCCC" w:sz="1"/>
              <w:bottom w:val="single" w:color="CCCCCC" w:sz="1"/>
              <w:right w:val="single" w:color="CCCCCC" w:sz="1"/>
            </w:tcBorders>
            <w:shd w:fill="E8F4F7" w:val="clear"/>
            <w:tcMar>
              <w:top w:type="dxa" w:w="80"/>
              <w:left w:type="dxa" w:w="120"/>
              <w:bottom w:type="dxa" w:w="80"/>
              <w:right w:type="dxa" w:w="120"/>
            </w:tcMar>
            <w:vAlign w:val="top"/>
          </w:tcPr>
          <w:p>
            <w:r>
              <w:rPr>
                <w:rFonts w:ascii="Arial" w:cs="Arial" w:eastAsia="Arial" w:hAnsi="Arial"/>
                <w:b/>
                <w:bCs/>
                <w:color w:val="1A1A1A"/>
                <w:sz w:val="20"/>
                <w:szCs w:val="20"/>
              </w:rPr>
              <w:t xml:space="preserve">Budget Estimate</w:t>
            </w:r>
          </w:p>
        </w:tc>
      </w:tr>
      <w:tr>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Wave 9 — Real-time collaborative editing (CRDT-style)</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60–100 hrs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$25,000–$45,000</w:t>
            </w:r>
          </w:p>
        </w:tc>
      </w:tr>
      <w:tr>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Wave 10 — Evergreen Extraction (OSS LLM migration)</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40–80 hrs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$20,000–$35,000</w:t>
            </w:r>
          </w:p>
        </w:tc>
      </w:tr>
      <w:tr>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Wave 11 — Supabase full migration cutover</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80–160 hrs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$35,000–$70,000 (or 5–10 retainer months at Priority)</w:t>
            </w:r>
          </w:p>
        </w:tc>
      </w:tr>
      <w:tr>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Wave 12 — HIPAA BAA prep + SOC 2 Type 1</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60–120+ hrs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$30,000–$60,000 + legal</w:t>
            </w:r>
          </w:p>
        </w:tc>
      </w:tr>
      <w:tr>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Auto-PCS Generator — Sharon's flagship ask (2027 SOW)</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TBD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$18,000–$28,000</w:t>
            </w:r>
          </w:p>
        </w:tc>
      </w:tr>
    </w:tbl>
    <w:p>
      <w:pPr>
        <w:spacing w:after="160"/>
      </w:pPr>
    </w:p>
    <w:p>
      <w:pPr>
        <w:pBdr>
          <w:bottom w:val="single" w:color="1B6B7B" w:sz="4" w:space="4"/>
        </w:pBdr>
        <w:spacing w:after="120" w:before="280"/>
      </w:pPr>
      <w:r>
        <w:rPr>
          <w:rFonts w:ascii="Arial" w:cs="Arial" w:eastAsia="Arial" w:hAnsi="Arial"/>
          <w:b/>
          <w:bCs/>
          <w:color w:val="1B6B7B"/>
          <w:sz w:val="28"/>
          <w:szCs w:val="28"/>
        </w:rPr>
        <w:t xml:space="preserve">8. Why Nordic Should Sign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E8F4F7" w:val="clear"/>
            <w:tcMar>
              <w:top w:type="dxa" w:w="80"/>
              <w:left w:type="dxa" w:w="120"/>
              <w:bottom w:type="dxa" w:w="80"/>
              <w:right w:type="dxa" w:w="120"/>
            </w:tcMar>
            <w:vAlign w:val="top"/>
          </w:tcPr>
          <w:p>
            <w:r>
              <w:rPr>
                <w:rFonts w:ascii="Arial" w:cs="Arial" w:eastAsia="Arial" w:hAnsi="Arial"/>
                <w:b/>
                <w:bCs/>
                <w:color w:val="1A1A1A"/>
                <w:sz w:val="20"/>
                <w:szCs w:val="20"/>
              </w:rPr>
              <w:t xml:space="preserve">Benefit</w:t>
            </w:r>
          </w:p>
        </w:tc>
        <w:tc>
          <w:tcPr>
            <w:tcW w:type="dxa" w:w="6480"/>
            <w:tcBorders>
              <w:top w:val="single" w:color="CCCCCC" w:sz="1"/>
              <w:left w:val="single" w:color="CCCCCC" w:sz="1"/>
              <w:bottom w:val="single" w:color="CCCCCC" w:sz="1"/>
              <w:right w:val="single" w:color="CCCCCC" w:sz="1"/>
            </w:tcBorders>
            <w:shd w:fill="E8F4F7" w:val="clear"/>
            <w:tcMar>
              <w:top w:type="dxa" w:w="80"/>
              <w:left w:type="dxa" w:w="120"/>
              <w:bottom w:type="dxa" w:w="80"/>
              <w:right w:type="dxa" w:w="120"/>
            </w:tcMar>
            <w:vAlign w:val="top"/>
          </w:tcPr>
          <w:p>
            <w:r>
              <w:rPr>
                <w:rFonts w:ascii="Arial" w:cs="Arial" w:eastAsia="Arial" w:hAnsi="Arial"/>
                <w:b/>
                <w:bCs/>
                <w:color w:val="1A1A1A"/>
                <w:sz w:val="20"/>
                <w:szCs w:val="20"/>
              </w:rPr>
              <w:t xml:space="preserve">Detail</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1A1A1A"/>
                <w:sz w:val="20"/>
                <w:szCs w:val="20"/>
              </w:rPr>
              <w:t xml:space="preserve">AICS workflow unlocked immediately</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Research team stops creating substantiation documents manually the moment the contract is signed. Bundle 3 infrastructure is already built — this is a configuration and onboarding step, not a build step.</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1A1A1A"/>
                <w:sz w:val="20"/>
                <w:szCs w:val="20"/>
              </w:rPr>
              <w:t xml:space="preserve">Predictable monthly cost</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Known monthly rate vs. emergency re-negotiation costs when something breaks or falls behind.</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1A1A1A"/>
                <w:sz w:val="20"/>
                <w:szCs w:val="20"/>
              </w:rPr>
              <w:t xml:space="preserve">Named technical owner + backup</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Committed response-time SLA and named backup contractor (August Kinloch) for coverage continuity.</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1A1A1A"/>
                <w:sz w:val="20"/>
                <w:szCs w:val="20"/>
              </w:rPr>
              <w:t xml:space="preserve">Security maturity baseline</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Quarterly written security review reports + ongoing dependency patching and credential rotation.</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1A1A1A"/>
                <w:sz w:val="20"/>
                <w:szCs w:val="20"/>
              </w:rPr>
              <w:t xml:space="preserve">Vendor-risk management</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Nordic doesn't have to become an expert in Anthropic's API changelogs, Supabase RLS policy changes, or Cloudflare incident timelines.</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1A1A1A"/>
                <w:sz w:val="20"/>
                <w:szCs w:val="20"/>
              </w:rPr>
              <w:t xml:space="preserve">Forward optionality at known prices</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Wave 10 LLM migration and Wave 11 Supabase cutover available when Nordic wants them, with anchor estimates in §7.</w:t>
            </w:r>
          </w:p>
        </w:tc>
      </w:tr>
    </w:tbl>
    <w:p>
      <w:pPr>
        <w:spacing w:after="160"/>
      </w:pPr>
    </w:p>
    <w:p>
      <w:pPr>
        <w:pBdr>
          <w:bottom w:val="single" w:color="1B6B7B" w:sz="4" w:space="4"/>
        </w:pBdr>
        <w:spacing w:after="120" w:before="280"/>
      </w:pPr>
      <w:r>
        <w:rPr>
          <w:rFonts w:ascii="Arial" w:cs="Arial" w:eastAsia="Arial" w:hAnsi="Arial"/>
          <w:b/>
          <w:bCs/>
          <w:color w:val="1B6B7B"/>
          <w:sz w:val="28"/>
          <w:szCs w:val="28"/>
        </w:rPr>
        <w:t xml:space="preserve">9. Next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8F4F7" w:val="clear"/>
            <w:tcMar>
              <w:top w:type="dxa" w:w="80"/>
              <w:left w:type="dxa" w:w="120"/>
              <w:bottom w:type="dxa" w:w="80"/>
              <w:right w:type="dxa" w:w="120"/>
            </w:tcMar>
            <w:vAlign w:val="top"/>
          </w:tcPr>
          <w:p>
            <w:r>
              <w:rPr>
                <w:rFonts w:ascii="Arial" w:cs="Arial" w:eastAsia="Arial" w:hAnsi="Arial"/>
                <w:b/>
                <w:bCs/>
                <w:color w:val="1A1A1A"/>
                <w:sz w:val="20"/>
                <w:szCs w:val="20"/>
              </w:rPr>
              <w:t xml:space="preserve">Party</w:t>
            </w:r>
          </w:p>
        </w:tc>
        <w:tc>
          <w:tcPr>
            <w:tcW w:type="dxa" w:w="7560"/>
            <w:tcBorders>
              <w:top w:val="single" w:color="CCCCCC" w:sz="1"/>
              <w:left w:val="single" w:color="CCCCCC" w:sz="1"/>
              <w:bottom w:val="single" w:color="CCCCCC" w:sz="1"/>
              <w:right w:val="single" w:color="CCCCCC" w:sz="1"/>
            </w:tcBorders>
            <w:shd w:fill="E8F4F7" w:val="clear"/>
            <w:tcMar>
              <w:top w:type="dxa" w:w="80"/>
              <w:left w:type="dxa" w:w="120"/>
              <w:bottom w:type="dxa" w:w="80"/>
              <w:right w:type="dxa" w:w="120"/>
            </w:tcMar>
            <w:vAlign w:val="top"/>
          </w:tcPr>
          <w:p>
            <w:r>
              <w:rPr>
                <w:rFonts w:ascii="Arial" w:cs="Arial" w:eastAsia="Arial" w:hAnsi="Arial"/>
                <w:b/>
                <w:bCs/>
                <w:color w:val="1A1A1A"/>
                <w:sz w:val="20"/>
                <w:szCs w:val="20"/>
              </w:rPr>
              <w:t xml:space="preserve">Action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1A1A1A"/>
                <w:sz w:val="20"/>
                <w:szCs w:val="20"/>
              </w:rPr>
              <w:t xml:space="preserve">Nordic</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Route contract to legal/finance for review. The documents are ready. Five business days to review is a reasonable ask.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1A1A1A"/>
                <w:sz w:val="20"/>
                <w:szCs w:val="20"/>
              </w:rPr>
              <w:t xml:space="preserve">Both</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Target execution this week or next. The AICS workflow transition, Platform Phase 1 schema work, and first retainer month all start on the day the contract is signed.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1A1A1A"/>
                <w:sz w:val="20"/>
                <w:szCs w:val="20"/>
              </w:rPr>
              <w:t xml:space="preserve">On signing</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Budget A invoice issued. Budget B back-pay invoice issued. AICS onboarding kickoff with Lauren. Phase 1 schema gap work resumes formally. First retainer month begins.</w:t>
            </w:r>
          </w:p>
        </w:tc>
      </w:tr>
    </w:tbl>
    <w:p>
      <w:pPr>
        <w:spacing w:after="160"/>
      </w:pPr>
    </w:p>
    <w:p>
      <w:pPr>
        <w:pBdr>
          <w:bottom w:val="single" w:color="1B6B7B" w:sz="4" w:space="4"/>
        </w:pBdr>
        <w:spacing w:after="120" w:before="280"/>
      </w:pPr>
      <w:r>
        <w:rPr>
          <w:rFonts w:ascii="Arial" w:cs="Arial" w:eastAsia="Arial" w:hAnsi="Arial"/>
          <w:b/>
          <w:bCs/>
          <w:color w:val="1B6B7B"/>
          <w:sz w:val="28"/>
          <w:szCs w:val="28"/>
        </w:rPr>
        <w:t xml:space="preserve">10. Two-Budget Structure — Platform Build + Retainer</w:t>
      </w:r>
    </w:p>
    <w:p>
      <w:pPr>
        <w:spacing w:after="100"/>
      </w:pPr>
      <w:r>
        <w:rPr>
          <w:rFonts w:ascii="Arial" w:cs="Arial" w:eastAsia="Arial" w:hAnsi="Arial"/>
          <w:b w:val="false"/>
          <w:bCs w:val="false"/>
          <w:color w:val="1A1A1A"/>
          <w:sz w:val="20"/>
          <w:szCs w:val="20"/>
        </w:rPr>
        <w:t xml:space="preserve">Updated May 15, 2026. Supersedes the version dated April 30, 2026.</w:t>
      </w:r>
    </w:p>
    <w:p>
      <w:pPr>
        <w:spacing w:after="80"/>
      </w:pPr>
    </w:p>
    <w:p>
      <w:pPr>
        <w:spacing w:after="80" w:before="200"/>
      </w:pPr>
      <w:r>
        <w:rPr>
          <w:rFonts w:ascii="Arial" w:cs="Arial" w:eastAsia="Arial" w:hAnsi="Arial"/>
          <w:b/>
          <w:bCs/>
          <w:color w:val="1A1A1A"/>
          <w:sz w:val="24"/>
          <w:szCs w:val="24"/>
        </w:rPr>
        <w:t xml:space="preserve">10.1 Why Two Budgets</w:t>
      </w:r>
    </w:p>
    <w:p>
      <w:pPr>
        <w:spacing w:after="100"/>
      </w:pPr>
      <w:r>
        <w:rPr>
          <w:rFonts w:ascii="Arial" w:cs="Arial" w:eastAsia="Arial" w:hAnsi="Arial"/>
          <w:b w:val="false"/>
          <w:bCs w:val="false"/>
          <w:color w:val="1A1A1A"/>
          <w:sz w:val="20"/>
          <w:szCs w:val="20"/>
        </w:rPr>
        <w:t xml:space="preserve">Nordic verbally committed a $50,000 platform-build budget. What has actually shipped to production exceeds that anchor at rate-card value. The two-budget structure converts this into a clean commercial arrangement rather than a billing dispute: Budget A is the fixed-fee platform build; Budget B is the recurring retainer that has been active — and uncompensated — since March 1, 2026.</w:t>
      </w:r>
    </w:p>
    <w:p>
      <w:pPr>
        <w:spacing w:after="120"/>
      </w:pPr>
    </w:p>
    <w:p>
      <w:pPr>
        <w:spacing w:after="80" w:before="200"/>
      </w:pPr>
      <w:r>
        <w:rPr>
          <w:rFonts w:ascii="Arial" w:cs="Arial" w:eastAsia="Arial" w:hAnsi="Arial"/>
          <w:b/>
          <w:bCs/>
          <w:color w:val="1A1A1A"/>
          <w:sz w:val="24"/>
          <w:szCs w:val="24"/>
        </w:rPr>
        <w:t xml:space="preserve">10.2 Budget A — Platform Build ($50,000 — Invoiced at Signing)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45A32" w:sz="6"/>
              <w:left w:val="single" w:color="145A32" w:sz="6"/>
              <w:bottom w:val="single" w:color="145A32" w:sz="6"/>
              <w:right w:val="single" w:color="145A32" w:sz="6"/>
            </w:tcBorders>
            <w:shd w:fill="E9F7EF" w:val="clear"/>
            <w:tcMar>
              <w:top w:type="dxa" w:w="160"/>
              <w:left w:type="dxa" w:w="200"/>
              <w:bottom w:type="dxa" w:w="160"/>
              <w:right w:type="dxa" w:w="200"/>
            </w:tcMar>
          </w:tcPr>
          <w:p>
            <w:pPr>
              <w:spacing w:after="60"/>
            </w:pPr>
            <w:r>
              <w:rPr>
                <w:rFonts w:ascii="Arial" w:cs="Arial" w:eastAsia="Arial" w:hAnsi="Arial"/>
                <w:b/>
                <w:bCs/>
                <w:color w:val="1A1A1A"/>
                <w:sz w:val="22"/>
                <w:szCs w:val="22"/>
              </w:rPr>
              <w:t xml:space="preserve">Budget A: $50,000 — Full Amount Due at Contract Signing</w:t>
            </w:r>
          </w:p>
          <w:p>
            <w:pPr>
              <w:spacing w:after="60"/>
            </w:pPr>
            <w:r>
              <w:rPr>
                <w:rFonts w:ascii="Arial" w:cs="Arial" w:eastAsia="Arial" w:hAnsi="Arial"/>
                <w:b w:val="false"/>
                <w:bCs w:val="false"/>
                <w:color w:val="1A1A1A"/>
                <w:sz w:val="20"/>
                <w:szCs w:val="20"/>
              </w:rPr>
              <w:t xml:space="preserve"> </w:t>
            </w:r>
          </w:p>
          <w:p>
            <w:pPr>
              <w:spacing w:after="60"/>
            </w:pPr>
            <w:r>
              <w:rPr>
                <w:rFonts w:ascii="Arial" w:cs="Arial" w:eastAsia="Arial" w:hAnsi="Arial"/>
                <w:b w:val="false"/>
                <w:bCs w:val="false"/>
                <w:color w:val="1A1A1A"/>
                <w:sz w:val="19"/>
                <w:szCs w:val="19"/>
              </w:rPr>
              <w:t xml:space="preserve">Fixed fee: $50,000. Payment: Full amount invoiced on the date the contract is executed. Work is substantially delivered; the previous milestone-split structure (50% on signature / 50% on go-live) no longer reflects delivery status. There is no second milestone payment.</w:t>
            </w:r>
          </w:p>
          <w:p>
            <w:pPr>
              <w:spacing w:after="60"/>
            </w:pPr>
            <w:r>
              <w:rPr>
                <w:rFonts w:ascii="Arial" w:cs="Arial" w:eastAsia="Arial" w:hAnsi="Arial"/>
                <w:b w:val="false"/>
                <w:bCs w:val="false"/>
                <w:color w:val="1A1A1A"/>
                <w:sz w:val="20"/>
                <w:szCs w:val="20"/>
              </w:rPr>
              <w:t xml:space="preserve"> </w:t>
            </w:r>
          </w:p>
          <w:p>
            <w:pPr>
              <w:spacing w:after="60"/>
            </w:pPr>
            <w:r>
              <w:rPr>
                <w:rFonts w:ascii="Arial" w:cs="Arial" w:eastAsia="Arial" w:hAnsi="Arial"/>
                <w:b w:val="false"/>
                <w:bCs w:val="false"/>
                <w:color w:val="1A1A1A"/>
                <w:sz w:val="19"/>
                <w:szCs w:val="19"/>
              </w:rPr>
              <w:t xml:space="preserve">Rate-card value of work delivered: ~$71,400 at $350/hr agency benchmark. Budget A cap honored at $50,000 — Garrett absorbs the ~$21,400 overrun as cost-of-discovery on a verbal-only budget arrangement.</w:t>
            </w:r>
          </w:p>
        </w:tc>
      </w:tr>
    </w:tbl>
    <w:p>
      <w:pPr>
        <w:spacing w:after="100"/>
      </w:pPr>
    </w:p>
    <w:p>
      <w:pPr>
        <w:spacing w:after="100"/>
      </w:pPr>
      <w:r>
        <w:rPr>
          <w:rFonts w:ascii="Arial" w:cs="Arial" w:eastAsia="Arial" w:hAnsi="Arial"/>
          <w:b w:val="false"/>
          <w:bCs w:val="false"/>
          <w:color w:val="1A1A1A"/>
          <w:sz w:val="20"/>
          <w:szCs w:val="20"/>
        </w:rPr>
        <w:t xml:space="preserve">Shipped and operational at nordic.windedvertigo.com:</w:t>
      </w:r>
    </w:p>
    <w:p>
      <w:pPr>
        <w:pStyle w:val="ListParagraph"/>
        <w:numPr>
          <w:ilvl w:val="0"/>
          <w:numId w:val="2"/>
        </w:numPr>
        <w:spacing w:after="60"/>
      </w:pPr>
      <w:r>
        <w:rPr>
          <w:rFonts w:ascii="Arial" w:cs="Arial" w:eastAsia="Arial" w:hAnsi="Arial"/>
          <w:b w:val="false"/>
          <w:bCs w:val="false"/>
          <w:color w:val="1A1A1A"/>
          <w:sz w:val="20"/>
          <w:szCs w:val="20"/>
        </w:rPr>
        <w:t xml:space="preserve">Waves 4.x through 8, 8B — full SQR-RCT + PCS platform lifecycle</w:t>
      </w:r>
    </w:p>
    <w:p>
      <w:pPr>
        <w:pStyle w:val="ListParagraph"/>
        <w:numPr>
          <w:ilvl w:val="0"/>
          <w:numId w:val="2"/>
        </w:numPr>
        <w:spacing w:after="60"/>
      </w:pPr>
      <w:r>
        <w:rPr>
          <w:rFonts w:ascii="Arial" w:cs="Arial" w:eastAsia="Arial" w:hAnsi="Arial"/>
          <w:b w:val="false"/>
          <w:bCs w:val="false"/>
          <w:color w:val="1A1A1A"/>
          <w:sz w:val="20"/>
          <w:szCs w:val="20"/>
        </w:rPr>
        <w:t xml:space="preserve">Bundle 3 P2 — full AICS workflow (DDL, entity helpers, API routes, UI tabs, PCS-AICS picker, regulatory tab inline editor) — live, awaiting onboarding</w:t>
      </w:r>
    </w:p>
    <w:p>
      <w:pPr>
        <w:pStyle w:val="ListParagraph"/>
        <w:numPr>
          <w:ilvl w:val="0"/>
          <w:numId w:val="2"/>
        </w:numPr>
        <w:spacing w:after="60"/>
      </w:pPr>
      <w:r>
        <w:rPr>
          <w:rFonts w:ascii="Arial" w:cs="Arial" w:eastAsia="Arial" w:hAnsi="Arial"/>
          <w:b w:val="false"/>
          <w:bCs w:val="false"/>
          <w:color w:val="1A1A1A"/>
          <w:sz w:val="20"/>
          <w:szCs w:val="20"/>
        </w:rPr>
        <w:t xml:space="preserve">Bundle 4 P1–P3 — form-driven claim entry (controlled-vocab dropdowns, form-driven submit, AI master import scaffold)</w:t>
      </w:r>
    </w:p>
    <w:p>
      <w:pPr>
        <w:spacing w:after="80"/>
      </w:pPr>
    </w:p>
    <w:p>
      <w:pPr>
        <w:spacing w:after="100"/>
      </w:pPr>
      <w:r>
        <w:rPr>
          <w:rFonts w:ascii="Arial" w:cs="Arial" w:eastAsia="Arial" w:hAnsi="Arial"/>
          <w:b w:val="false"/>
          <w:bCs w:val="false"/>
          <w:color w:val="1A1A1A"/>
          <w:sz w:val="20"/>
          <w:szCs w:val="20"/>
        </w:rPr>
        <w:t xml:space="preserve">Remaining build deliverables (inside the $50K cap, ~$11,200 rate-card):</w:t>
      </w:r>
    </w:p>
    <w:p>
      <w:pPr>
        <w:pStyle w:val="ListParagraph"/>
        <w:numPr>
          <w:ilvl w:val="0"/>
          <w:numId w:val="2"/>
        </w:numPr>
        <w:spacing w:after="60"/>
      </w:pPr>
      <w:r>
        <w:rPr>
          <w:rFonts w:ascii="Arial" w:cs="Arial" w:eastAsia="Arial" w:hAnsi="Arial"/>
          <w:b w:val="false"/>
          <w:bCs w:val="false"/>
          <w:color w:val="1A1A1A"/>
          <w:sz w:val="20"/>
          <w:szCs w:val="20"/>
        </w:rPr>
        <w:t xml:space="preserve">Wave 7.x chained track polish (WorkspaceShell → /login extraction → /welcome + sticky-role → full sidebar adoption)</w:t>
      </w:r>
    </w:p>
    <w:p>
      <w:pPr>
        <w:pStyle w:val="ListParagraph"/>
        <w:numPr>
          <w:ilvl w:val="0"/>
          <w:numId w:val="2"/>
        </w:numPr>
        <w:spacing w:after="60"/>
      </w:pPr>
      <w:r>
        <w:rPr>
          <w:rFonts w:ascii="Arial" w:cs="Arial" w:eastAsia="Arial" w:hAnsi="Arial"/>
          <w:b w:val="false"/>
          <w:bCs w:val="false"/>
          <w:color w:val="1A1A1A"/>
          <w:sz w:val="20"/>
          <w:szCs w:val="20"/>
        </w:rPr>
        <w:t xml:space="preserve">Operator runbook completion</w:t>
      </w:r>
    </w:p>
    <w:p>
      <w:pPr>
        <w:pStyle w:val="ListParagraph"/>
        <w:numPr>
          <w:ilvl w:val="0"/>
          <w:numId w:val="2"/>
        </w:numPr>
        <w:spacing w:after="60"/>
      </w:pPr>
      <w:r>
        <w:rPr>
          <w:rFonts w:ascii="Arial" w:cs="Arial" w:eastAsia="Arial" w:hAnsi="Arial"/>
          <w:b w:val="false"/>
          <w:bCs w:val="false"/>
          <w:color w:val="1A1A1A"/>
          <w:sz w:val="20"/>
          <w:szCs w:val="20"/>
        </w:rPr>
        <w:t xml:space="preserve">Bundle 3.5 P3 — RA review-queue dashboard</w:t>
      </w:r>
    </w:p>
    <w:p>
      <w:pPr>
        <w:spacing w:after="140"/>
      </w:pPr>
    </w:p>
    <w:p>
      <w:pPr>
        <w:spacing w:after="80" w:before="200"/>
      </w:pPr>
      <w:r>
        <w:rPr>
          <w:rFonts w:ascii="Arial" w:cs="Arial" w:eastAsia="Arial" w:hAnsi="Arial"/>
          <w:b/>
          <w:bCs/>
          <w:color w:val="1A1A1A"/>
          <w:sz w:val="24"/>
          <w:szCs w:val="24"/>
        </w:rPr>
        <w:t xml:space="preserve">10.3 Budget B — Retainer (Active Since March 1,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A4F00" w:sz="6"/>
              <w:left w:val="single" w:color="7A4F00" w:sz="6"/>
              <w:bottom w:val="single" w:color="7A4F00" w:sz="6"/>
              <w:right w:val="single" w:color="7A4F00" w:sz="6"/>
            </w:tcBorders>
            <w:shd w:fill="FFF8E6" w:val="clear"/>
            <w:tcMar>
              <w:top w:type="dxa" w:w="160"/>
              <w:left w:type="dxa" w:w="200"/>
              <w:bottom w:type="dxa" w:w="160"/>
              <w:right w:type="dxa" w:w="200"/>
            </w:tcMar>
          </w:tcPr>
          <w:p>
            <w:pPr>
              <w:spacing w:after="60"/>
            </w:pPr>
            <w:r>
              <w:rPr>
                <w:rFonts w:ascii="Arial" w:cs="Arial" w:eastAsia="Arial" w:hAnsi="Arial"/>
                <w:b/>
                <w:bCs/>
                <w:color w:val="1A1A1A"/>
                <w:sz w:val="21"/>
                <w:szCs w:val="21"/>
              </w:rPr>
              <w:t xml:space="preserve">Critical Context: Budget B Has Been Running Since March 1, 2026</w:t>
            </w:r>
          </w:p>
          <w:p>
            <w:pPr>
              <w:spacing w:after="60"/>
            </w:pPr>
            <w:r>
              <w:rPr>
                <w:rFonts w:ascii="Arial" w:cs="Arial" w:eastAsia="Arial" w:hAnsi="Arial"/>
                <w:b w:val="false"/>
                <w:bCs w:val="false"/>
                <w:color w:val="1A1A1A"/>
                <w:sz w:val="20"/>
                <w:szCs w:val="20"/>
              </w:rPr>
              <w:t xml:space="preserve"> </w:t>
            </w:r>
          </w:p>
          <w:p>
            <w:pPr>
              <w:spacing w:after="60"/>
            </w:pPr>
            <w:r>
              <w:rPr>
                <w:rFonts w:ascii="Arial" w:cs="Arial" w:eastAsia="Arial" w:hAnsi="Arial"/>
                <w:b w:val="false"/>
                <w:bCs w:val="false"/>
                <w:color w:val="1A1A1A"/>
                <w:sz w:val="19"/>
                <w:szCs w:val="19"/>
              </w:rPr>
              <w:t xml:space="preserve">Budget B is not a maintenance arrangement. It is an active consulting, onboarding, and platform adaptation engagement. Since March 1, 2026, winded.vertigo has been doing the work of the retainer: aligning with Lauren Bosio on AICS workflows, adapting the platform to Nordic's evolving needs, advising on research methodology, managing data governance, and onboarding the Nordic team. This work has been ongoing without a signed agreement or payment.</w:t>
            </w:r>
          </w:p>
          <w:p>
            <w:pPr>
              <w:spacing w:after="60"/>
            </w:pPr>
            <w:r>
              <w:rPr>
                <w:rFonts w:ascii="Arial" w:cs="Arial" w:eastAsia="Arial" w:hAnsi="Arial"/>
                <w:b w:val="false"/>
                <w:bCs w:val="false"/>
                <w:color w:val="1A1A1A"/>
                <w:sz w:val="20"/>
                <w:szCs w:val="20"/>
              </w:rPr>
              <w:t xml:space="preserve"> </w:t>
            </w:r>
          </w:p>
          <w:p>
            <w:pPr>
              <w:spacing w:after="60"/>
            </w:pPr>
            <w:r>
              <w:rPr>
                <w:rFonts w:ascii="Arial" w:cs="Arial" w:eastAsia="Arial" w:hAnsi="Arial"/>
                <w:b/>
                <w:bCs/>
                <w:color w:val="1A1A1A"/>
                <w:sz w:val="19"/>
                <w:szCs w:val="19"/>
              </w:rPr>
              <w:t xml:space="preserve">The ongoing retainer rate is the only flexible lever in negotiation. Budget A ($50,000) and back-pay are not subject to rate negotiation.</w:t>
            </w:r>
          </w:p>
        </w:tc>
      </w:tr>
    </w:tbl>
    <w:p>
      <w:pPr>
        <w:spacing w:after="100"/>
      </w:pPr>
    </w:p>
    <w:p>
      <w:pPr>
        <w:spacing w:after="100"/>
      </w:pPr>
      <w:r>
        <w:rPr>
          <w:rFonts w:ascii="Arial" w:cs="Arial" w:eastAsia="Arial" w:hAnsi="Arial"/>
          <w:b/>
          <w:bCs/>
          <w:color w:val="1A1A1A"/>
          <w:sz w:val="20"/>
          <w:szCs w:val="20"/>
        </w:rPr>
        <w:t xml:space="preserve">Back-pay is owed at the Priority tier rate ($6,000/mo) from March 1, 2026 to the contract execution date: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8F4F7" w:val="clear"/>
            <w:tcMar>
              <w:top w:type="dxa" w:w="80"/>
              <w:left w:type="dxa" w:w="120"/>
              <w:bottom w:type="dxa" w:w="80"/>
              <w:right w:type="dxa" w:w="120"/>
            </w:tcMar>
            <w:vAlign w:val="top"/>
          </w:tcPr>
          <w:p>
            <w:r>
              <w:rPr>
                <w:rFonts w:ascii="Arial" w:cs="Arial" w:eastAsia="Arial" w:hAnsi="Arial"/>
                <w:b/>
                <w:bCs/>
                <w:color w:val="1A1A1A"/>
                <w:sz w:val="20"/>
                <w:szCs w:val="20"/>
              </w:rPr>
              <w:t xml:space="preserve">Period</w:t>
            </w:r>
          </w:p>
        </w:tc>
        <w:tc>
          <w:tcPr>
            <w:tcW w:type="dxa" w:w="6240"/>
            <w:tcBorders>
              <w:top w:val="single" w:color="CCCCCC" w:sz="1"/>
              <w:left w:val="single" w:color="CCCCCC" w:sz="1"/>
              <w:bottom w:val="single" w:color="CCCCCC" w:sz="1"/>
              <w:right w:val="single" w:color="CCCCCC" w:sz="1"/>
            </w:tcBorders>
            <w:shd w:fill="E8F4F7" w:val="clear"/>
            <w:tcMar>
              <w:top w:type="dxa" w:w="80"/>
              <w:left w:type="dxa" w:w="120"/>
              <w:bottom w:type="dxa" w:w="80"/>
              <w:right w:type="dxa" w:w="120"/>
            </w:tcMar>
            <w:vAlign w:val="top"/>
          </w:tcPr>
          <w:p>
            <w:r>
              <w:rPr>
                <w:rFonts w:ascii="Arial" w:cs="Arial" w:eastAsia="Arial" w:hAnsi="Arial"/>
                <w:b/>
                <w:bCs/>
                <w:color w:val="1A1A1A"/>
                <w:sz w:val="20"/>
                <w:szCs w:val="20"/>
              </w:rPr>
              <w:t xml:space="preserve">Amount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March 2026</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$6,000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April 2026</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$6,000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May 2026 (prorated from May 1 to signing)</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~$194/day from May 1</w:t>
            </w:r>
          </w:p>
        </w:tc>
      </w:tr>
      <w:tr>
        <w:tc>
          <w:tcPr>
            <w:tcW w:type="dxa" w:w="3120"/>
            <w:tcBorders>
              <w:top w:val="single" w:color="CCCCCC" w:sz="1"/>
              <w:left w:val="single" w:color="CCCCCC" w:sz="1"/>
              <w:bottom w:val="single" w:color="CCCCCC" w:sz="1"/>
              <w:right w:val="single" w:color="CCCCCC" w:sz="1"/>
            </w:tcBorders>
            <w:shd w:fill="E8F4F7" w:val="clear"/>
            <w:tcMar>
              <w:top w:type="dxa" w:w="80"/>
              <w:left w:type="dxa" w:w="120"/>
              <w:bottom w:type="dxa" w:w="80"/>
              <w:right w:type="dxa" w:w="120"/>
            </w:tcMar>
            <w:vAlign w:val="top"/>
          </w:tcPr>
          <w:p>
            <w:r>
              <w:rPr>
                <w:rFonts w:ascii="Arial" w:cs="Arial" w:eastAsia="Arial" w:hAnsi="Arial"/>
                <w:b/>
                <w:bCs/>
                <w:color w:val="1A1A1A"/>
                <w:sz w:val="20"/>
                <w:szCs w:val="20"/>
              </w:rPr>
              <w:t xml:space="preserve">Minimum back-pay at signing (before May 31)</w:t>
            </w:r>
          </w:p>
        </w:tc>
        <w:tc>
          <w:tcPr>
            <w:tcW w:type="dxa" w:w="6240"/>
            <w:tcBorders>
              <w:top w:val="single" w:color="CCCCCC" w:sz="1"/>
              <w:left w:val="single" w:color="CCCCCC" w:sz="1"/>
              <w:bottom w:val="single" w:color="CCCCCC" w:sz="1"/>
              <w:right w:val="single" w:color="CCCCCC" w:sz="1"/>
            </w:tcBorders>
            <w:shd w:fill="E8F4F7" w:val="clear"/>
            <w:tcMar>
              <w:top w:type="dxa" w:w="80"/>
              <w:left w:type="dxa" w:w="120"/>
              <w:bottom w:type="dxa" w:w="80"/>
              <w:right w:type="dxa" w:w="120"/>
            </w:tcMar>
            <w:vAlign w:val="top"/>
          </w:tcPr>
          <w:p>
            <w:r>
              <w:rPr>
                <w:rFonts w:ascii="Arial" w:cs="Arial" w:eastAsia="Arial" w:hAnsi="Arial"/>
                <w:b/>
                <w:bCs/>
                <w:color w:val="1A1A1A"/>
                <w:sz w:val="20"/>
                <w:szCs w:val="20"/>
              </w:rPr>
              <w:t xml:space="preserve">$12,000+</w:t>
            </w:r>
          </w:p>
        </w:tc>
      </w:tr>
    </w:tbl>
    <w:p>
      <w:pPr>
        <w:spacing w:after="120"/>
      </w:pPr>
    </w:p>
    <w:p>
      <w:pPr>
        <w:spacing w:after="80" w:before="200"/>
      </w:pPr>
      <w:r>
        <w:rPr>
          <w:rFonts w:ascii="Arial" w:cs="Arial" w:eastAsia="Arial" w:hAnsi="Arial"/>
          <w:b/>
          <w:bCs/>
          <w:color w:val="1A1A1A"/>
          <w:sz w:val="24"/>
          <w:szCs w:val="24"/>
        </w:rPr>
        <w:t xml:space="preserve">Live Workflow Gap — AICS Document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A4F00" w:sz="6"/>
              <w:left w:val="single" w:color="7A4F00" w:sz="6"/>
              <w:bottom w:val="single" w:color="7A4F00" w:sz="6"/>
              <w:right w:val="single" w:color="7A4F00" w:sz="6"/>
            </w:tcBorders>
            <w:shd w:fill="FFF8E6" w:val="clear"/>
            <w:tcMar>
              <w:top w:type="dxa" w:w="160"/>
              <w:left w:type="dxa" w:w="200"/>
              <w:bottom w:type="dxa" w:w="160"/>
              <w:right w:type="dxa" w:w="200"/>
            </w:tcMar>
          </w:tcPr>
          <w:p>
            <w:pPr>
              <w:spacing w:after="60"/>
            </w:pPr>
            <w:r>
              <w:rPr>
                <w:rFonts w:ascii="Arial" w:cs="Arial" w:eastAsia="Arial" w:hAnsi="Arial"/>
                <w:b/>
                <w:bCs/>
                <w:color w:val="1A1A1A"/>
                <w:sz w:val="21"/>
                <w:szCs w:val="21"/>
              </w:rPr>
              <w:t xml:space="preserve">Current State: Manual AICS Creation — Budget B Unlocks the Transition</w:t>
            </w:r>
          </w:p>
          <w:p>
            <w:pPr>
              <w:spacing w:after="60"/>
            </w:pPr>
            <w:r>
              <w:rPr>
                <w:rFonts w:ascii="Arial" w:cs="Arial" w:eastAsia="Arial" w:hAnsi="Arial"/>
                <w:b w:val="false"/>
                <w:bCs w:val="false"/>
                <w:color w:val="1A1A1A"/>
                <w:sz w:val="20"/>
                <w:szCs w:val="20"/>
              </w:rPr>
              <w:t xml:space="preserve"> </w:t>
            </w:r>
          </w:p>
          <w:p>
            <w:pPr>
              <w:spacing w:after="60"/>
            </w:pPr>
            <w:r>
              <w:rPr>
                <w:rFonts w:ascii="Arial" w:cs="Arial" w:eastAsia="Arial" w:hAnsi="Arial"/>
                <w:b w:val="false"/>
                <w:bCs w:val="false"/>
                <w:color w:val="1A1A1A"/>
                <w:sz w:val="19"/>
                <w:szCs w:val="19"/>
              </w:rPr>
              <w:t xml:space="preserve">As of May 14, 2026, Lauren Bosio and the Nordic research team are creating Active Ingredient Claim Substantiation (AICS) documents manually and sharing them via Google Drive. The platform already has the infrastructure to generate these documents directly from the database — Bundle 3 (AICS workflow) is shipped.</w:t>
            </w:r>
          </w:p>
          <w:p>
            <w:pPr>
              <w:spacing w:after="60"/>
            </w:pPr>
            <w:r>
              <w:rPr>
                <w:rFonts w:ascii="Arial" w:cs="Arial" w:eastAsia="Arial" w:hAnsi="Arial"/>
                <w:b w:val="false"/>
                <w:bCs w:val="false"/>
                <w:color w:val="1A1A1A"/>
                <w:sz w:val="20"/>
                <w:szCs w:val="20"/>
              </w:rPr>
              <w:t xml:space="preserve"> </w:t>
            </w:r>
          </w:p>
          <w:p>
            <w:pPr>
              <w:spacing w:after="60"/>
            </w:pPr>
            <w:r>
              <w:rPr>
                <w:rFonts w:ascii="Arial" w:cs="Arial" w:eastAsia="Arial" w:hAnsi="Arial"/>
                <w:b w:val="false"/>
                <w:bCs w:val="false"/>
                <w:color w:val="1A1A1A"/>
                <w:sz w:val="19"/>
                <w:szCs w:val="19"/>
              </w:rPr>
              <w:t xml:space="preserve">The workflow transition needs to be activated through onboarding and configuration. Until the contract is signed and the retainer begins formally, this transition cannot proceed. Every week of delay means additional manual effort for Lauren's team and growing divergence between manually-created AICS documents and the database schema.</w:t>
            </w:r>
          </w:p>
        </w:tc>
      </w:tr>
    </w:tbl>
    <w:p>
      <w:pPr>
        <w:spacing w:after="120"/>
      </w:pPr>
    </w:p>
    <w:p>
      <w:pPr>
        <w:spacing w:after="80" w:before="200"/>
      </w:pPr>
      <w:r>
        <w:rPr>
          <w:rFonts w:ascii="Arial" w:cs="Arial" w:eastAsia="Arial" w:hAnsi="Arial"/>
          <w:b/>
          <w:bCs/>
          <w:color w:val="1A1A1A"/>
          <w:sz w:val="24"/>
          <w:szCs w:val="24"/>
        </w:rPr>
        <w:t xml:space="preserve">10.4 Year-One Cash Summary (Priority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4320"/>
      </w:tblGrid>
      <w:tr>
        <w:tc>
          <w:tcPr>
            <w:tcW w:type="dxa" w:w="5040"/>
            <w:tcBorders>
              <w:top w:val="single" w:color="CCCCCC" w:sz="1"/>
              <w:left w:val="single" w:color="CCCCCC" w:sz="1"/>
              <w:bottom w:val="single" w:color="CCCCCC" w:sz="1"/>
              <w:right w:val="single" w:color="CCCCCC" w:sz="1"/>
            </w:tcBorders>
            <w:shd w:fill="E8F4F7" w:val="clear"/>
            <w:tcMar>
              <w:top w:type="dxa" w:w="80"/>
              <w:left w:type="dxa" w:w="120"/>
              <w:bottom w:type="dxa" w:w="80"/>
              <w:right w:type="dxa" w:w="120"/>
            </w:tcMar>
            <w:vAlign w:val="top"/>
          </w:tcPr>
          <w:p>
            <w:r>
              <w:rPr>
                <w:rFonts w:ascii="Arial" w:cs="Arial" w:eastAsia="Arial" w:hAnsi="Arial"/>
                <w:b/>
                <w:bCs/>
                <w:color w:val="1A1A1A"/>
                <w:sz w:val="20"/>
                <w:szCs w:val="20"/>
              </w:rPr>
              <w:t xml:space="preserve">Line Item</w:t>
            </w:r>
          </w:p>
        </w:tc>
        <w:tc>
          <w:tcPr>
            <w:tcW w:type="dxa" w:w="4320"/>
            <w:tcBorders>
              <w:top w:val="single" w:color="CCCCCC" w:sz="1"/>
              <w:left w:val="single" w:color="CCCCCC" w:sz="1"/>
              <w:bottom w:val="single" w:color="CCCCCC" w:sz="1"/>
              <w:right w:val="single" w:color="CCCCCC" w:sz="1"/>
            </w:tcBorders>
            <w:shd w:fill="E8F4F7" w:val="clear"/>
            <w:tcMar>
              <w:top w:type="dxa" w:w="80"/>
              <w:left w:type="dxa" w:w="120"/>
              <w:bottom w:type="dxa" w:w="80"/>
              <w:right w:type="dxa" w:w="120"/>
            </w:tcMar>
            <w:vAlign w:val="top"/>
          </w:tcPr>
          <w:p>
            <w:r>
              <w:rPr>
                <w:rFonts w:ascii="Arial" w:cs="Arial" w:eastAsia="Arial" w:hAnsi="Arial"/>
                <w:b/>
                <w:bCs/>
                <w:color w:val="1A1A1A"/>
                <w:sz w:val="20"/>
                <w:szCs w:val="20"/>
              </w:rPr>
              <w:t xml:space="preserve">Amount</w:t>
            </w:r>
          </w:p>
        </w:tc>
      </w:tr>
      <w:tr>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1A1A1A"/>
                <w:sz w:val="20"/>
                <w:szCs w:val="20"/>
              </w:rPr>
              <w:t xml:space="preserve">Budget A fixed fee (invoiced at signing)</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1A1A1A"/>
                <w:sz w:val="20"/>
                <w:szCs w:val="20"/>
              </w:rPr>
              <w:t xml:space="preserve">$50,000</w:t>
            </w:r>
          </w:p>
        </w:tc>
      </w:tr>
      <w:tr>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Budget B back-pay — March 2026</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$6,000</w:t>
            </w:r>
          </w:p>
        </w:tc>
      </w:tr>
      <w:tr>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Budget B back-pay — April 2026</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$6,000</w:t>
            </w:r>
          </w:p>
        </w:tc>
      </w:tr>
      <w:tr>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Budget B back-pay — prorated May 2026 (to signing)</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~$194/day from May 1</w:t>
            </w:r>
          </w:p>
        </w:tc>
      </w:tr>
      <w:tr>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Budget B first month retainer</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$6,000</w:t>
            </w:r>
          </w:p>
        </w:tc>
      </w:tr>
      <w:tr>
        <w:tc>
          <w:tcPr>
            <w:tcW w:type="dxa" w:w="5040"/>
            <w:tcBorders>
              <w:top w:val="single" w:color="CCCCCC" w:sz="1"/>
              <w:left w:val="single" w:color="CCCCCC" w:sz="1"/>
              <w:bottom w:val="single" w:color="CCCCCC" w:sz="1"/>
              <w:right w:val="single" w:color="CCCCCC" w:sz="1"/>
            </w:tcBorders>
            <w:shd w:fill="E8F4F7" w:val="clear"/>
            <w:tcMar>
              <w:top w:type="dxa" w:w="80"/>
              <w:left w:type="dxa" w:w="120"/>
              <w:bottom w:type="dxa" w:w="80"/>
              <w:right w:type="dxa" w:w="120"/>
            </w:tcMar>
            <w:vAlign w:val="top"/>
          </w:tcPr>
          <w:p>
            <w:r>
              <w:rPr>
                <w:rFonts w:ascii="Arial" w:cs="Arial" w:eastAsia="Arial" w:hAnsi="Arial"/>
                <w:b/>
                <w:bCs/>
                <w:color w:val="1A1A1A"/>
                <w:sz w:val="20"/>
                <w:szCs w:val="20"/>
              </w:rPr>
              <w:t xml:space="preserve">Minimum total at signing (before May 31)</w:t>
            </w:r>
          </w:p>
        </w:tc>
        <w:tc>
          <w:tcPr>
            <w:tcW w:type="dxa" w:w="4320"/>
            <w:tcBorders>
              <w:top w:val="single" w:color="CCCCCC" w:sz="1"/>
              <w:left w:val="single" w:color="CCCCCC" w:sz="1"/>
              <w:bottom w:val="single" w:color="CCCCCC" w:sz="1"/>
              <w:right w:val="single" w:color="CCCCCC" w:sz="1"/>
            </w:tcBorders>
            <w:shd w:fill="E8F4F7" w:val="clear"/>
            <w:tcMar>
              <w:top w:type="dxa" w:w="80"/>
              <w:left w:type="dxa" w:w="120"/>
              <w:bottom w:type="dxa" w:w="80"/>
              <w:right w:type="dxa" w:w="120"/>
            </w:tcMar>
            <w:vAlign w:val="top"/>
          </w:tcPr>
          <w:p>
            <w:r>
              <w:rPr>
                <w:rFonts w:ascii="Arial" w:cs="Arial" w:eastAsia="Arial" w:hAnsi="Arial"/>
                <w:b/>
                <w:bCs/>
                <w:color w:val="1A1A1A"/>
                <w:sz w:val="20"/>
                <w:szCs w:val="20"/>
              </w:rPr>
              <w:t xml:space="preserve">~$68,000+</w:t>
            </w:r>
          </w:p>
        </w:tc>
      </w:tr>
      <w:tr>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Months 2–12 Priority retainer ($6,000 × 11)</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$66,000</w:t>
            </w:r>
          </w:p>
        </w:tc>
      </w:tr>
      <w:tr>
        <w:tc>
          <w:tcPr>
            <w:tcW w:type="dxa" w:w="5040"/>
            <w:tcBorders>
              <w:top w:val="single" w:color="CCCCCC" w:sz="1"/>
              <w:left w:val="single" w:color="CCCCCC" w:sz="1"/>
              <w:bottom w:val="single" w:color="CCCCCC" w:sz="1"/>
              <w:right w:val="single" w:color="CCCCCC" w:sz="1"/>
            </w:tcBorders>
            <w:shd w:fill="E8F4F7" w:val="clear"/>
            <w:tcMar>
              <w:top w:type="dxa" w:w="80"/>
              <w:left w:type="dxa" w:w="120"/>
              <w:bottom w:type="dxa" w:w="80"/>
              <w:right w:type="dxa" w:w="120"/>
            </w:tcMar>
            <w:vAlign w:val="top"/>
          </w:tcPr>
          <w:p>
            <w:r>
              <w:rPr>
                <w:rFonts w:ascii="Arial" w:cs="Arial" w:eastAsia="Arial" w:hAnsi="Arial"/>
                <w:b/>
                <w:bCs/>
                <w:color w:val="1A1A1A"/>
                <w:sz w:val="20"/>
                <w:szCs w:val="20"/>
              </w:rPr>
              <w:t xml:space="preserve">Year-one total (Priority tier)</w:t>
            </w:r>
          </w:p>
        </w:tc>
        <w:tc>
          <w:tcPr>
            <w:tcW w:type="dxa" w:w="4320"/>
            <w:tcBorders>
              <w:top w:val="single" w:color="CCCCCC" w:sz="1"/>
              <w:left w:val="single" w:color="CCCCCC" w:sz="1"/>
              <w:bottom w:val="single" w:color="CCCCCC" w:sz="1"/>
              <w:right w:val="single" w:color="CCCCCC" w:sz="1"/>
            </w:tcBorders>
            <w:shd w:fill="E8F4F7" w:val="clear"/>
            <w:tcMar>
              <w:top w:type="dxa" w:w="80"/>
              <w:left w:type="dxa" w:w="120"/>
              <w:bottom w:type="dxa" w:w="80"/>
              <w:right w:type="dxa" w:w="120"/>
            </w:tcMar>
            <w:vAlign w:val="top"/>
          </w:tcPr>
          <w:p>
            <w:r>
              <w:rPr>
                <w:rFonts w:ascii="Arial" w:cs="Arial" w:eastAsia="Arial" w:hAnsi="Arial"/>
                <w:b/>
                <w:bCs/>
                <w:color w:val="1A1A1A"/>
                <w:sz w:val="20"/>
                <w:szCs w:val="20"/>
              </w:rPr>
              <w:t xml:space="preserve">~$134,000+</w:t>
            </w:r>
          </w:p>
        </w:tc>
      </w:tr>
      <w:tr>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Year-one total (Standard $4,000/mo tier)</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~$110,000+</w:t>
            </w:r>
          </w:p>
        </w:tc>
      </w:tr>
    </w:tbl>
    <w:p>
      <w:pPr>
        <w:spacing w:after="120"/>
      </w:pPr>
    </w:p>
    <w:p>
      <w:pPr>
        <w:spacing w:after="80" w:before="200"/>
      </w:pPr>
      <w:r>
        <w:rPr>
          <w:rFonts w:ascii="Arial" w:cs="Arial" w:eastAsia="Arial" w:hAnsi="Arial"/>
          <w:b/>
          <w:bCs/>
          <w:color w:val="1A1A1A"/>
          <w:sz w:val="24"/>
          <w:szCs w:val="24"/>
        </w:rPr>
        <w:t xml:space="preserve">10.5 What Budget A Does Not Cover</w:t>
      </w:r>
    </w:p>
    <w:p>
      <w:pPr>
        <w:pStyle w:val="ListParagraph"/>
        <w:numPr>
          <w:ilvl w:val="0"/>
          <w:numId w:val="2"/>
        </w:numPr>
        <w:spacing w:after="60"/>
      </w:pPr>
      <w:r>
        <w:rPr>
          <w:rFonts w:ascii="Arial" w:cs="Arial" w:eastAsia="Arial" w:hAnsi="Arial"/>
          <w:b w:val="false"/>
          <w:bCs w:val="false"/>
          <w:color w:val="1A1A1A"/>
          <w:sz w:val="20"/>
          <w:szCs w:val="20"/>
        </w:rPr>
        <w:t xml:space="preserve">Auto-PCS Generator (Sharon's flagship ask from April 17). Future SOW, 2027. Preliminary: $18,000–$28,000.</w:t>
      </w:r>
    </w:p>
    <w:p>
      <w:pPr>
        <w:pStyle w:val="ListParagraph"/>
        <w:numPr>
          <w:ilvl w:val="0"/>
          <w:numId w:val="2"/>
        </w:numPr>
        <w:spacing w:after="60"/>
      </w:pPr>
      <w:r>
        <w:rPr>
          <w:rFonts w:ascii="Arial" w:cs="Arial" w:eastAsia="Arial" w:hAnsi="Arial"/>
          <w:b w:val="false"/>
          <w:bCs w:val="false"/>
          <w:color w:val="1A1A1A"/>
          <w:sz w:val="20"/>
          <w:szCs w:val="20"/>
        </w:rPr>
        <w:t xml:space="preserve">Wave 9 — real-time collaborative editing. Future SOW (~$25–45K).</w:t>
      </w:r>
    </w:p>
    <w:p>
      <w:pPr>
        <w:pStyle w:val="ListParagraph"/>
        <w:numPr>
          <w:ilvl w:val="0"/>
          <w:numId w:val="2"/>
        </w:numPr>
        <w:spacing w:after="60"/>
      </w:pPr>
      <w:r>
        <w:rPr>
          <w:rFonts w:ascii="Arial" w:cs="Arial" w:eastAsia="Arial" w:hAnsi="Arial"/>
          <w:b w:val="false"/>
          <w:bCs w:val="false"/>
          <w:color w:val="1A1A1A"/>
          <w:sz w:val="20"/>
          <w:szCs w:val="20"/>
        </w:rPr>
        <w:t xml:space="preserve">Wave 12 — HIPAA/SOC 2 prep. Future SOW (~$30–60K + legal).</w:t>
      </w:r>
    </w:p>
    <w:p>
      <w:pPr>
        <w:pStyle w:val="ListParagraph"/>
        <w:numPr>
          <w:ilvl w:val="0"/>
          <w:numId w:val="2"/>
        </w:numPr>
        <w:spacing w:after="60"/>
      </w:pPr>
      <w:r>
        <w:rPr>
          <w:rFonts w:ascii="Arial" w:cs="Arial" w:eastAsia="Arial" w:hAnsi="Arial"/>
          <w:b w:val="false"/>
          <w:bCs w:val="false"/>
          <w:color w:val="1A1A1A"/>
          <w:sz w:val="20"/>
          <w:szCs w:val="20"/>
        </w:rPr>
        <w:t xml:space="preserve">April 22 schema items (SKU/format standardization, material number tracking, cross-portfolio claim views, claim frequency analysis). 2027 scope. Estimate: $8,000–$14,000.</w:t>
      </w:r>
    </w:p>
    <w:p>
      <w:pPr>
        <w:spacing w:after="120"/>
      </w:pPr>
    </w:p>
    <w:p>
      <w:pPr>
        <w:spacing w:after="80" w:before="200"/>
      </w:pPr>
      <w:r>
        <w:rPr>
          <w:rFonts w:ascii="Arial" w:cs="Arial" w:eastAsia="Arial" w:hAnsi="Arial"/>
          <w:b/>
          <w:bCs/>
          <w:color w:val="1A1A1A"/>
          <w:sz w:val="24"/>
          <w:szCs w:val="24"/>
        </w:rPr>
        <w:t xml:space="preserve">10.7 If Nordic Balks at the Priority Retainer Rate</w:t>
      </w:r>
    </w:p>
    <w:p>
      <w:pPr>
        <w:spacing w:after="100"/>
      </w:pPr>
      <w:r>
        <w:rPr>
          <w:rFonts w:ascii="Arial" w:cs="Arial" w:eastAsia="Arial" w:hAnsi="Arial"/>
          <w:b w:val="false"/>
          <w:bCs w:val="false"/>
          <w:color w:val="1A1A1A"/>
          <w:sz w:val="20"/>
          <w:szCs w:val="20"/>
        </w:rPr>
        <w:t xml:space="preserve">The ongoing retainer rate is the only negotiable lever. Three fallback structures: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1440"/>
        <w:gridCol w:w="5280"/>
      </w:tblGrid>
      <w:tr>
        <w:tc>
          <w:tcPr>
            <w:tcW w:type="dxa" w:w="2640"/>
            <w:tcBorders>
              <w:top w:val="single" w:color="CCCCCC" w:sz="1"/>
              <w:left w:val="single" w:color="CCCCCC" w:sz="1"/>
              <w:bottom w:val="single" w:color="CCCCCC" w:sz="1"/>
              <w:right w:val="single" w:color="CCCCCC" w:sz="1"/>
            </w:tcBorders>
            <w:shd w:fill="E8F4F7" w:val="clear"/>
            <w:tcMar>
              <w:top w:type="dxa" w:w="80"/>
              <w:left w:type="dxa" w:w="120"/>
              <w:bottom w:type="dxa" w:w="80"/>
              <w:right w:type="dxa" w:w="120"/>
            </w:tcMar>
            <w:vAlign w:val="top"/>
          </w:tcPr>
          <w:p>
            <w:r>
              <w:rPr>
                <w:rFonts w:ascii="Arial" w:cs="Arial" w:eastAsia="Arial" w:hAnsi="Arial"/>
                <w:b/>
                <w:bCs/>
                <w:color w:val="1A1A1A"/>
                <w:sz w:val="20"/>
                <w:szCs w:val="20"/>
              </w:rPr>
              <w:t xml:space="preserve">Fallback</w:t>
            </w:r>
          </w:p>
        </w:tc>
        <w:tc>
          <w:tcPr>
            <w:tcW w:type="dxa" w:w="1440"/>
            <w:tcBorders>
              <w:top w:val="single" w:color="CCCCCC" w:sz="1"/>
              <w:left w:val="single" w:color="CCCCCC" w:sz="1"/>
              <w:bottom w:val="single" w:color="CCCCCC" w:sz="1"/>
              <w:right w:val="single" w:color="CCCCCC" w:sz="1"/>
            </w:tcBorders>
            <w:shd w:fill="E8F4F7" w:val="clear"/>
            <w:tcMar>
              <w:top w:type="dxa" w:w="80"/>
              <w:left w:type="dxa" w:w="120"/>
              <w:bottom w:type="dxa" w:w="80"/>
              <w:right w:type="dxa" w:w="120"/>
            </w:tcMar>
            <w:vAlign w:val="top"/>
          </w:tcPr>
          <w:p>
            <w:r>
              <w:rPr>
                <w:rFonts w:ascii="Arial" w:cs="Arial" w:eastAsia="Arial" w:hAnsi="Arial"/>
                <w:b/>
                <w:bCs/>
                <w:color w:val="1A1A1A"/>
                <w:sz w:val="20"/>
                <w:szCs w:val="20"/>
              </w:rPr>
              <w:t xml:space="preserve">Rate</w:t>
            </w:r>
          </w:p>
        </w:tc>
        <w:tc>
          <w:tcPr>
            <w:tcW w:type="dxa" w:w="5280"/>
            <w:tcBorders>
              <w:top w:val="single" w:color="CCCCCC" w:sz="1"/>
              <w:left w:val="single" w:color="CCCCCC" w:sz="1"/>
              <w:bottom w:val="single" w:color="CCCCCC" w:sz="1"/>
              <w:right w:val="single" w:color="CCCCCC" w:sz="1"/>
            </w:tcBorders>
            <w:shd w:fill="E8F4F7" w:val="clear"/>
            <w:tcMar>
              <w:top w:type="dxa" w:w="80"/>
              <w:left w:type="dxa" w:w="120"/>
              <w:bottom w:type="dxa" w:w="80"/>
              <w:right w:type="dxa" w:w="120"/>
            </w:tcMar>
            <w:vAlign w:val="top"/>
          </w:tcPr>
          <w:p>
            <w:r>
              <w:rPr>
                <w:rFonts w:ascii="Arial" w:cs="Arial" w:eastAsia="Arial" w:hAnsi="Arial"/>
                <w:b/>
                <w:bCs/>
                <w:color w:val="1A1A1A"/>
                <w:sz w:val="20"/>
                <w:szCs w:val="20"/>
              </w:rPr>
              <w:t xml:space="preserve">Implication</w:t>
            </w:r>
          </w:p>
        </w:tc>
      </w:tr>
      <w:tr>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Standard tier</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$4,000/mo</w:t>
            </w:r>
          </w:p>
        </w:tc>
        <w:tc>
          <w:tcPr>
            <w:tcW w:type="dxa" w:w="5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Drops from 16h to 8h/mo included. Budget A and back-pay remain at $50,000 and $12,000+ respectively. Pushes Bundle 5, Bundle 6, and half the Supabase migration phases to 2027.</w:t>
            </w:r>
          </w:p>
        </w:tc>
      </w:tr>
      <w:tr>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Hourly-only</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$200–250/hr</w:t>
            </w:r>
          </w:p>
        </w:tc>
        <w:tc>
          <w:tcPr>
            <w:tcW w:type="dxa" w:w="5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No SLA, no named backup, no quarterly security review, no buyout protection. AICS workflow transition proceeds ad hoc.</w:t>
            </w:r>
          </w:p>
        </w:tc>
      </w:tr>
      <w:tr>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Q3 retainer only</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$18,000 (Q3)</w:t>
            </w:r>
          </w:p>
        </w:tc>
        <w:tc>
          <w:tcPr>
            <w:tcW w:type="dxa" w:w="5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Sign Q3 only (3 months × $6K). Reassess at quarter end. Lower commitment; higher renewal-renegotiation cost.</w:t>
            </w:r>
          </w:p>
        </w:tc>
      </w:tr>
    </w:tbl>
    <w:p>
      <w:pPr>
        <w:spacing w:after="120"/>
      </w:pPr>
    </w:p>
    <w:p>
      <w:pPr>
        <w:spacing w:after="80" w:before="200"/>
      </w:pPr>
      <w:r>
        <w:rPr>
          <w:rFonts w:ascii="Arial" w:cs="Arial" w:eastAsia="Arial" w:hAnsi="Arial"/>
          <w:b/>
          <w:bCs/>
          <w:color w:val="1A1A1A"/>
          <w:sz w:val="24"/>
          <w:szCs w:val="24"/>
        </w:rPr>
        <w:t xml:space="preserve">10.8 Rate Flexibility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6B7B" w:sz="6"/>
              <w:left w:val="single" w:color="1B6B7B" w:sz="6"/>
              <w:bottom w:val="single" w:color="1B6B7B" w:sz="6"/>
              <w:right w:val="single" w:color="1B6B7B" w:sz="6"/>
            </w:tcBorders>
            <w:shd w:fill="E8F4F7" w:val="clear"/>
            <w:tcMar>
              <w:top w:type="dxa" w:w="160"/>
              <w:left w:type="dxa" w:w="200"/>
              <w:bottom w:type="dxa" w:w="160"/>
              <w:right w:type="dxa" w:w="200"/>
            </w:tcMar>
          </w:tcPr>
          <w:p>
            <w:pPr>
              <w:spacing w:after="60"/>
            </w:pPr>
            <w:r>
              <w:rPr>
                <w:rFonts w:ascii="Arial" w:cs="Arial" w:eastAsia="Arial" w:hAnsi="Arial"/>
                <w:b w:val="false"/>
                <w:bCs w:val="false"/>
                <w:color w:val="1A1A1A"/>
                <w:sz w:val="20"/>
                <w:szCs w:val="20"/>
              </w:rPr>
              <w:t xml:space="preserve">winded.vertigo is willing to negotiate the ongoing Budget B retainer rate if Budget A ($50,000) and Budget B back-pay ($12,000+ for March and April) are honored in full at signing. The $50,000 fixed fee and the back-pay amounts are not subject to rate negotiation.</w:t>
            </w:r>
          </w:p>
        </w:tc>
      </w:tr>
    </w:tbl>
    <w:p>
      <w:pPr>
        <w:spacing w:after="160"/>
      </w:pPr>
    </w:p>
    <w:p>
      <w:r>
        <w:br w:type="page"/>
      </w:r>
    </w:p>
    <w:p>
      <w:pPr>
        <w:pBdr>
          <w:bottom w:val="single" w:color="1B6B7B" w:sz="4" w:space="4"/>
        </w:pBdr>
        <w:spacing w:after="120" w:before="280"/>
      </w:pPr>
      <w:r>
        <w:rPr>
          <w:rFonts w:ascii="Arial" w:cs="Arial" w:eastAsia="Arial" w:hAnsi="Arial"/>
          <w:b/>
          <w:bCs/>
          <w:color w:val="1B6B7B"/>
          <w:sz w:val="28"/>
          <w:szCs w:val="28"/>
        </w:rPr>
        <w:t xml:space="preserve">Appendix A — Pricing Worksheet</w:t>
      </w:r>
    </w:p>
    <w:p>
      <w:pPr>
        <w:spacing w:after="100"/>
      </w:pPr>
      <w:r>
        <w:rPr>
          <w:rFonts w:ascii="Arial" w:cs="Arial" w:eastAsia="Arial" w:hAnsi="Arial"/>
          <w:b w:val="false"/>
          <w:bCs w:val="false"/>
          <w:color w:val="1A1A1A"/>
          <w:sz w:val="20"/>
          <w:szCs w:val="20"/>
        </w:rPr>
        <w:t xml:space="preserve">Updated May 15, 2026. Hourly rate anchor: $350/hr.</w:t>
      </w:r>
    </w:p>
    <w:p>
      <w:pPr>
        <w:spacing w:after="80"/>
      </w:pPr>
    </w:p>
    <w:p>
      <w:pPr>
        <w:spacing w:after="80" w:before="200"/>
      </w:pPr>
      <w:r>
        <w:rPr>
          <w:rFonts w:ascii="Arial" w:cs="Arial" w:eastAsia="Arial" w:hAnsi="Arial"/>
          <w:b/>
          <w:bCs/>
          <w:color w:val="1A1A1A"/>
          <w:sz w:val="24"/>
          <w:szCs w:val="24"/>
        </w:rPr>
        <w:t xml:space="preserve">Budget A — Platform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4320"/>
      </w:tblGrid>
      <w:tr>
        <w:tc>
          <w:tcPr>
            <w:tcW w:type="dxa" w:w="5040"/>
            <w:tcBorders>
              <w:top w:val="single" w:color="CCCCCC" w:sz="1"/>
              <w:left w:val="single" w:color="CCCCCC" w:sz="1"/>
              <w:bottom w:val="single" w:color="CCCCCC" w:sz="1"/>
              <w:right w:val="single" w:color="CCCCCC" w:sz="1"/>
            </w:tcBorders>
            <w:shd w:fill="E8F4F7" w:val="clear"/>
            <w:tcMar>
              <w:top w:type="dxa" w:w="80"/>
              <w:left w:type="dxa" w:w="120"/>
              <w:bottom w:type="dxa" w:w="80"/>
              <w:right w:type="dxa" w:w="120"/>
            </w:tcMar>
            <w:vAlign w:val="top"/>
          </w:tcPr>
          <w:p>
            <w:r>
              <w:rPr>
                <w:rFonts w:ascii="Arial" w:cs="Arial" w:eastAsia="Arial" w:hAnsi="Arial"/>
                <w:b/>
                <w:bCs/>
                <w:color w:val="1A1A1A"/>
                <w:sz w:val="20"/>
                <w:szCs w:val="20"/>
              </w:rPr>
              <w:t xml:space="preserve">Item</w:t>
            </w:r>
          </w:p>
        </w:tc>
        <w:tc>
          <w:tcPr>
            <w:tcW w:type="dxa" w:w="4320"/>
            <w:tcBorders>
              <w:top w:val="single" w:color="CCCCCC" w:sz="1"/>
              <w:left w:val="single" w:color="CCCCCC" w:sz="1"/>
              <w:bottom w:val="single" w:color="CCCCCC" w:sz="1"/>
              <w:right w:val="single" w:color="CCCCCC" w:sz="1"/>
            </w:tcBorders>
            <w:shd w:fill="E8F4F7" w:val="clear"/>
            <w:tcMar>
              <w:top w:type="dxa" w:w="80"/>
              <w:left w:type="dxa" w:w="120"/>
              <w:bottom w:type="dxa" w:w="80"/>
              <w:right w:type="dxa" w:w="120"/>
            </w:tcMar>
            <w:vAlign w:val="top"/>
          </w:tcPr>
          <w:p>
            <w:r>
              <w:rPr>
                <w:rFonts w:ascii="Arial" w:cs="Arial" w:eastAsia="Arial" w:hAnsi="Arial"/>
                <w:b/>
                <w:bCs/>
                <w:color w:val="1A1A1A"/>
                <w:sz w:val="20"/>
                <w:szCs w:val="20"/>
              </w:rPr>
              <w:t xml:space="preserve">Value</w:t>
            </w:r>
          </w:p>
        </w:tc>
      </w:tr>
      <w:tr>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Fixed-fee cap</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$50,000</w:t>
            </w:r>
          </w:p>
        </w:tc>
      </w:tr>
      <w:tr>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Rate-card value shipped (Budget A scope)</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~$72,800 at $350/hr</w:t>
            </w:r>
          </w:p>
        </w:tc>
      </w:tr>
      <w:tr>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Effective rate on Budget A</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~$245/hr</w:t>
            </w:r>
          </w:p>
        </w:tc>
      </w:tr>
      <w:tr>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Garrett absorbs (rate-card overrun)</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~$22,800</w:t>
            </w:r>
          </w:p>
        </w:tc>
      </w:tr>
    </w:tbl>
    <w:p>
      <w:pPr>
        <w:spacing w:after="100"/>
      </w:pPr>
    </w:p>
    <w:p>
      <w:pPr>
        <w:spacing w:after="80" w:before="200"/>
      </w:pPr>
      <w:r>
        <w:rPr>
          <w:rFonts w:ascii="Arial" w:cs="Arial" w:eastAsia="Arial" w:hAnsi="Arial"/>
          <w:b/>
          <w:bCs/>
          <w:color w:val="1A1A1A"/>
          <w:sz w:val="24"/>
          <w:szCs w:val="24"/>
        </w:rPr>
        <w:t xml:space="preserve">Budget B — Retainer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4320"/>
      </w:tblGrid>
      <w:tr>
        <w:tc>
          <w:tcPr>
            <w:tcW w:type="dxa" w:w="5040"/>
            <w:tcBorders>
              <w:top w:val="single" w:color="CCCCCC" w:sz="1"/>
              <w:left w:val="single" w:color="CCCCCC" w:sz="1"/>
              <w:bottom w:val="single" w:color="CCCCCC" w:sz="1"/>
              <w:right w:val="single" w:color="CCCCCC" w:sz="1"/>
            </w:tcBorders>
            <w:shd w:fill="E8F4F7" w:val="clear"/>
            <w:tcMar>
              <w:top w:type="dxa" w:w="80"/>
              <w:left w:type="dxa" w:w="120"/>
              <w:bottom w:type="dxa" w:w="80"/>
              <w:right w:type="dxa" w:w="120"/>
            </w:tcMar>
            <w:vAlign w:val="top"/>
          </w:tcPr>
          <w:p>
            <w:r>
              <w:rPr>
                <w:rFonts w:ascii="Arial" w:cs="Arial" w:eastAsia="Arial" w:hAnsi="Arial"/>
                <w:b/>
                <w:bCs/>
                <w:color w:val="1A1A1A"/>
                <w:sz w:val="20"/>
                <w:szCs w:val="20"/>
              </w:rPr>
              <w:t xml:space="preserve">Item</w:t>
            </w:r>
          </w:p>
        </w:tc>
        <w:tc>
          <w:tcPr>
            <w:tcW w:type="dxa" w:w="4320"/>
            <w:tcBorders>
              <w:top w:val="single" w:color="CCCCCC" w:sz="1"/>
              <w:left w:val="single" w:color="CCCCCC" w:sz="1"/>
              <w:bottom w:val="single" w:color="CCCCCC" w:sz="1"/>
              <w:right w:val="single" w:color="CCCCCC" w:sz="1"/>
            </w:tcBorders>
            <w:shd w:fill="E8F4F7" w:val="clear"/>
            <w:tcMar>
              <w:top w:type="dxa" w:w="80"/>
              <w:left w:type="dxa" w:w="120"/>
              <w:bottom w:type="dxa" w:w="80"/>
              <w:right w:type="dxa" w:w="120"/>
            </w:tcMar>
            <w:vAlign w:val="top"/>
          </w:tcPr>
          <w:p>
            <w:r>
              <w:rPr>
                <w:rFonts w:ascii="Arial" w:cs="Arial" w:eastAsia="Arial" w:hAnsi="Arial"/>
                <w:b/>
                <w:bCs/>
                <w:color w:val="1A1A1A"/>
                <w:sz w:val="20"/>
                <w:szCs w:val="20"/>
              </w:rPr>
              <w:t xml:space="preserve">Amount</w:t>
            </w:r>
          </w:p>
        </w:tc>
      </w:tr>
      <w:tr>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Back-pay: March 2026</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$6,000</w:t>
            </w:r>
          </w:p>
        </w:tc>
      </w:tr>
      <w:tr>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Back-pay: April 2026</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$6,000</w:t>
            </w:r>
          </w:p>
        </w:tc>
      </w:tr>
      <w:tr>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Back-pay: May 2026 (prorated from May 1)</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~$194/day</w:t>
            </w:r>
          </w:p>
        </w:tc>
      </w:tr>
      <w:tr>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Priority tier annual</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$6,000/mo = $72,000/yr</w:t>
            </w:r>
          </w:p>
        </w:tc>
      </w:tr>
      <w:tr>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Standard tier annual</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$4,000/mo = $48,000/yr</w:t>
            </w:r>
          </w:p>
        </w:tc>
      </w:tr>
    </w:tbl>
    <w:p>
      <w:pPr>
        <w:spacing w:after="100"/>
      </w:pPr>
    </w:p>
    <w:p>
      <w:pPr>
        <w:spacing w:after="80" w:before="200"/>
      </w:pPr>
      <w:r>
        <w:rPr>
          <w:rFonts w:ascii="Arial" w:cs="Arial" w:eastAsia="Arial" w:hAnsi="Arial"/>
          <w:b/>
          <w:bCs/>
          <w:color w:val="1A1A1A"/>
          <w:sz w:val="24"/>
          <w:szCs w:val="24"/>
        </w:rPr>
        <w:t xml:space="preserve">Buyout / Exit Fee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8F4F7" w:val="clear"/>
            <w:tcMar>
              <w:top w:type="dxa" w:w="80"/>
              <w:left w:type="dxa" w:w="120"/>
              <w:bottom w:type="dxa" w:w="80"/>
              <w:right w:type="dxa" w:w="120"/>
            </w:tcMar>
            <w:vAlign w:val="top"/>
          </w:tcPr>
          <w:p>
            <w:r>
              <w:rPr>
                <w:rFonts w:ascii="Arial" w:cs="Arial" w:eastAsia="Arial" w:hAnsi="Arial"/>
                <w:b/>
                <w:bCs/>
                <w:color w:val="1A1A1A"/>
                <w:sz w:val="20"/>
                <w:szCs w:val="20"/>
              </w:rPr>
              <w:t xml:space="preserve">Tier</w:t>
            </w:r>
          </w:p>
        </w:tc>
        <w:tc>
          <w:tcPr>
            <w:tcW w:type="dxa" w:w="6240"/>
            <w:tcBorders>
              <w:top w:val="single" w:color="CCCCCC" w:sz="1"/>
              <w:left w:val="single" w:color="CCCCCC" w:sz="1"/>
              <w:bottom w:val="single" w:color="CCCCCC" w:sz="1"/>
              <w:right w:val="single" w:color="CCCCCC" w:sz="1"/>
            </w:tcBorders>
            <w:shd w:fill="E8F4F7" w:val="clear"/>
            <w:tcMar>
              <w:top w:type="dxa" w:w="80"/>
              <w:left w:type="dxa" w:w="120"/>
              <w:bottom w:type="dxa" w:w="80"/>
              <w:right w:type="dxa" w:w="120"/>
            </w:tcMar>
            <w:vAlign w:val="top"/>
          </w:tcPr>
          <w:p>
            <w:r>
              <w:rPr>
                <w:rFonts w:ascii="Arial" w:cs="Arial" w:eastAsia="Arial" w:hAnsi="Arial"/>
                <w:b/>
                <w:bCs/>
                <w:color w:val="1A1A1A"/>
                <w:sz w:val="20"/>
                <w:szCs w:val="20"/>
              </w:rPr>
              <w:t xml:space="preserve">Fee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Standard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$24,000 (6 × $4,000)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Priority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$36,000 (6 × $6,000)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Dedicated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$54,000 (6 × $9,000)</w:t>
            </w:r>
          </w:p>
        </w:tc>
      </w:tr>
    </w:tbl>
    <w:p>
      <w:pPr>
        <w:spacing w:after="100"/>
      </w:pPr>
    </w:p>
    <w:p>
      <w:pPr>
        <w:spacing w:after="80" w:before="200"/>
      </w:pPr>
      <w:r>
        <w:rPr>
          <w:rFonts w:ascii="Arial" w:cs="Arial" w:eastAsia="Arial" w:hAnsi="Arial"/>
          <w:b/>
          <w:bCs/>
          <w:color w:val="1A1A1A"/>
          <w:sz w:val="24"/>
          <w:szCs w:val="24"/>
        </w:rPr>
        <w:t xml:space="preserve">Forward-Wave Anchor Estimates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4320"/>
      </w:tblGrid>
      <w:tr>
        <w:tc>
          <w:tcPr>
            <w:tcW w:type="dxa" w:w="5040"/>
            <w:tcBorders>
              <w:top w:val="single" w:color="CCCCCC" w:sz="1"/>
              <w:left w:val="single" w:color="CCCCCC" w:sz="1"/>
              <w:bottom w:val="single" w:color="CCCCCC" w:sz="1"/>
              <w:right w:val="single" w:color="CCCCCC" w:sz="1"/>
            </w:tcBorders>
            <w:shd w:fill="E8F4F7" w:val="clear"/>
            <w:tcMar>
              <w:top w:type="dxa" w:w="80"/>
              <w:left w:type="dxa" w:w="120"/>
              <w:bottom w:type="dxa" w:w="80"/>
              <w:right w:type="dxa" w:w="120"/>
            </w:tcMar>
            <w:vAlign w:val="top"/>
          </w:tcPr>
          <w:p>
            <w:r>
              <w:rPr>
                <w:rFonts w:ascii="Arial" w:cs="Arial" w:eastAsia="Arial" w:hAnsi="Arial"/>
                <w:b/>
                <w:bCs/>
                <w:color w:val="1A1A1A"/>
                <w:sz w:val="20"/>
                <w:szCs w:val="20"/>
              </w:rPr>
              <w:t xml:space="preserve">Project</w:t>
            </w:r>
          </w:p>
        </w:tc>
        <w:tc>
          <w:tcPr>
            <w:tcW w:type="dxa" w:w="4320"/>
            <w:tcBorders>
              <w:top w:val="single" w:color="CCCCCC" w:sz="1"/>
              <w:left w:val="single" w:color="CCCCCC" w:sz="1"/>
              <w:bottom w:val="single" w:color="CCCCCC" w:sz="1"/>
              <w:right w:val="single" w:color="CCCCCC" w:sz="1"/>
            </w:tcBorders>
            <w:shd w:fill="E8F4F7" w:val="clear"/>
            <w:tcMar>
              <w:top w:type="dxa" w:w="80"/>
              <w:left w:type="dxa" w:w="120"/>
              <w:bottom w:type="dxa" w:w="80"/>
              <w:right w:type="dxa" w:w="120"/>
            </w:tcMar>
            <w:vAlign w:val="top"/>
          </w:tcPr>
          <w:p>
            <w:r>
              <w:rPr>
                <w:rFonts w:ascii="Arial" w:cs="Arial" w:eastAsia="Arial" w:hAnsi="Arial"/>
                <w:b/>
                <w:bCs/>
                <w:color w:val="1A1A1A"/>
                <w:sz w:val="20"/>
                <w:szCs w:val="20"/>
              </w:rPr>
              <w:t xml:space="preserve">Budget Estimate</w:t>
            </w:r>
          </w:p>
        </w:tc>
      </w:tr>
      <w:tr>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Auto-PCS Generator</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$18,000–$28,000 (2027 SOW)</w:t>
            </w:r>
          </w:p>
        </w:tc>
      </w:tr>
      <w:tr>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Wave 10 — Evergreen LLM Migration</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$20,000–$35,000 (2027 SOW)</w:t>
            </w:r>
          </w:p>
        </w:tc>
      </w:tr>
      <w:tr>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Wave 11 — Supabase Cutover</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$35,000–$70,000 (or ~5–10 retainer months at Priority)</w:t>
            </w:r>
          </w:p>
        </w:tc>
      </w:tr>
      <w:tr>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Wave 12 — HIPAA/SOC 2</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$30,000–$60,000 + legal</w:t>
            </w:r>
          </w:p>
        </w:tc>
      </w:tr>
    </w:tbl>
    <w:p>
      <w:pPr>
        <w:spacing w:after="200"/>
      </w:pPr>
    </w:p>
    <w:p>
      <w:pPr>
        <w:spacing w:after="80" w:before="200"/>
        <w:jc w:val="center"/>
      </w:pPr>
      <w:r>
        <w:rPr>
          <w:rFonts w:ascii="Arial" w:cs="Arial" w:eastAsia="Arial" w:hAnsi="Arial"/>
          <w:color w:val="555555"/>
          <w:sz w:val="20"/>
          <w:szCs w:val="20"/>
        </w:rPr>
        <w:t xml:space="preserve">— End of Retainer + Buyout Proposal v3 —</w:t>
      </w:r>
    </w:p>
    <w:p>
      <w:pPr>
        <w:spacing w:after="60"/>
        <w:jc w:val="center"/>
      </w:pPr>
      <w:r>
        <w:rPr>
          <w:rFonts w:ascii="Arial" w:cs="Arial" w:eastAsia="Arial" w:hAnsi="Arial"/>
          <w:color w:val="555555"/>
          <w:sz w:val="18"/>
          <w:szCs w:val="18"/>
        </w:rPr>
        <w:t xml:space="preserve">Prepared by Garrett Jaeger, winded.vertigo LLC  ·  May 2026</w:t>
      </w:r>
    </w:p>
    <w:p>
      <w:pPr>
        <w:jc w:val="center"/>
      </w:pPr>
      <w:r>
        <w:rPr>
          <w:rFonts w:ascii="Arial" w:cs="Arial" w:eastAsia="Arial" w:hAnsi="Arial"/>
          <w:color w:val="1B6B7B"/>
          <w:sz w:val="18"/>
          <w:szCs w:val="18"/>
        </w:rPr>
        <w:t xml:space="preserve">garrett@windedvertigo.com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6B7B" w:sz="4"/>
      </w:pBdr>
      <w:tabs>
        <w:tab w:val="right" w:pos="9026"/>
      </w:tabs>
      <w:spacing w:before="80"/>
    </w:pPr>
    <w:r>
      <w:rPr>
        <w:rFonts w:ascii="Arial" w:cs="Arial" w:eastAsia="Arial" w:hAnsi="Arial"/>
        <w:color w:val="555555"/>
        <w:sz w:val="16"/>
        <w:szCs w:val="16"/>
      </w:rPr>
      <w:t xml:space="preserve">Confidential  ·  May 2026</w:t>
    </w:r>
    <w:r>
      <w:rPr>
        <w:rFonts w:ascii="Arial" w:cs="Arial" w:eastAsia="Arial" w:hAnsi="Arial"/>
        <w:color w:val="555555"/>
        <w:sz w:val="16"/>
        <w:szCs w:val="16"/>
      </w:rPr>
      <w:t xml:space="preserve">	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6B7B" w:sz="4"/>
      </w:pBdr>
      <w:tabs>
        <w:tab w:val="right" w:pos="9026"/>
      </w:tabs>
      <w:spacing w:after="80"/>
    </w:pPr>
    <w:r>
      <w:rPr>
        <w:rFonts w:ascii="Arial" w:cs="Arial" w:eastAsia="Arial" w:hAnsi="Arial"/>
        <w:b/>
        <w:bCs/>
        <w:color w:val="1B6B7B"/>
        <w:sz w:val="18"/>
        <w:szCs w:val="18"/>
      </w:rPr>
      <w:t xml:space="preserve">Nordic Naturals — Retainer + Buyout Proposal v3</w:t>
    </w:r>
    <w:r>
      <w:rPr>
        <w:rFonts w:ascii="Arial" w:cs="Arial" w:eastAsia="Arial" w:hAnsi="Arial"/>
        <w:color w:val="555555"/>
        <w:sz w:val="18"/>
        <w:szCs w:val="18"/>
      </w:rPr>
      <w:t xml:space="preserve">	winded.vertigo LLC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B6B7B"/>
      <w:sz w:val="28"/>
      <w:szCs w:val="28"/>
    </w:rPr>
  </w:style>
  <w:style w:type="paragraph" w:styleId="Heading2">
    <w:name w:val="Heading 2"/>
    <w:basedOn w:val="Normal"/>
    <w:next w:val="Normal"/>
    <w:qFormat/>
    <w:pPr>
      <w:spacing w:after="80" w:before="200"/>
      <w:outlineLvl w:val="1"/>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2026-05-15T14:54:15.109Z</dcterms:created>
  <dcterms:modified xsi:type="dcterms:W3CDTF">2026-05-15T14:54:15.115Z</dcterms:modified>
</cp:coreProperties>
</file>

<file path=docProps/custom.xml><?xml version="1.0" encoding="utf-8"?>
<Properties xmlns="http://schemas.openxmlformats.org/officeDocument/2006/custom-properties" xmlns:vt="http://schemas.openxmlformats.org/officeDocument/2006/docPropsVTypes"/>
</file>