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color w:val="5C6B73"/>
          <w:sz w:val="22"/>
          <w:szCs w:val="22"/>
        </w:rPr>
        <w:t xml:space="preserve">winded.vertigo LLC</w:t>
      </w:r>
    </w:p>
    <w:p>
      <w:pPr>
        <w:spacing w:after="80" w:before="0"/>
        <w:jc w:val="center"/>
      </w:pPr>
      <w:r>
        <w:rPr>
          <w:b/>
          <w:bCs/>
          <w:color w:val="1F3A5F"/>
          <w:sz w:val="56"/>
          <w:szCs w:val="56"/>
        </w:rPr>
        <w:t xml:space="preserve">INVOICE</w:t>
      </w:r>
    </w:p>
    <w:p>
      <w:pPr>
        <w:spacing w:after="40" w:before="0"/>
        <w:jc w:val="center"/>
      </w:pPr>
      <w:r>
        <w:rPr>
          <w:color w:val="111A20"/>
          <w:sz w:val="24"/>
          <w:szCs w:val="24"/>
        </w:rPr>
        <w:t xml:space="preserve">Invoice no. WV-AMNA-002 [DRAFT]</w:t>
      </w:r>
    </w:p>
    <w:p>
      <w:pPr>
        <w:spacing w:after="240" w:before="0"/>
        <w:jc w:val="center"/>
      </w:pPr>
      <w:r>
        <w:rPr>
          <w:i/>
          <w:iCs/>
          <w:color w:val="5C6B73"/>
          <w:sz w:val="22"/>
          <w:szCs w:val="22"/>
        </w:rPr>
        <w:t xml:space="preserve">Issued: [date of inception note approval]  ·  Due: 30 days after receipt</w:t>
      </w:r>
    </w:p>
    <w:p>
      <w:pPr>
        <w:spacing w:after="120" w:before="60" w:line="300"/>
        <w:jc w:val="left"/>
      </w:pPr>
      <w:r>
        <w:rPr>
          <w:color w:val="111A20"/>
        </w:rPr>
        <w:t xml:space="preserve">This invoice covers Payment Two (30%) of the Agreement, due on submission and approval of the Inception Note per Clause 12.2.</w:t>
      </w:r>
    </w:p>
    <w:p>
      <w:pPr>
        <w:spacing w:after="120" w:before="60" w:line="300"/>
        <w:jc w:val="left"/>
      </w:pPr>
      <w:r>
        <w:rPr>
          <w:i/>
          <w:iCs/>
          <w:color w:val="5C6B73"/>
        </w:rPr>
        <w:t xml:space="preserve">DRAFT — to be finalised and issued upon Amna's written confirmation of Inception Note approval. The 'issued' and 'due' dates will be updated at issuance.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</w:rPr>
              <w:t xml:space="preserve">BILL TO</w:t>
            </w:r>
          </w:p>
        </w:tc>
      </w:tr>
      <w:tr>
        <w:tc>
          <w:tcPr>
            <w:tcW w:type="dxa" w:w="46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winded.vertigo LLC</w:t>
            </w:r>
          </w:p>
          <w:p>
            <w:pPr>
              <w:spacing w:after="40" w:before="0"/>
            </w:pPr>
            <w:r>
              <w:rPr>
                <w:i/>
                <w:iCs/>
                <w:color w:val="5C6B73"/>
                <w:sz w:val="20"/>
                <w:szCs w:val="20"/>
              </w:rPr>
              <w:t xml:space="preserve">(trading as winded.vertigo collective)</w:t>
            </w:r>
          </w:p>
          <w:p>
            <w:pPr>
              <w:spacing w:after="40" w:before="0"/>
            </w:pPr>
            <w:r>
              <w:t xml:space="preserve">6 Pueblo Dr</w:t>
            </w:r>
          </w:p>
          <w:p>
            <w:pPr>
              <w:spacing w:after="40" w:before="0"/>
            </w:pPr>
            <w:r>
              <w:t xml:space="preserve">San Rafael, CA 94903</w:t>
            </w:r>
          </w:p>
          <w:p>
            <w:pPr>
              <w:spacing w:after="60" w:before="0"/>
            </w:pPr>
            <w:r>
              <w:t xml:space="preserve">USA</w:t>
            </w:r>
          </w:p>
          <w:p>
            <w:pPr>
              <w:spacing w:after="40" w:before="0"/>
            </w:pPr>
            <w:r>
              <w:rPr>
                <w:color w:val="5C6B73"/>
                <w:sz w:val="20"/>
                <w:szCs w:val="20"/>
              </w:rPr>
              <w:t xml:space="preserve">CA Entity no. 202461213744</w:t>
            </w:r>
          </w:p>
          <w:p>
            <w:pPr>
              <w:spacing w:after="60" w:before="0"/>
            </w:pPr>
            <w:r>
              <w:rPr>
                <w:color w:val="5C6B73"/>
                <w:sz w:val="20"/>
                <w:szCs w:val="20"/>
              </w:rPr>
              <w:t xml:space="preserve">US Tax ID (EIN) 99-1874021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garrett@windedvertigo.com</w:t>
            </w:r>
          </w:p>
        </w:tc>
        <w:tc>
          <w:tcPr>
            <w:tcW w:type="dxa" w:w="46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Amna Refugee Healing Network CIO</w:t>
            </w:r>
          </w:p>
          <w:p>
            <w:pPr>
              <w:spacing w:after="40" w:before="0"/>
            </w:pPr>
            <w:r>
              <w:rPr>
                <w:i/>
                <w:iCs/>
                <w:color w:val="5C6B73"/>
                <w:sz w:val="20"/>
                <w:szCs w:val="20"/>
              </w:rPr>
              <w:t xml:space="preserve">(Registered charity in England and Wales)</w:t>
            </w:r>
          </w:p>
          <w:p>
            <w:pPr>
              <w:spacing w:after="40" w:before="0"/>
            </w:pPr>
            <w:r>
              <w:t xml:space="preserve">X +Why Fivefields</w:t>
            </w:r>
          </w:p>
          <w:p>
            <w:pPr>
              <w:spacing w:after="40" w:before="0"/>
            </w:pPr>
            <w:r>
              <w:t xml:space="preserve">8 – 10 Grosvenor Gardens</w:t>
            </w:r>
          </w:p>
          <w:p>
            <w:pPr>
              <w:spacing w:after="60" w:before="0"/>
            </w:pPr>
            <w:r>
              <w:t xml:space="preserve">London, SW1W 0DH, United Kingdom</w:t>
            </w:r>
          </w:p>
          <w:p>
            <w:pPr>
              <w:spacing w:after="60" w:before="0"/>
            </w:pPr>
            <w:r>
              <w:rPr>
                <w:color w:val="5C6B73"/>
                <w:sz w:val="20"/>
                <w:szCs w:val="20"/>
              </w:rPr>
              <w:t xml:space="preserve">Charity no. 1203454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Attn: Walaa Abu Zaiter, Director of Ops</w:t>
            </w:r>
          </w:p>
          <w:p>
            <w:pPr>
              <w:spacing w:after="0" w:before="0"/>
            </w:pPr>
            <w:r>
              <w:rPr>
                <w:color w:val="5C6B73"/>
                <w:sz w:val="20"/>
                <w:szCs w:val="20"/>
              </w:rPr>
              <w:t xml:space="preserve">cc: Hejer Dhahbi, MEL Lead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F2F6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111A20"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Amna at 10: A Decade of Safety, Healing &amp; Impact (2016–2026) — evidence synthesis &amp; impact report</w:t>
            </w:r>
          </w:p>
        </w:tc>
      </w:tr>
      <w:tr>
        <w:tc>
          <w:tcPr>
            <w:tcW w:type="dxa" w:w="312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F2F6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111A20"/>
              </w:rPr>
              <w:t xml:space="preserve">Contract reference</w:t>
            </w:r>
          </w:p>
        </w:tc>
        <w:tc>
          <w:tcPr>
            <w:tcW w:type="dxa" w:w="624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Agreement for the Provision of Services, dated 10 June 2026 (signed by both parties)</w:t>
            </w:r>
          </w:p>
        </w:tc>
      </w:tr>
      <w:tr>
        <w:tc>
          <w:tcPr>
            <w:tcW w:type="dxa" w:w="312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F2F6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111A20"/>
              </w:rPr>
              <w:t xml:space="preserve">Total contract value</w:t>
            </w:r>
          </w:p>
        </w:tc>
        <w:tc>
          <w:tcPr>
            <w:tcW w:type="dxa" w:w="624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£20,000 GBP (approx. $25,000 USD at £1 = $1.25 reference rate)</w:t>
            </w:r>
          </w:p>
        </w:tc>
      </w:tr>
      <w:tr>
        <w:tc>
          <w:tcPr>
            <w:tcW w:type="dxa" w:w="312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F2F6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111A20"/>
              </w:rPr>
              <w:t xml:space="preserve">Payment terms</w:t>
            </w:r>
          </w:p>
        </w:tc>
        <w:tc>
          <w:tcPr>
            <w:tcW w:type="dxa" w:w="624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Net 30 days from receipt of valid invoice, per Clause 12 of the Agreement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60" w:before="320"/>
      </w:pPr>
      <w:r>
        <w:rPr>
          <w:b/>
          <w:bCs/>
          <w:color w:val="1F3A5F"/>
          <w:sz w:val="28"/>
          <w:szCs w:val="28"/>
        </w:rPr>
        <w:t xml:space="preserve">Invoice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160"/>
        <w:gridCol w:w="1600"/>
      </w:tblGrid>
      <w:tr>
        <w:trPr>
          <w:tblHeader/>
        </w:trPr>
        <w:tc>
          <w:tcPr>
            <w:tcW w:type="dxa" w:w="56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</w:rPr>
              <w:t xml:space="preserve">Milestone gate</w:t>
            </w:r>
          </w:p>
        </w:tc>
        <w:tc>
          <w:tcPr>
            <w:tcW w:type="dxa" w:w="16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</w:rPr>
              <w:t xml:space="preserve">Amount (£)</w:t>
            </w:r>
          </w:p>
        </w:tc>
      </w:tr>
      <w:tr>
        <w:tc>
          <w:tcPr>
            <w:tcW w:type="dxa" w:w="56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Inception Note (Deliverable B): analytical framework, synthesis method, evidence sources, proposed outline, workplan, and timeline — per Clause 12.2 and Section 9 of the Agreement.</w:t>
            </w:r>
          </w:p>
        </w:tc>
        <w:tc>
          <w:tcPr>
            <w:tcW w:type="dxa" w:w="216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Inception Note approval</w:t>
            </w:r>
          </w:p>
        </w:tc>
        <w:tc>
          <w:tcPr>
            <w:tcW w:type="dxa" w:w="16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111A20"/>
              </w:rPr>
              <w:t xml:space="preserve">£6,000</w:t>
            </w:r>
          </w:p>
        </w:tc>
      </w:tr>
      <w:tr>
        <w:tc>
          <w:tcPr>
            <w:tcW w:type="dxa" w:w="56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</w:rPr>
              <w:t xml:space="preserve">TOTAL DUE</w:t>
            </w:r>
          </w:p>
        </w:tc>
        <w:tc>
          <w:tcPr>
            <w:tcW w:type="dxa" w:w="216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6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</w:rPr>
              <w:t xml:space="preserve">£6,000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60" w:before="320"/>
      </w:pPr>
      <w:r>
        <w:rPr>
          <w:b/>
          <w:bCs/>
          <w:color w:val="1F3A5F"/>
          <w:sz w:val="28"/>
          <w:szCs w:val="28"/>
        </w:rPr>
        <w:t xml:space="preserve">Work performed (Phase 1: Inception)</w:t>
      </w:r>
    </w:p>
    <w:p>
      <w:pPr>
        <w:spacing w:after="120" w:before="60" w:line="300"/>
        <w:jc w:val="left"/>
      </w:pPr>
      <w:r>
        <w:rPr>
          <w:color w:val="111A20"/>
        </w:rPr>
        <w:t xml:space="preserve">Summary of work performed during the inception phase, supporting submission and approval of the Inception Note.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Spine reading of Amna's foundational documents: 2022 Yousafzai/Zanial 6-year evaluation; Strategic Evolution deck; 2026 Healing Ecosystems Internal Narrative; 2025–2028 MEL Theory of Change; Amna Strategy 2024-2028; 2026 Learning Approach.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Structured review of the curated evidence portfolio: external evaluations (UVA Baytna, Chapin Hall Afghanistan, Nexus CP Afghanistan + GHN, Ukraine response, internal evaluations); pillar-level MEAL materials; partner-level reporting; document register and de-duplication.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Articulation of the Initial Programme Theory (IPT) and 8–15 candidate context–mechanism–outcome (CMO) configurations across Amna's programme pillars.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Methodological framework: realist-informed thematic synthesis; contribution analysis; evidence mapping; CERQual-based confidence framework with pre-committed claim-language convention.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Anti-extractive epistemological commitments documented; community-language register established; refusal protocol drafted.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Data governance setup confirmed with Amna: approved cloud platforms (Exhibit 1) operationalised; AI-use declaration filed; named governance leads (Ethics, Data Protection, Data Quality, Safeguarding) assigned and documented.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Kick-off conversation with Amna MEL Lead and focal points; validation cadence agreed (kick-off, IPT validation, mid-synthesis sense-making, pre-finalisation review).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Inception Note submitted and approved by Amna per Clause 12.2 trigger.</w:t>
      </w:r>
    </w:p>
    <w:p>
      <w:pPr>
        <w:spacing w:after="80" w:before="80"/>
      </w:pPr>
      <w:r>
        <w:t xml:space="preserve"> </w:t>
      </w:r>
    </w:p>
    <w:p>
      <w:pPr>
        <w:spacing w:after="160" w:before="320"/>
      </w:pPr>
      <w:r>
        <w:rPr>
          <w:b/>
          <w:bCs/>
          <w:color w:val="1F3A5F"/>
          <w:sz w:val="28"/>
          <w:szCs w:val="28"/>
        </w:rPr>
        <w:t xml:space="preserve">Time allocation by team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2880"/>
      </w:tblGrid>
      <w:tr>
        <w:trPr>
          <w:tblHeader/>
        </w:trPr>
        <w:tc>
          <w:tcPr>
            <w:tcW w:type="dxa" w:w="46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FFFFFF"/>
              </w:rPr>
              <w:t xml:space="preserve">Team member / role</w:t>
            </w:r>
          </w:p>
        </w:tc>
        <w:tc>
          <w:tcPr>
            <w:tcW w:type="dxa" w:w="18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</w:rPr>
              <w:t xml:space="preserve">Days (Phase 1)</w:t>
            </w:r>
          </w:p>
        </w:tc>
        <w:tc>
          <w:tcPr>
            <w:tcW w:type="dxa" w:w="28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1F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FFFFFF"/>
              </w:rPr>
              <w:t xml:space="preserve">Daily rate (£)</w:t>
            </w:r>
          </w:p>
        </w:tc>
      </w:tr>
      <w:tr>
        <w:tc>
          <w:tcPr>
            <w:tcW w:type="dxa" w:w="46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Garrett Jaeger, PhD — Evidence Lead</w:t>
            </w:r>
          </w:p>
        </w:tc>
        <w:tc>
          <w:tcPr>
            <w:tcW w:type="dxa" w:w="18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111A20"/>
              </w:rPr>
              <w:t xml:space="preserve">~5–6</w:t>
            </w:r>
          </w:p>
        </w:tc>
        <w:tc>
          <w:tcPr>
            <w:tcW w:type="dxa" w:w="28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111A20"/>
              </w:rPr>
              <w:t xml:space="preserve">£400 (inclusive of overheads)</w:t>
            </w:r>
          </w:p>
        </w:tc>
      </w:tr>
      <w:tr>
        <w:tc>
          <w:tcPr>
            <w:tcW w:type="dxa" w:w="46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Jamie Galpin, PhD — Senior Research</w:t>
            </w:r>
          </w:p>
        </w:tc>
        <w:tc>
          <w:tcPr>
            <w:tcW w:type="dxa" w:w="18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111A20"/>
              </w:rPr>
              <w:t xml:space="preserve">~4–5</w:t>
            </w:r>
          </w:p>
        </w:tc>
        <w:tc>
          <w:tcPr>
            <w:tcW w:type="dxa" w:w="28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111A20"/>
              </w:rPr>
              <w:t xml:space="preserve">£400 (inclusive of overheads)</w:t>
            </w:r>
          </w:p>
        </w:tc>
      </w:tr>
      <w:tr>
        <w:tc>
          <w:tcPr>
            <w:tcW w:type="dxa" w:w="46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Lamis Sabra — Context &amp; Programme Specialist</w:t>
            </w:r>
          </w:p>
        </w:tc>
        <w:tc>
          <w:tcPr>
            <w:tcW w:type="dxa" w:w="18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111A20"/>
              </w:rPr>
              <w:t xml:space="preserve">~3</w:t>
            </w:r>
          </w:p>
        </w:tc>
        <w:tc>
          <w:tcPr>
            <w:tcW w:type="dxa" w:w="28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111A20"/>
              </w:rPr>
              <w:t xml:space="preserve">£340 (inclusive of overheads)</w:t>
            </w:r>
          </w:p>
        </w:tc>
      </w:tr>
      <w:tr>
        <w:tc>
          <w:tcPr>
            <w:tcW w:type="dxa" w:w="46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 w:val="false"/>
                <w:bCs w:val="false"/>
                <w:color w:val="111A20"/>
              </w:rPr>
              <w:t xml:space="preserve">María Altamirano — Knowledge Translation</w:t>
            </w:r>
          </w:p>
        </w:tc>
        <w:tc>
          <w:tcPr>
            <w:tcW w:type="dxa" w:w="18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111A20"/>
              </w:rPr>
              <w:t xml:space="preserve">~3</w:t>
            </w:r>
          </w:p>
        </w:tc>
        <w:tc>
          <w:tcPr>
            <w:tcW w:type="dxa" w:w="28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 w:val="false"/>
                <w:bCs w:val="false"/>
                <w:color w:val="111A20"/>
              </w:rPr>
              <w:t xml:space="preserve">£340 (inclusive of overheads)</w:t>
            </w:r>
          </w:p>
        </w:tc>
      </w:tr>
      <w:tr>
        <w:tc>
          <w:tcPr>
            <w:tcW w:type="dxa" w:w="46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F2F6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left"/>
            </w:pPr>
            <w:r>
              <w:rPr>
                <w:b/>
                <w:bCs/>
                <w:color w:val="111A20"/>
              </w:rPr>
              <w:t xml:space="preserve">Phase 1 estimated total</w:t>
            </w:r>
          </w:p>
        </w:tc>
        <w:tc>
          <w:tcPr>
            <w:tcW w:type="dxa" w:w="180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F2F6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111A20"/>
              </w:rPr>
              <w:t xml:space="preserve">~16 days (of 52 total)</w:t>
            </w:r>
          </w:p>
        </w:tc>
        <w:tc>
          <w:tcPr>
            <w:tcW w:type="dxa" w:w="2880"/>
            <w:tcBorders>
              <w:top w:val="single" w:color="D9DEE2" w:sz="4"/>
              <w:left w:val="single" w:color="D9DEE2" w:sz="4"/>
              <w:bottom w:val="single" w:color="D9DEE2" w:sz="4"/>
              <w:right w:val="single" w:color="D9DEE2" w:sz="4"/>
            </w:tcBorders>
            <w:shd w:fill="F2F6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  <w:jc w:val="right"/>
            </w:pPr>
            <w:r>
              <w:rPr>
                <w:b/>
                <w:bCs/>
                <w:color w:val="111A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20" w:before="60" w:line="300"/>
        <w:jc w:val="left"/>
      </w:pPr>
      <w:r>
        <w:rPr>
          <w:i/>
          <w:iCs/>
          <w:color w:val="5C6B73"/>
        </w:rPr>
        <w:t xml:space="preserve">Note: time allocations are indicative against the proposed 52-day budget per Annex B. Daily rates are inclusive of administrative, data protection, safeguarding, ethics, insurance, equipment, and standard software/tooling costs, per Clause 11.</w:t>
      </w:r>
    </w:p>
    <w:p>
      <w:pPr>
        <w:spacing w:after="80" w:before="80"/>
      </w:pPr>
      <w:r>
        <w:t xml:space="preserve"> </w:t>
      </w:r>
    </w:p>
    <w:p>
      <w:pPr>
        <w:spacing w:after="160" w:before="320"/>
      </w:pPr>
      <w:r>
        <w:rPr>
          <w:b/>
          <w:bCs/>
          <w:color w:val="1F3A5F"/>
          <w:sz w:val="28"/>
          <w:szCs w:val="28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Payment terms: Net 30 days from receipt of this valid invoice, per Clause 12 of the Agreement.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Subject to Amna's written confirmation of Inception Note approval (the Clause 12.2 trigger).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No VAT/UK tax is applicable. winded.vertigo LLC is a US-registered entity.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USD equivalent of this invoice: approximately $7,500 at £1 = $1.25 reference rate.</w:t>
      </w:r>
    </w:p>
    <w:p>
      <w:pPr>
        <w:spacing w:after="80" w:before="80"/>
      </w:pPr>
      <w:r>
        <w:t xml:space="preserve"> </w:t>
      </w:r>
    </w:p>
    <w:p>
      <w:pPr>
        <w:spacing w:after="160" w:before="320"/>
      </w:pPr>
      <w:r>
        <w:rPr>
          <w:b/>
          <w:bCs/>
          <w:color w:val="1F3A5F"/>
          <w:sz w:val="28"/>
          <w:szCs w:val="28"/>
        </w:rPr>
        <w:t xml:space="preserve">Banking details — international wire transfer</w:t>
      </w:r>
    </w:p>
    <w:p>
      <w:pPr>
        <w:spacing w:after="120" w:before="60" w:line="300"/>
        <w:jc w:val="left"/>
      </w:pPr>
      <w:r>
        <w:rPr>
          <w:color w:val="111A20"/>
        </w:rPr>
        <w:t xml:space="preserve">For payment by international wire transfer (UK → US), please remit using the following. All fields are the standard set required by a UK originating bank for a US Chase USD account: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Beneficiary: winded.vertigo LLC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Beneficiary address: 6 Pueblo Dr, San Rafael, CA 94903, USA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Beneficiary bank: JPMorgan Chase Bank, N.A.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Bank address: P O Box 182051, Columbus, OH 43218-2051, USA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SWIFT / BIC: CHASUS33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Account number: 591023018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11A20"/>
        </w:rPr>
        <w:t xml:space="preserve">Account type: Chase Business Complete Checking (USD)</w:t>
      </w:r>
    </w:p>
    <w:p>
      <w:pPr>
        <w:spacing w:after="80" w:before="80"/>
      </w:pPr>
      <w:r>
        <w:t xml:space="preserve"> </w:t>
      </w:r>
    </w:p>
    <w:p>
      <w:pPr>
        <w:spacing w:after="120" w:before="60" w:line="300"/>
        <w:jc w:val="left"/>
      </w:pPr>
      <w:r>
        <w:rPr>
          <w:i/>
          <w:iCs/>
          <w:color w:val="5C6B73"/>
        </w:rPr>
        <w:t xml:space="preserve">Wire reference: please include this invoice number on the wire reference line so reconciliation is straightforward.</w:t>
      </w:r>
    </w:p>
    <w:p>
      <w:pPr>
        <w:spacing w:after="120" w:before="60" w:line="300"/>
        <w:jc w:val="left"/>
      </w:pPr>
      <w:r>
        <w:rPr>
          <w:i/>
          <w:iCs/>
          <w:color w:val="5C6B73"/>
        </w:rPr>
        <w:t xml:space="preserve">Supporting documents already on file with Walaa Abu Zaiter, Director of Ops (sent 9 June 2026): California Articles of Organization (entity no. 202461213744); IRS EIN assignment letter (99-1874021); recent Chase business checking statement (April 2026).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— Amna at 10</dc:title>
  <dc:creator>winded.vertigo LLC</dc:creator>
  <cp:lastModifiedBy>Un-named</cp:lastModifiedBy>
  <cp:revision>1</cp:revision>
  <dcterms:created xsi:type="dcterms:W3CDTF">2026-06-26T06:21:34.330Z</dcterms:created>
  <dcterms:modified xsi:type="dcterms:W3CDTF">2026-06-26T06:21:34.330Z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