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color w:val="5C6B73"/>
          <w:sz w:val="22"/>
          <w:szCs w:val="22"/>
        </w:rPr>
        <w:t xml:space="preserve">winded.vertigo LLC</w:t>
      </w:r>
    </w:p>
    <w:p>
      <w:pPr>
        <w:spacing w:after="80" w:before="0"/>
        <w:jc w:val="center"/>
      </w:pPr>
      <w:r>
        <w:rPr>
          <w:b/>
          <w:bCs/>
          <w:color w:val="1F3A5F"/>
          <w:sz w:val="56"/>
          <w:szCs w:val="56"/>
        </w:rPr>
        <w:t xml:space="preserve">INVOICE</w:t>
      </w:r>
    </w:p>
    <w:p>
      <w:pPr>
        <w:spacing w:after="40" w:before="0"/>
        <w:jc w:val="center"/>
      </w:pPr>
      <w:r>
        <w:rPr>
          <w:color w:val="111A20"/>
          <w:sz w:val="24"/>
          <w:szCs w:val="24"/>
        </w:rPr>
        <w:t xml:space="preserve">Invoice no. WV-AMNA-003 [DRAFT]</w:t>
      </w:r>
    </w:p>
    <w:p>
      <w:pPr>
        <w:spacing w:after="240" w:before="0"/>
        <w:jc w:val="center"/>
      </w:pPr>
      <w:r>
        <w:rPr>
          <w:i/>
          <w:iCs/>
          <w:color w:val="5C6B73"/>
          <w:sz w:val="22"/>
          <w:szCs w:val="22"/>
        </w:rPr>
        <w:t xml:space="preserve">Issued: [date of final deliverables approval]  ·  Due: 30 days after receipt</w:t>
      </w:r>
    </w:p>
    <w:p>
      <w:pPr>
        <w:spacing w:after="120" w:before="60" w:line="300"/>
        <w:jc w:val="left"/>
      </w:pPr>
      <w:r>
        <w:rPr>
          <w:color w:val="111A20"/>
        </w:rPr>
        <w:t xml:space="preserve">This invoice covers Payment Three (40%) of the Agreement, due on submission and approval of all final deliverables per Clause 12.3.</w:t>
      </w:r>
    </w:p>
    <w:p>
      <w:pPr>
        <w:spacing w:after="120" w:before="60" w:line="300"/>
        <w:jc w:val="left"/>
      </w:pPr>
      <w:r>
        <w:rPr>
          <w:i/>
          <w:iCs/>
          <w:color w:val="5C6B73"/>
        </w:rPr>
        <w:t xml:space="preserve">DRAFT — to be finalised and issued upon Amna's written confirmation of final deliverables approval (including up to two rounds of reasonable revisions per deliverable). The 'issued' and 'due' dates will be updated at issuance.</w:t>
      </w:r>
    </w:p>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left"/>
            </w:pPr>
            <w:r>
              <w:rPr>
                <w:b/>
                <w:bCs/>
                <w:color w:val="FFFFFF"/>
              </w:rPr>
              <w:t xml:space="preserve">FROM</w:t>
            </w:r>
          </w:p>
        </w:tc>
        <w:tc>
          <w:tcPr>
            <w:tcW w:type="dxa" w:w="468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left"/>
            </w:pPr>
            <w:r>
              <w:rPr>
                <w:b/>
                <w:bCs/>
                <w:color w:val="FFFFFF"/>
              </w:rPr>
              <w:t xml:space="preserve">BILL TO</w:t>
            </w:r>
          </w:p>
        </w:tc>
      </w:tr>
      <w:tr>
        <w:tc>
          <w:tcPr>
            <w:tcW w:type="dxa" w:w="4680"/>
            <w:tcBorders>
              <w:top w:val="single" w:color="D9DEE2" w:sz="4"/>
              <w:left w:val="single" w:color="D9DEE2" w:sz="4"/>
              <w:bottom w:val="single" w:color="D9DEE2" w:sz="4"/>
              <w:right w:val="single" w:color="D9DEE2" w:sz="4"/>
            </w:tcBorders>
            <w:tcMar>
              <w:top w:type="dxa" w:w="140"/>
              <w:left w:type="dxa" w:w="160"/>
              <w:bottom w:type="dxa" w:w="140"/>
              <w:right w:type="dxa" w:w="160"/>
            </w:tcMar>
          </w:tcPr>
          <w:p>
            <w:pPr>
              <w:spacing w:after="60" w:before="0"/>
            </w:pPr>
            <w:r>
              <w:rPr>
                <w:b/>
                <w:bCs/>
              </w:rPr>
              <w:t xml:space="preserve">winded.vertigo LLC</w:t>
            </w:r>
          </w:p>
          <w:p>
            <w:pPr>
              <w:spacing w:after="40" w:before="0"/>
            </w:pPr>
            <w:r>
              <w:rPr>
                <w:i/>
                <w:iCs/>
                <w:color w:val="5C6B73"/>
                <w:sz w:val="20"/>
                <w:szCs w:val="20"/>
              </w:rPr>
              <w:t xml:space="preserve">(trading as winded.vertigo collective)</w:t>
            </w:r>
          </w:p>
          <w:p>
            <w:pPr>
              <w:spacing w:after="40" w:before="0"/>
            </w:pPr>
            <w:r>
              <w:t xml:space="preserve">6 Pueblo Dr</w:t>
            </w:r>
          </w:p>
          <w:p>
            <w:pPr>
              <w:spacing w:after="40" w:before="0"/>
            </w:pPr>
            <w:r>
              <w:t xml:space="preserve">San Rafael, CA 94903</w:t>
            </w:r>
          </w:p>
          <w:p>
            <w:pPr>
              <w:spacing w:after="60" w:before="0"/>
            </w:pPr>
            <w:r>
              <w:t xml:space="preserve">USA</w:t>
            </w:r>
          </w:p>
          <w:p>
            <w:pPr>
              <w:spacing w:after="40" w:before="0"/>
            </w:pPr>
            <w:r>
              <w:rPr>
                <w:color w:val="5C6B73"/>
                <w:sz w:val="20"/>
                <w:szCs w:val="20"/>
              </w:rPr>
              <w:t xml:space="preserve">CA Entity no. 202461213744</w:t>
            </w:r>
          </w:p>
          <w:p>
            <w:pPr>
              <w:spacing w:after="60" w:before="0"/>
            </w:pPr>
            <w:r>
              <w:rPr>
                <w:color w:val="5C6B73"/>
                <w:sz w:val="20"/>
                <w:szCs w:val="20"/>
              </w:rPr>
              <w:t xml:space="preserve">US Tax ID (EIN) 99-1874021</w:t>
            </w:r>
          </w:p>
          <w:p>
            <w:pPr>
              <w:spacing w:after="0" w:before="0"/>
            </w:pPr>
            <w:r>
              <w:rPr>
                <w:sz w:val="20"/>
                <w:szCs w:val="20"/>
              </w:rPr>
              <w:t xml:space="preserve">garrett@windedvertigo.com</w:t>
            </w:r>
          </w:p>
        </w:tc>
        <w:tc>
          <w:tcPr>
            <w:tcW w:type="dxa" w:w="4680"/>
            <w:tcBorders>
              <w:top w:val="single" w:color="D9DEE2" w:sz="4"/>
              <w:left w:val="single" w:color="D9DEE2" w:sz="4"/>
              <w:bottom w:val="single" w:color="D9DEE2" w:sz="4"/>
              <w:right w:val="single" w:color="D9DEE2" w:sz="4"/>
            </w:tcBorders>
            <w:tcMar>
              <w:top w:type="dxa" w:w="140"/>
              <w:left w:type="dxa" w:w="160"/>
              <w:bottom w:type="dxa" w:w="140"/>
              <w:right w:type="dxa" w:w="160"/>
            </w:tcMar>
          </w:tcPr>
          <w:p>
            <w:pPr>
              <w:spacing w:after="60" w:before="0"/>
            </w:pPr>
            <w:r>
              <w:rPr>
                <w:b/>
                <w:bCs/>
              </w:rPr>
              <w:t xml:space="preserve">Amna Refugee Healing Network CIO</w:t>
            </w:r>
          </w:p>
          <w:p>
            <w:pPr>
              <w:spacing w:after="40" w:before="0"/>
            </w:pPr>
            <w:r>
              <w:rPr>
                <w:i/>
                <w:iCs/>
                <w:color w:val="5C6B73"/>
                <w:sz w:val="20"/>
                <w:szCs w:val="20"/>
              </w:rPr>
              <w:t xml:space="preserve">(Registered charity in England and Wales)</w:t>
            </w:r>
          </w:p>
          <w:p>
            <w:pPr>
              <w:spacing w:after="40" w:before="0"/>
            </w:pPr>
            <w:r>
              <w:t xml:space="preserve">X +Why Fivefields</w:t>
            </w:r>
          </w:p>
          <w:p>
            <w:pPr>
              <w:spacing w:after="40" w:before="0"/>
            </w:pPr>
            <w:r>
              <w:t xml:space="preserve">8 – 10 Grosvenor Gardens</w:t>
            </w:r>
          </w:p>
          <w:p>
            <w:pPr>
              <w:spacing w:after="60" w:before="0"/>
            </w:pPr>
            <w:r>
              <w:t xml:space="preserve">London, SW1W 0DH, United Kingdom</w:t>
            </w:r>
          </w:p>
          <w:p>
            <w:pPr>
              <w:spacing w:after="60" w:before="0"/>
            </w:pPr>
            <w:r>
              <w:rPr>
                <w:color w:val="5C6B73"/>
                <w:sz w:val="20"/>
                <w:szCs w:val="20"/>
              </w:rPr>
              <w:t xml:space="preserve">Charity no. 1203454</w:t>
            </w:r>
          </w:p>
          <w:p>
            <w:pPr>
              <w:spacing w:after="40" w:before="0"/>
            </w:pPr>
            <w:r>
              <w:rPr>
                <w:sz w:val="20"/>
                <w:szCs w:val="20"/>
              </w:rPr>
              <w:t xml:space="preserve">Attn: Walaa Abu Zaiter, Director of Ops</w:t>
            </w:r>
          </w:p>
          <w:p>
            <w:pPr>
              <w:spacing w:after="0" w:before="0"/>
            </w:pPr>
            <w:r>
              <w:rPr>
                <w:color w:val="5C6B73"/>
                <w:sz w:val="20"/>
                <w:szCs w:val="20"/>
              </w:rPr>
              <w:t xml:space="preserve">cc: Hejer Dhahbi, MEL Lead</w:t>
            </w:r>
          </w:p>
        </w:tc>
      </w:tr>
    </w:tbl>
    <w:p>
      <w:pPr>
        <w:spacing w:after="80" w:before="80"/>
      </w:pPr>
      <w: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D9DEE2" w:sz="4"/>
              <w:left w:val="single" w:color="D9DEE2" w:sz="4"/>
              <w:bottom w:val="single" w:color="D9DEE2" w:sz="4"/>
              <w:right w:val="single" w:color="D9DEE2" w:sz="4"/>
            </w:tcBorders>
            <w:shd w:fill="F2F6F7" w:val="clear"/>
            <w:tcMar>
              <w:top w:type="dxa" w:w="120"/>
              <w:left w:type="dxa" w:w="140"/>
              <w:bottom w:type="dxa" w:w="120"/>
              <w:right w:type="dxa" w:w="140"/>
            </w:tcMar>
          </w:tcPr>
          <w:p>
            <w:pPr>
              <w:spacing w:after="0" w:before="0" w:line="260"/>
              <w:jc w:val="left"/>
            </w:pPr>
            <w:r>
              <w:rPr>
                <w:b/>
                <w:bCs/>
                <w:color w:val="111A20"/>
              </w:rPr>
              <w:t xml:space="preserve">Project</w:t>
            </w:r>
          </w:p>
        </w:tc>
        <w:tc>
          <w:tcPr>
            <w:tcW w:type="dxa" w:w="624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Amna at 10: A Decade of Safety, Healing &amp; Impact (2016–2026) — evidence synthesis &amp; impact report</w:t>
            </w:r>
          </w:p>
        </w:tc>
      </w:tr>
      <w:tr>
        <w:tc>
          <w:tcPr>
            <w:tcW w:type="dxa" w:w="3120"/>
            <w:tcBorders>
              <w:top w:val="single" w:color="D9DEE2" w:sz="4"/>
              <w:left w:val="single" w:color="D9DEE2" w:sz="4"/>
              <w:bottom w:val="single" w:color="D9DEE2" w:sz="4"/>
              <w:right w:val="single" w:color="D9DEE2" w:sz="4"/>
            </w:tcBorders>
            <w:shd w:fill="F2F6F7" w:val="clear"/>
            <w:tcMar>
              <w:top w:type="dxa" w:w="120"/>
              <w:left w:type="dxa" w:w="140"/>
              <w:bottom w:type="dxa" w:w="120"/>
              <w:right w:type="dxa" w:w="140"/>
            </w:tcMar>
          </w:tcPr>
          <w:p>
            <w:pPr>
              <w:spacing w:after="0" w:before="0" w:line="260"/>
              <w:jc w:val="left"/>
            </w:pPr>
            <w:r>
              <w:rPr>
                <w:b/>
                <w:bCs/>
                <w:color w:val="111A20"/>
              </w:rPr>
              <w:t xml:space="preserve">Contract reference</w:t>
            </w:r>
          </w:p>
        </w:tc>
        <w:tc>
          <w:tcPr>
            <w:tcW w:type="dxa" w:w="624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Agreement for the Provision of Services, dated 10 June 2026 (signed by both parties)</w:t>
            </w:r>
          </w:p>
        </w:tc>
      </w:tr>
      <w:tr>
        <w:tc>
          <w:tcPr>
            <w:tcW w:type="dxa" w:w="3120"/>
            <w:tcBorders>
              <w:top w:val="single" w:color="D9DEE2" w:sz="4"/>
              <w:left w:val="single" w:color="D9DEE2" w:sz="4"/>
              <w:bottom w:val="single" w:color="D9DEE2" w:sz="4"/>
              <w:right w:val="single" w:color="D9DEE2" w:sz="4"/>
            </w:tcBorders>
            <w:shd w:fill="F2F6F7" w:val="clear"/>
            <w:tcMar>
              <w:top w:type="dxa" w:w="120"/>
              <w:left w:type="dxa" w:w="140"/>
              <w:bottom w:type="dxa" w:w="120"/>
              <w:right w:type="dxa" w:w="140"/>
            </w:tcMar>
          </w:tcPr>
          <w:p>
            <w:pPr>
              <w:spacing w:after="0" w:before="0" w:line="260"/>
              <w:jc w:val="left"/>
            </w:pPr>
            <w:r>
              <w:rPr>
                <w:b/>
                <w:bCs/>
                <w:color w:val="111A20"/>
              </w:rPr>
              <w:t xml:space="preserve">Total contract value</w:t>
            </w:r>
          </w:p>
        </w:tc>
        <w:tc>
          <w:tcPr>
            <w:tcW w:type="dxa" w:w="624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£20,000 GBP (approx. $25,000 USD at £1 = $1.25 reference rate)</w:t>
            </w:r>
          </w:p>
        </w:tc>
      </w:tr>
      <w:tr>
        <w:tc>
          <w:tcPr>
            <w:tcW w:type="dxa" w:w="3120"/>
            <w:tcBorders>
              <w:top w:val="single" w:color="D9DEE2" w:sz="4"/>
              <w:left w:val="single" w:color="D9DEE2" w:sz="4"/>
              <w:bottom w:val="single" w:color="D9DEE2" w:sz="4"/>
              <w:right w:val="single" w:color="D9DEE2" w:sz="4"/>
            </w:tcBorders>
            <w:shd w:fill="F2F6F7" w:val="clear"/>
            <w:tcMar>
              <w:top w:type="dxa" w:w="120"/>
              <w:left w:type="dxa" w:w="140"/>
              <w:bottom w:type="dxa" w:w="120"/>
              <w:right w:type="dxa" w:w="140"/>
            </w:tcMar>
          </w:tcPr>
          <w:p>
            <w:pPr>
              <w:spacing w:after="0" w:before="0" w:line="260"/>
              <w:jc w:val="left"/>
            </w:pPr>
            <w:r>
              <w:rPr>
                <w:b/>
                <w:bCs/>
                <w:color w:val="111A20"/>
              </w:rPr>
              <w:t xml:space="preserve">Payment terms</w:t>
            </w:r>
          </w:p>
        </w:tc>
        <w:tc>
          <w:tcPr>
            <w:tcW w:type="dxa" w:w="624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Net 30 days from receipt of valid invoice, per Clause 12 of the Agreement</w:t>
            </w:r>
          </w:p>
        </w:tc>
      </w:tr>
    </w:tbl>
    <w:p>
      <w:pPr>
        <w:spacing w:after="80" w:before="80"/>
      </w:pPr>
      <w:r>
        <w:t xml:space="preserve"> </w:t>
      </w:r>
    </w:p>
    <w:p>
      <w:pPr>
        <w:spacing w:after="160" w:before="320"/>
      </w:pPr>
      <w:r>
        <w:rPr>
          <w:b/>
          <w:bCs/>
          <w:color w:val="1F3A5F"/>
          <w:sz w:val="28"/>
          <w:szCs w:val="28"/>
        </w:rPr>
        <w:t xml:space="preserve">Invoice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2160"/>
        <w:gridCol w:w="1600"/>
      </w:tblGrid>
      <w:tr>
        <w:trPr>
          <w:tblHeader/>
        </w:trPr>
        <w:tc>
          <w:tcPr>
            <w:tcW w:type="dxa" w:w="560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left"/>
            </w:pPr>
            <w:r>
              <w:rPr>
                <w:b/>
                <w:bCs/>
                <w:color w:val="FFFFFF"/>
              </w:rPr>
              <w:t xml:space="preserve">Description</w:t>
            </w:r>
          </w:p>
        </w:tc>
        <w:tc>
          <w:tcPr>
            <w:tcW w:type="dxa" w:w="216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left"/>
            </w:pPr>
            <w:r>
              <w:rPr>
                <w:b/>
                <w:bCs/>
                <w:color w:val="FFFFFF"/>
              </w:rPr>
              <w:t xml:space="preserve">Milestone gate</w:t>
            </w:r>
          </w:p>
        </w:tc>
        <w:tc>
          <w:tcPr>
            <w:tcW w:type="dxa" w:w="160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right"/>
            </w:pPr>
            <w:r>
              <w:rPr>
                <w:b/>
                <w:bCs/>
                <w:color w:val="FFFFFF"/>
              </w:rPr>
              <w:t xml:space="preserve">Amount (£)</w:t>
            </w:r>
          </w:p>
        </w:tc>
      </w:tr>
      <w:tr>
        <w:tc>
          <w:tcPr>
            <w:tcW w:type="dxa" w:w="560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Final deliverables (40%): Public-facing Impact Brief; Deep Learning Synthesis Report; Evidence &amp; Claims Map; Future Research and Learning Agenda; Presentation Slide Deck — per Clause 12.3 and Section 9 of the Agreement.</w:t>
            </w:r>
          </w:p>
        </w:tc>
        <w:tc>
          <w:tcPr>
            <w:tcW w:type="dxa" w:w="216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Final deliverables approval</w:t>
            </w:r>
          </w:p>
        </w:tc>
        <w:tc>
          <w:tcPr>
            <w:tcW w:type="dxa" w:w="160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£8,000</w:t>
            </w:r>
          </w:p>
        </w:tc>
      </w:tr>
      <w:tr>
        <w:tc>
          <w:tcPr>
            <w:tcW w:type="dxa" w:w="560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left"/>
            </w:pPr>
            <w:r>
              <w:rPr>
                <w:b/>
                <w:bCs/>
                <w:color w:val="FFFFFF"/>
              </w:rPr>
              <w:t xml:space="preserve">TOTAL DUE</w:t>
            </w:r>
          </w:p>
        </w:tc>
        <w:tc>
          <w:tcPr>
            <w:tcW w:type="dxa" w:w="216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left"/>
            </w:pPr>
            <w:r>
              <w:rPr>
                <w:b/>
                <w:bCs/>
                <w:color w:val="FFFFFF"/>
              </w:rPr>
              <w:t xml:space="preserve"/>
            </w:r>
          </w:p>
        </w:tc>
        <w:tc>
          <w:tcPr>
            <w:tcW w:type="dxa" w:w="160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right"/>
            </w:pPr>
            <w:r>
              <w:rPr>
                <w:b/>
                <w:bCs/>
                <w:color w:val="FFFFFF"/>
              </w:rPr>
              <w:t xml:space="preserve">£8,000</w:t>
            </w:r>
          </w:p>
        </w:tc>
      </w:tr>
    </w:tbl>
    <w:p>
      <w:pPr>
        <w:spacing w:after="80" w:before="80"/>
      </w:pPr>
      <w:r>
        <w:t xml:space="preserve"> </w:t>
      </w:r>
    </w:p>
    <w:p>
      <w:pPr>
        <w:spacing w:after="160" w:before="320"/>
      </w:pPr>
      <w:r>
        <w:rPr>
          <w:b/>
          <w:bCs/>
          <w:color w:val="1F3A5F"/>
          <w:sz w:val="28"/>
          <w:szCs w:val="28"/>
        </w:rPr>
        <w:t xml:space="preserve">Work performed (Phases 2 and 3: Synthesis and finalisation)</w:t>
      </w:r>
    </w:p>
    <w:p>
      <w:pPr>
        <w:spacing w:after="120" w:before="60" w:line="300"/>
        <w:jc w:val="left"/>
      </w:pPr>
      <w:r>
        <w:rPr>
          <w:color w:val="111A20"/>
        </w:rPr>
        <w:t xml:space="preserve">Summary of work performed during the synthesis and finalisation phases, supporting submission and approval of all final deliverables.</w:t>
      </w:r>
    </w:p>
    <w:p>
      <w:pPr>
        <w:pStyle w:val="ListParagraph"/>
        <w:numPr>
          <w:ilvl w:val="0"/>
          <w:numId w:val="2"/>
        </w:numPr>
        <w:spacing w:after="40" w:before="40" w:line="280"/>
      </w:pPr>
      <w:r>
        <w:rPr>
          <w:color w:val="111A20"/>
        </w:rPr>
        <w:t xml:space="preserve">Completed structured desk review across Amna's 11 programme pillars (Baytna, Dinami, Community Partnerships, Wellbeing Spaces, Therapeutic Groups, Systems of Care, Global Healing Network, Emergency Response, Consultancies, Non-Hubs Training, Partners MEAL) and Amna Strategies/Processes Reports.</w:t>
      </w:r>
    </w:p>
    <w:p>
      <w:pPr>
        <w:pStyle w:val="ListParagraph"/>
        <w:numPr>
          <w:ilvl w:val="0"/>
          <w:numId w:val="2"/>
        </w:numPr>
        <w:spacing w:after="40" w:before="40" w:line="280"/>
      </w:pPr>
      <w:r>
        <w:rPr>
          <w:color w:val="111A20"/>
        </w:rPr>
        <w:t xml:space="preserve">Realist-informed thematic synthesis applied across the corpus; CMO configurations refined and tested against evidence; rival explanation testing and contribution analysis applied to headline impact claims.</w:t>
      </w:r>
    </w:p>
    <w:p>
      <w:pPr>
        <w:pStyle w:val="ListParagraph"/>
        <w:numPr>
          <w:ilvl w:val="0"/>
          <w:numId w:val="2"/>
        </w:numPr>
        <w:spacing w:after="40" w:before="40" w:line="280"/>
      </w:pPr>
      <w:r>
        <w:rPr>
          <w:color w:val="111A20"/>
        </w:rPr>
        <w:t xml:space="preserve">Light-touch staff interviews conducted only where needed to fill evidence gaps or support triangulation, per Hejer Dhahbi's 1 June 2026 scope clarification.</w:t>
      </w:r>
    </w:p>
    <w:p>
      <w:pPr>
        <w:pStyle w:val="ListParagraph"/>
        <w:numPr>
          <w:ilvl w:val="0"/>
          <w:numId w:val="2"/>
        </w:numPr>
        <w:spacing w:after="40" w:before="40" w:line="280"/>
      </w:pPr>
      <w:r>
        <w:rPr>
          <w:color w:val="111A20"/>
        </w:rPr>
        <w:t xml:space="preserve">Evidence &amp; Claims Map (Deliverable D): completed visual map with three-tier confidence framework and safe claim language for external use.</w:t>
      </w:r>
    </w:p>
    <w:p>
      <w:pPr>
        <w:pStyle w:val="ListParagraph"/>
        <w:numPr>
          <w:ilvl w:val="0"/>
          <w:numId w:val="2"/>
        </w:numPr>
        <w:spacing w:after="40" w:before="40" w:line="280"/>
      </w:pPr>
      <w:r>
        <w:rPr>
          <w:color w:val="111A20"/>
        </w:rPr>
        <w:t xml:space="preserve">Deep Learning Synthesis Report (Deliverable C): ~20-page internal-facing report covering strengths, weaknesses, enabling conditions, limitations, mechanisms of change, and strategic recommendations.</w:t>
      </w:r>
    </w:p>
    <w:p>
      <w:pPr>
        <w:pStyle w:val="ListParagraph"/>
        <w:numPr>
          <w:ilvl w:val="0"/>
          <w:numId w:val="2"/>
        </w:numPr>
        <w:spacing w:after="40" w:before="40" w:line="280"/>
      </w:pPr>
      <w:r>
        <w:rPr>
          <w:color w:val="111A20"/>
        </w:rPr>
        <w:t xml:space="preserve">Public-facing Impact Brief (Deliverable B): 2–4 pp donor/sector-facing brief; derived from the Deep Learning Synthesis, with claim language calibrated to evidence confidence.</w:t>
      </w:r>
    </w:p>
    <w:p>
      <w:pPr>
        <w:pStyle w:val="ListParagraph"/>
        <w:numPr>
          <w:ilvl w:val="0"/>
          <w:numId w:val="2"/>
        </w:numPr>
        <w:spacing w:after="40" w:before="40" w:line="280"/>
      </w:pPr>
      <w:r>
        <w:rPr>
          <w:color w:val="111A20"/>
        </w:rPr>
        <w:t xml:space="preserve">Future Research and Learning Agenda (Deliverable E): 1-page priority research questions and feasible pathways for the next decade.</w:t>
      </w:r>
    </w:p>
    <w:p>
      <w:pPr>
        <w:pStyle w:val="ListParagraph"/>
        <w:numPr>
          <w:ilvl w:val="0"/>
          <w:numId w:val="2"/>
        </w:numPr>
        <w:spacing w:after="40" w:before="40" w:line="280"/>
      </w:pPr>
      <w:r>
        <w:rPr>
          <w:color w:val="111A20"/>
        </w:rPr>
        <w:t xml:space="preserve">Presentation Slide Deck (Deliverable F): summary of key findings for stakeholder presentation, with versions for internal and external audiences ahead of Amna's September 2026 anniversary moment.</w:t>
      </w:r>
    </w:p>
    <w:p>
      <w:pPr>
        <w:pStyle w:val="ListParagraph"/>
        <w:numPr>
          <w:ilvl w:val="0"/>
          <w:numId w:val="2"/>
        </w:numPr>
        <w:spacing w:after="40" w:before="40" w:line="280"/>
      </w:pPr>
      <w:r>
        <w:rPr>
          <w:color w:val="111A20"/>
        </w:rPr>
        <w:t xml:space="preserve">Validation cadence completed: IPT validation, mid-synthesis sense-making, pre-finalisation review with Amna; up to two rounds of reasonable revisions per deliverable, per Clause 12.3.</w:t>
      </w:r>
    </w:p>
    <w:p>
      <w:pPr>
        <w:pStyle w:val="ListParagraph"/>
        <w:numPr>
          <w:ilvl w:val="0"/>
          <w:numId w:val="2"/>
        </w:numPr>
        <w:spacing w:after="40" w:before="40" w:line="280"/>
      </w:pPr>
      <w:r>
        <w:rPr>
          <w:color w:val="111A20"/>
        </w:rPr>
        <w:t xml:space="preserve">All deliverables submitted and approved by Amna per Clause 12.3 trigger.</w:t>
      </w:r>
    </w:p>
    <w:p>
      <w:pPr>
        <w:spacing w:after="80" w:before="80"/>
      </w:pPr>
      <w:r>
        <w:t xml:space="preserve"> </w:t>
      </w:r>
    </w:p>
    <w:p>
      <w:pPr>
        <w:spacing w:after="160" w:before="320"/>
      </w:pPr>
      <w:r>
        <w:rPr>
          <w:b/>
          <w:bCs/>
          <w:color w:val="1F3A5F"/>
          <w:sz w:val="28"/>
          <w:szCs w:val="28"/>
        </w:rPr>
        <w:t xml:space="preserve">Time allocation by team member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1800"/>
        <w:gridCol w:w="2880"/>
      </w:tblGrid>
      <w:tr>
        <w:trPr>
          <w:tblHeader/>
        </w:trPr>
        <w:tc>
          <w:tcPr>
            <w:tcW w:type="dxa" w:w="468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left"/>
            </w:pPr>
            <w:r>
              <w:rPr>
                <w:b/>
                <w:bCs/>
                <w:color w:val="FFFFFF"/>
              </w:rPr>
              <w:t xml:space="preserve">Team member / role</w:t>
            </w:r>
          </w:p>
        </w:tc>
        <w:tc>
          <w:tcPr>
            <w:tcW w:type="dxa" w:w="180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right"/>
            </w:pPr>
            <w:r>
              <w:rPr>
                <w:b/>
                <w:bCs/>
                <w:color w:val="FFFFFF"/>
              </w:rPr>
              <w:t xml:space="preserve">Days (Phases 2–3)</w:t>
            </w:r>
          </w:p>
        </w:tc>
        <w:tc>
          <w:tcPr>
            <w:tcW w:type="dxa" w:w="2880"/>
            <w:tcBorders>
              <w:top w:val="single" w:color="D9DEE2" w:sz="4"/>
              <w:left w:val="single" w:color="D9DEE2" w:sz="4"/>
              <w:bottom w:val="single" w:color="D9DEE2" w:sz="4"/>
              <w:right w:val="single" w:color="D9DEE2" w:sz="4"/>
            </w:tcBorders>
            <w:shd w:fill="1F3A5F" w:val="clear"/>
            <w:tcMar>
              <w:top w:type="dxa" w:w="120"/>
              <w:left w:type="dxa" w:w="140"/>
              <w:bottom w:type="dxa" w:w="120"/>
              <w:right w:type="dxa" w:w="140"/>
            </w:tcMar>
          </w:tcPr>
          <w:p>
            <w:pPr>
              <w:spacing w:after="0" w:before="0" w:line="260"/>
              <w:jc w:val="right"/>
            </w:pPr>
            <w:r>
              <w:rPr>
                <w:b/>
                <w:bCs/>
                <w:color w:val="FFFFFF"/>
              </w:rPr>
              <w:t xml:space="preserve">Daily rate (£)</w:t>
            </w:r>
          </w:p>
        </w:tc>
      </w:tr>
      <w:tr>
        <w:tc>
          <w:tcPr>
            <w:tcW w:type="dxa" w:w="46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Garrett Jaeger, PhD — Evidence Lead</w:t>
            </w:r>
          </w:p>
        </w:tc>
        <w:tc>
          <w:tcPr>
            <w:tcW w:type="dxa" w:w="180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~11–12</w:t>
            </w:r>
          </w:p>
        </w:tc>
        <w:tc>
          <w:tcPr>
            <w:tcW w:type="dxa" w:w="28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£400 (inclusive of overheads)</w:t>
            </w:r>
          </w:p>
        </w:tc>
      </w:tr>
      <w:tr>
        <w:tc>
          <w:tcPr>
            <w:tcW w:type="dxa" w:w="46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Jamie Galpin, PhD — Senior Research</w:t>
            </w:r>
          </w:p>
        </w:tc>
        <w:tc>
          <w:tcPr>
            <w:tcW w:type="dxa" w:w="180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~10–11</w:t>
            </w:r>
          </w:p>
        </w:tc>
        <w:tc>
          <w:tcPr>
            <w:tcW w:type="dxa" w:w="28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£400 (inclusive of overheads)</w:t>
            </w:r>
          </w:p>
        </w:tc>
      </w:tr>
      <w:tr>
        <w:tc>
          <w:tcPr>
            <w:tcW w:type="dxa" w:w="46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Lamis Sabra — Context &amp; Programme Specialist</w:t>
            </w:r>
          </w:p>
        </w:tc>
        <w:tc>
          <w:tcPr>
            <w:tcW w:type="dxa" w:w="180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~6</w:t>
            </w:r>
          </w:p>
        </w:tc>
        <w:tc>
          <w:tcPr>
            <w:tcW w:type="dxa" w:w="28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£340 (inclusive of overheads)</w:t>
            </w:r>
          </w:p>
        </w:tc>
      </w:tr>
      <w:tr>
        <w:tc>
          <w:tcPr>
            <w:tcW w:type="dxa" w:w="46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left"/>
            </w:pPr>
            <w:r>
              <w:rPr>
                <w:b w:val="false"/>
                <w:bCs w:val="false"/>
                <w:color w:val="111A20"/>
              </w:rPr>
              <w:t xml:space="preserve">María Altamirano — Knowledge Translation</w:t>
            </w:r>
          </w:p>
        </w:tc>
        <w:tc>
          <w:tcPr>
            <w:tcW w:type="dxa" w:w="180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~8</w:t>
            </w:r>
          </w:p>
        </w:tc>
        <w:tc>
          <w:tcPr>
            <w:tcW w:type="dxa" w:w="2880"/>
            <w:tcBorders>
              <w:top w:val="single" w:color="D9DEE2" w:sz="4"/>
              <w:left w:val="single" w:color="D9DEE2" w:sz="4"/>
              <w:bottom w:val="single" w:color="D9DEE2" w:sz="4"/>
              <w:right w:val="single" w:color="D9DEE2" w:sz="4"/>
            </w:tcBorders>
            <w:tcMar>
              <w:top w:type="dxa" w:w="120"/>
              <w:left w:type="dxa" w:w="140"/>
              <w:bottom w:type="dxa" w:w="120"/>
              <w:right w:type="dxa" w:w="140"/>
            </w:tcMar>
          </w:tcPr>
          <w:p>
            <w:pPr>
              <w:spacing w:after="0" w:before="0" w:line="260"/>
              <w:jc w:val="right"/>
            </w:pPr>
            <w:r>
              <w:rPr>
                <w:b w:val="false"/>
                <w:bCs w:val="false"/>
                <w:color w:val="111A20"/>
              </w:rPr>
              <w:t xml:space="preserve">£340 (inclusive of overheads)</w:t>
            </w:r>
          </w:p>
        </w:tc>
      </w:tr>
      <w:tr>
        <w:tc>
          <w:tcPr>
            <w:tcW w:type="dxa" w:w="4680"/>
            <w:tcBorders>
              <w:top w:val="single" w:color="D9DEE2" w:sz="4"/>
              <w:left w:val="single" w:color="D9DEE2" w:sz="4"/>
              <w:bottom w:val="single" w:color="D9DEE2" w:sz="4"/>
              <w:right w:val="single" w:color="D9DEE2" w:sz="4"/>
            </w:tcBorders>
            <w:shd w:fill="F2F6F7" w:val="clear"/>
            <w:tcMar>
              <w:top w:type="dxa" w:w="120"/>
              <w:left w:type="dxa" w:w="140"/>
              <w:bottom w:type="dxa" w:w="120"/>
              <w:right w:type="dxa" w:w="140"/>
            </w:tcMar>
          </w:tcPr>
          <w:p>
            <w:pPr>
              <w:spacing w:after="0" w:before="0" w:line="260"/>
              <w:jc w:val="left"/>
            </w:pPr>
            <w:r>
              <w:rPr>
                <w:b/>
                <w:bCs/>
                <w:color w:val="111A20"/>
              </w:rPr>
              <w:t xml:space="preserve">Phases 2–3 estimated total</w:t>
            </w:r>
          </w:p>
        </w:tc>
        <w:tc>
          <w:tcPr>
            <w:tcW w:type="dxa" w:w="1800"/>
            <w:tcBorders>
              <w:top w:val="single" w:color="D9DEE2" w:sz="4"/>
              <w:left w:val="single" w:color="D9DEE2" w:sz="4"/>
              <w:bottom w:val="single" w:color="D9DEE2" w:sz="4"/>
              <w:right w:val="single" w:color="D9DEE2" w:sz="4"/>
            </w:tcBorders>
            <w:shd w:fill="F2F6F7" w:val="clear"/>
            <w:tcMar>
              <w:top w:type="dxa" w:w="120"/>
              <w:left w:type="dxa" w:w="140"/>
              <w:bottom w:type="dxa" w:w="120"/>
              <w:right w:type="dxa" w:w="140"/>
            </w:tcMar>
          </w:tcPr>
          <w:p>
            <w:pPr>
              <w:spacing w:after="0" w:before="0" w:line="260"/>
              <w:jc w:val="right"/>
            </w:pPr>
            <w:r>
              <w:rPr>
                <w:b/>
                <w:bCs/>
                <w:color w:val="111A20"/>
              </w:rPr>
              <w:t xml:space="preserve">~36 days (of 52 total)</w:t>
            </w:r>
          </w:p>
        </w:tc>
        <w:tc>
          <w:tcPr>
            <w:tcW w:type="dxa" w:w="2880"/>
            <w:tcBorders>
              <w:top w:val="single" w:color="D9DEE2" w:sz="4"/>
              <w:left w:val="single" w:color="D9DEE2" w:sz="4"/>
              <w:bottom w:val="single" w:color="D9DEE2" w:sz="4"/>
              <w:right w:val="single" w:color="D9DEE2" w:sz="4"/>
            </w:tcBorders>
            <w:shd w:fill="F2F6F7" w:val="clear"/>
            <w:tcMar>
              <w:top w:type="dxa" w:w="120"/>
              <w:left w:type="dxa" w:w="140"/>
              <w:bottom w:type="dxa" w:w="120"/>
              <w:right w:type="dxa" w:w="140"/>
            </w:tcMar>
          </w:tcPr>
          <w:p>
            <w:pPr>
              <w:spacing w:after="0" w:before="0" w:line="260"/>
              <w:jc w:val="right"/>
            </w:pPr>
            <w:r>
              <w:rPr>
                <w:b/>
                <w:bCs/>
                <w:color w:val="111A20"/>
              </w:rPr>
              <w:t xml:space="preserve"/>
            </w:r>
          </w:p>
        </w:tc>
      </w:tr>
    </w:tbl>
    <w:p>
      <w:pPr>
        <w:spacing w:after="80" w:before="80"/>
      </w:pPr>
      <w:r>
        <w:t xml:space="preserve"> </w:t>
      </w:r>
    </w:p>
    <w:p>
      <w:pPr>
        <w:spacing w:after="120" w:before="60" w:line="300"/>
        <w:jc w:val="left"/>
      </w:pPr>
      <w:r>
        <w:rPr>
          <w:i/>
          <w:iCs/>
          <w:color w:val="5C6B73"/>
        </w:rPr>
        <w:t xml:space="preserve">Note: time allocations are indicative against the proposed 52-day budget per Annex B. Total of Phase 1 (~16 days) + Phases 2–3 (~36 days) = ~52 days. Daily rates inclusive per Clause 11.</w:t>
      </w:r>
    </w:p>
    <w:p>
      <w:pPr>
        <w:spacing w:after="80" w:before="80"/>
      </w:pPr>
      <w:r>
        <w:t xml:space="preserve"> </w:t>
      </w:r>
    </w:p>
    <w:p>
      <w:pPr>
        <w:spacing w:after="160" w:before="320"/>
      </w:pPr>
      <w:r>
        <w:rPr>
          <w:b/>
          <w:bCs/>
          <w:color w:val="1F3A5F"/>
          <w:sz w:val="28"/>
          <w:szCs w:val="28"/>
        </w:rPr>
        <w:t xml:space="preserve">Notes</w:t>
      </w:r>
    </w:p>
    <w:p>
      <w:pPr>
        <w:pStyle w:val="ListParagraph"/>
        <w:numPr>
          <w:ilvl w:val="0"/>
          <w:numId w:val="2"/>
        </w:numPr>
        <w:spacing w:after="40" w:before="40" w:line="280"/>
      </w:pPr>
      <w:r>
        <w:rPr>
          <w:color w:val="111A20"/>
        </w:rPr>
        <w:t xml:space="preserve">Payment terms: Net 30 days from receipt of this valid invoice, per Clause 12 of the Agreement.</w:t>
      </w:r>
    </w:p>
    <w:p>
      <w:pPr>
        <w:pStyle w:val="ListParagraph"/>
        <w:numPr>
          <w:ilvl w:val="0"/>
          <w:numId w:val="2"/>
        </w:numPr>
        <w:spacing w:after="40" w:before="40" w:line="280"/>
      </w:pPr>
      <w:r>
        <w:rPr>
          <w:color w:val="111A20"/>
        </w:rPr>
        <w:t xml:space="preserve">Subject to Amna's written confirmation of final deliverables approval; up to two rounds of reasonable revisions per deliverable included per Clause 12.3.</w:t>
      </w:r>
    </w:p>
    <w:p>
      <w:pPr>
        <w:pStyle w:val="ListParagraph"/>
        <w:numPr>
          <w:ilvl w:val="0"/>
          <w:numId w:val="2"/>
        </w:numPr>
        <w:spacing w:after="40" w:before="40" w:line="280"/>
      </w:pPr>
      <w:r>
        <w:rPr>
          <w:color w:val="111A20"/>
        </w:rPr>
        <w:t xml:space="preserve">Any further revisions beyond the two rounds shall be scoped and costed separately by written agreement of the parties.</w:t>
      </w:r>
    </w:p>
    <w:p>
      <w:pPr>
        <w:pStyle w:val="ListParagraph"/>
        <w:numPr>
          <w:ilvl w:val="0"/>
          <w:numId w:val="2"/>
        </w:numPr>
        <w:spacing w:after="40" w:before="40" w:line="280"/>
      </w:pPr>
      <w:r>
        <w:rPr>
          <w:color w:val="111A20"/>
        </w:rPr>
        <w:t xml:space="preserve">No VAT/UK tax is applicable. winded.vertigo LLC is a US-registered entity.</w:t>
      </w:r>
    </w:p>
    <w:p>
      <w:pPr>
        <w:pStyle w:val="ListParagraph"/>
        <w:numPr>
          <w:ilvl w:val="0"/>
          <w:numId w:val="2"/>
        </w:numPr>
        <w:spacing w:after="40" w:before="40" w:line="280"/>
      </w:pPr>
      <w:r>
        <w:rPr>
          <w:color w:val="111A20"/>
        </w:rPr>
        <w:t xml:space="preserve">USD equivalent of this invoice: approximately $10,000 at £1 = $1.25 reference rate.</w:t>
      </w:r>
    </w:p>
    <w:p>
      <w:pPr>
        <w:spacing w:after="80" w:before="80"/>
      </w:pPr>
      <w:r>
        <w:t xml:space="preserve"> </w:t>
      </w:r>
    </w:p>
    <w:p>
      <w:pPr>
        <w:spacing w:after="160" w:before="320"/>
      </w:pPr>
      <w:r>
        <w:rPr>
          <w:b/>
          <w:bCs/>
          <w:color w:val="1F3A5F"/>
          <w:sz w:val="28"/>
          <w:szCs w:val="28"/>
        </w:rPr>
        <w:t xml:space="preserve">Banking details — international wire transfer</w:t>
      </w:r>
    </w:p>
    <w:p>
      <w:pPr>
        <w:spacing w:after="120" w:before="60" w:line="300"/>
        <w:jc w:val="left"/>
      </w:pPr>
      <w:r>
        <w:rPr>
          <w:color w:val="111A20"/>
        </w:rPr>
        <w:t xml:space="preserve">For payment by international wire transfer (UK → US), please remit using the following. All fields are the standard set required by a UK originating bank for a US Chase USD account:</w:t>
      </w:r>
    </w:p>
    <w:p>
      <w:pPr>
        <w:pStyle w:val="ListParagraph"/>
        <w:numPr>
          <w:ilvl w:val="0"/>
          <w:numId w:val="2"/>
        </w:numPr>
        <w:spacing w:after="40" w:before="40" w:line="280"/>
      </w:pPr>
      <w:r>
        <w:rPr>
          <w:color w:val="111A20"/>
        </w:rPr>
        <w:t xml:space="preserve">Beneficiary: winded.vertigo LLC</w:t>
      </w:r>
    </w:p>
    <w:p>
      <w:pPr>
        <w:pStyle w:val="ListParagraph"/>
        <w:numPr>
          <w:ilvl w:val="0"/>
          <w:numId w:val="2"/>
        </w:numPr>
        <w:spacing w:after="40" w:before="40" w:line="280"/>
      </w:pPr>
      <w:r>
        <w:rPr>
          <w:color w:val="111A20"/>
        </w:rPr>
        <w:t xml:space="preserve">Beneficiary address: 6 Pueblo Dr, San Rafael, CA 94903, USA</w:t>
      </w:r>
    </w:p>
    <w:p>
      <w:pPr>
        <w:pStyle w:val="ListParagraph"/>
        <w:numPr>
          <w:ilvl w:val="0"/>
          <w:numId w:val="2"/>
        </w:numPr>
        <w:spacing w:after="40" w:before="40" w:line="280"/>
      </w:pPr>
      <w:r>
        <w:rPr>
          <w:color w:val="111A20"/>
        </w:rPr>
        <w:t xml:space="preserve">Beneficiary bank: JPMorgan Chase Bank, N.A.</w:t>
      </w:r>
    </w:p>
    <w:p>
      <w:pPr>
        <w:pStyle w:val="ListParagraph"/>
        <w:numPr>
          <w:ilvl w:val="0"/>
          <w:numId w:val="2"/>
        </w:numPr>
        <w:spacing w:after="40" w:before="40" w:line="280"/>
      </w:pPr>
      <w:r>
        <w:rPr>
          <w:color w:val="111A20"/>
        </w:rPr>
        <w:t xml:space="preserve">Bank address: P O Box 182051, Columbus, OH 43218-2051, USA</w:t>
      </w:r>
    </w:p>
    <w:p>
      <w:pPr>
        <w:pStyle w:val="ListParagraph"/>
        <w:numPr>
          <w:ilvl w:val="0"/>
          <w:numId w:val="2"/>
        </w:numPr>
        <w:spacing w:after="40" w:before="40" w:line="280"/>
      </w:pPr>
      <w:r>
        <w:rPr>
          <w:color w:val="111A20"/>
        </w:rPr>
        <w:t xml:space="preserve">SWIFT / BIC: CHASUS33</w:t>
      </w:r>
    </w:p>
    <w:p>
      <w:pPr>
        <w:pStyle w:val="ListParagraph"/>
        <w:numPr>
          <w:ilvl w:val="0"/>
          <w:numId w:val="2"/>
        </w:numPr>
        <w:spacing w:after="40" w:before="40" w:line="280"/>
      </w:pPr>
      <w:r>
        <w:rPr>
          <w:color w:val="111A20"/>
        </w:rPr>
        <w:t xml:space="preserve">Account number: 591023018</w:t>
      </w:r>
    </w:p>
    <w:p>
      <w:pPr>
        <w:pStyle w:val="ListParagraph"/>
        <w:numPr>
          <w:ilvl w:val="0"/>
          <w:numId w:val="2"/>
        </w:numPr>
        <w:spacing w:after="40" w:before="40" w:line="280"/>
      </w:pPr>
      <w:r>
        <w:rPr>
          <w:color w:val="111A20"/>
        </w:rPr>
        <w:t xml:space="preserve">Account type: Chase Business Complete Checking (USD)</w:t>
      </w:r>
    </w:p>
    <w:p>
      <w:pPr>
        <w:spacing w:after="80" w:before="80"/>
      </w:pPr>
      <w:r>
        <w:t xml:space="preserve"> </w:t>
      </w:r>
    </w:p>
    <w:p>
      <w:pPr>
        <w:spacing w:after="120" w:before="60" w:line="300"/>
        <w:jc w:val="left"/>
      </w:pPr>
      <w:r>
        <w:rPr>
          <w:i/>
          <w:iCs/>
          <w:color w:val="5C6B73"/>
        </w:rPr>
        <w:t xml:space="preserve">Wire reference: please include this invoice number on the wire reference line so reconciliation is straightforward.</w:t>
      </w:r>
    </w:p>
    <w:p>
      <w:pPr>
        <w:spacing w:after="120" w:before="60" w:line="300"/>
        <w:jc w:val="left"/>
      </w:pPr>
      <w:r>
        <w:rPr>
          <w:i/>
          <w:iCs/>
          <w:color w:val="5C6B73"/>
        </w:rPr>
        <w:t xml:space="preserve">Supporting documents already on file with Walaa Abu Zaiter, Director of Ops (sent 9 June 2026): California Articles of Organization (entity no. 202461213744); IRS EIN assignment letter (99-1874021); recent Chase business checking statement (April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F3A5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Invoice — Amna at 10</dc:title>
  <dc:creator>winded.vertigo LLC</dc:creator>
  <cp:lastModifiedBy>Un-named</cp:lastModifiedBy>
  <cp:revision>1</cp:revision>
  <dcterms:created xsi:type="dcterms:W3CDTF">2026-06-26T06:21:34.358Z</dcterms:created>
  <dcterms:modified xsi:type="dcterms:W3CDTF">2026-06-26T06:21:34.358Z</dcterms:modified>
</cp:coreProperties>
</file>

<file path=docProps/custom.xml><?xml version="1.0" encoding="utf-8"?>
<Properties xmlns="http://schemas.openxmlformats.org/officeDocument/2006/custom-properties" xmlns:vt="http://schemas.openxmlformats.org/officeDocument/2006/docPropsVTypes"/>
</file>