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08:48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01a1674d-6064-7188-a4ca-7bc575be3244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Domestic tariffs and non-roaming propositions (synthetic illustrative example).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أشهر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Per the T11 decision rights matrix of this transformation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the roaming pass architecture, the digital activation journey and the partner model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attach and activation, complaint rate and partner economics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incremental roaming revenue, avoided care cost and margin improvement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 w:val="false"/>
          <w:lang w:val="ar-SA" w:bidi="ar-SA"/>
        </w:rPr>
        <w:t xml:space="preserve">Make international roaming effortless, trusted and economically accretive.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ينطبق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Attach rate / activation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Complaint rate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Cost/MB, margin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bill shock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تجربة العملاء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 roaming proposition may create an unexpected charge without an in-journey consent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ROAMING</dc:title>
  <dc:creator>Mobily Transformation Hub</dc:creator>
  <dc:description>ROAMING — International Roaming Transformation; snapshot 01a1674d-6064-7188-a4ca-7bc575be3244</dc:description>
  <cp:lastModifiedBy>Un-named</cp:lastModifiedBy>
  <cp:revision>1</cp:revision>
  <dcterms:created xsi:type="dcterms:W3CDTF">2026-10-23T05:48:13.374Z</dcterms:created>
  <dcterms:modified xsi:type="dcterms:W3CDTF">2026-10-23T05:48:13.374Z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