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Transformation charter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 charter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2026-10-23 08:43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01a16748-d55e-7548-87ab-db20543df20a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Transformation charter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International Roaming Transformation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roaming.user.sp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 lead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Case for change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has value leakage from low adoption, fragmented propositions, inconsistent digital activation and avoidable CX friction.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 scope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Outcomes: Revenue growth; higher attach/activation; improved partner economics; fewer complaints; higher digital self-service. Initiatives: Pass architecture redesign; digital activation; proactive travel triggers; partner-cost optimization; QoS monitoring; care simplification; analytics.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 of scope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Domestic tariffs and non-roaming propositions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Baseline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2026-06-01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horizon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18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horizon (unit)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Months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Governance forum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Monthly executive review; bi-weekly transformation review; weekly workstreams; monthly value review with Finance.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 rights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 the T11 decision rights matrix of this transformation (synthetic).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Success definition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Benefits: Incremental roaming revenue, margin improvement, complaint reduction, digital adoption, avoided care cost.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If we change (capabilities / journeys / operating model)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roaming pass architecture, the digital activation journey and the partner model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Then … will improve (customer / operational outcomes)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attach and activation, complaint rate and partner economics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Which will create (financial / strategic benefits)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incremental roaming revenue, avoided care cost and margin improvement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Because (evidence / causal logic)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low activation, high complaints and partner cost pressure are the diagnosed causes of roaming value leakage (synthetic).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North Star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Make international roaming effortless, trusted and economically accretive.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n/a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Top outcomes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8"/>
        <w:gridCol w:w="5094"/>
        <w:gridCol w:w="2377"/>
      </w:tblGrid>
      <w:tr>
        <w:trPr>
          <w:tblHeader/>
        </w:trP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Rank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Outcome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Attach rate / activation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Complaint rate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Cost/MB, margin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Guardrails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1703"/>
        <w:gridCol w:w="3649"/>
      </w:tblGrid>
      <w:tr>
        <w:trPr>
          <w:tblHeader/>
        </w:trP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Guardrail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Category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Statement</w:t>
            </w:r>
          </w:p>
        </w:tc>
      </w:tr>
      <w:t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bill shock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Customer experience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roaming proposition may create an unexpected charge without an in-journey consent (synthetic).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Transformation charter — ROAMING</dc:title>
  <dc:creator>Mobily Transformation Hub</dc:creator>
  <dc:description>ROAMING — International Roaming Transformation; snapshot 01a16748-d55e-7548-87ab-db20543df20a</dc:description>
  <cp:lastModifiedBy>Un-named</cp:lastModifiedBy>
  <cp:revision>1</cp:revision>
  <dcterms:created xsi:type="dcterms:W3CDTF">2026-10-23T05:43:14.555Z</dcterms:created>
  <dcterms:modified xsi:type="dcterms:W3CDTF">2026-10-23T05:43:14.555Z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