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Business cases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Business cases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01a167a9-2b3b-712f-9598-fd1e4ea6d7d2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Business cases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545"/>
        <w:gridCol w:w="1169"/>
        <w:gridCol w:w="1169"/>
        <w:gridCol w:w="545"/>
        <w:gridCol w:w="351"/>
        <w:gridCol w:w="1169"/>
        <w:gridCol w:w="1169"/>
        <w:gridCol w:w="1169"/>
        <w:gridCol w:w="545"/>
      </w:tblGrid>
      <w:tr>
        <w:trPr>
          <w:tblHeader/>
        </w:trPr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Level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Baseline validation</w:t>
            </w:r>
          </w:p>
        </w:tc>
        <w:tc>
          <w:tcPr>
            <w:tcW w:type="dxa" w:w="3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Sections not completed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Benefit owner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Initiative owner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Finance validator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Business case sections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Section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Content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Investment and benefit lines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412"/>
        <w:gridCol w:w="412"/>
        <w:gridCol w:w="412"/>
        <w:gridCol w:w="882"/>
        <w:gridCol w:w="471"/>
        <w:gridCol w:w="882"/>
        <w:gridCol w:w="471"/>
        <w:gridCol w:w="353"/>
        <w:gridCol w:w="353"/>
        <w:gridCol w:w="412"/>
        <w:gridCol w:w="882"/>
        <w:gridCol w:w="882"/>
        <w:gridCol w:w="412"/>
        <w:gridCol w:w="882"/>
      </w:tblGrid>
      <w:tr>
        <w:trPr>
          <w:tblHeader/>
        </w:trPr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Line type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Class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Value basis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Amount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FTE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Period start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Period end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Recurrence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 version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Formula validation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Owner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Totals (from the business case totals)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1033"/>
        <w:gridCol w:w="1033"/>
        <w:gridCol w:w="2213"/>
        <w:gridCol w:w="1180"/>
        <w:gridCol w:w="664"/>
        <w:gridCol w:w="664"/>
      </w:tblGrid>
      <w:tr>
        <w:trPr>
          <w:tblHeader/>
        </w:trPr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Business case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Measure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Value basis</w:t>
            </w:r>
          </w:p>
        </w:tc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Currency</w:t>
            </w:r>
          </w:p>
        </w:tc>
        <w:tc>
          <w:tcPr>
            <w:tcW w:type="dxa" w:w="11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Amount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Lines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Lines without an amount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cases — TR-0001</dc:title>
  <dc:creator>Mobily Transformation Hub</dc:creator>
  <dc:description>TR-0001 — Synthetic P2 transformation; snapshot 01a167a9-2b3b-712f-9598-fd1e4ea6d7d2</dc:description>
  <cp:lastModifiedBy>Un-named</cp:lastModifiedBy>
  <cp:revision>1</cp:revision>
  <dcterms:created xsi:type="dcterms:W3CDTF">2026-10-23T07:28:35.389Z</dcterms:created>
  <dcterms:modified xsi:type="dcterms:W3CDTF">2026-10-23T07:28:35.389Z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