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ميثاق التحول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01a167a9-2aa6-70a8-a9a6-b634e9043bbf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roaming uplift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u.c5259478b8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قائد 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u.655732e6c6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مبررات التغيير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case for change: roaming revenue declines while competitors grow.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ضمن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Consumer roaming products and journeys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خارج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Enterprise contracts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خط الأساس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2026-01-31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 (الوحدة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منتدى الحوكمة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صلاحيات 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تعريف النجاح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إذا غيّرنا (القدرات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النموذج التشغيلي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فستتحسّن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…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 للعملاء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التشغيلية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مما سيحقق (المنافع المالية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الاستراتيجية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لأن (الدليل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المنطق السببي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النجم الشمالي (الغاية العليا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)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غير معروف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أهم النتائج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الترتيب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الضوابط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الضابط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الفئة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البيان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ميثاق التحول — TR-0001</dc:title>
  <dc:creator>Mobily Transformation Hub</dc:creator>
  <dc:description>TR-0001 — Synthetic P2 transformation; snapshot 01a167a9-2aa6-70a8-a9a6-b634e9043bbf</dc:description>
  <cp:lastModifiedBy>Un-named</cp:lastModifiedBy>
  <cp:revision>1</cp:revision>
  <dcterms:created xsi:type="dcterms:W3CDTF">2026-10-23T07:28:27.889Z</dcterms:created>
  <dcterms:modified xsi:type="dcterms:W3CDTF">2026-10-23T07:28:27.889Z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