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2026-10-21 22:02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01a15fd7-fdf5-76c1-bb39-559575964b2f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2026-05-21T07:00:00.000Z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Case for Change: diagnostic, baseline, root causes and value pools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b8382f9c0d4d54663c73eff83e1bb1956b87c1dee19f37a6f10883cb748aadd7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2026-05-22T07:00:00.000Z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We agree on the problem: roaming value leaks through low activation, high complaints and partner cost pressure; the attach-rate baseline is measured and the value pools are material. Proceed to Define. (Synthetic decision of 2026-05-22.)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Diagnostic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Baseline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الخط الأساسي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Root causes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الأسباب الجذرية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Value pools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مجمّعات القيمة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Case for change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مبررات التغيير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Initial charter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الميثاق الأولي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01a15fd7-fdf5-76c1-bb39-559575964b2f</dc:description>
  <cp:lastModifiedBy>Un-named</cp:lastModifiedBy>
  <cp:revision>1</cp:revision>
  <dcterms:created xsi:type="dcterms:W3CDTF">2026-10-21T19:03:09.562Z</dcterms:created>
  <dcterms:modified xsi:type="dcterms:W3CDTF">2026-10-21T19:03:09.562Z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