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2026-09 (2026-09-01 – 2026-09-30)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06:11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01a166bd-9acb-740b-9b9f-1fbd8aa4b580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International Roaming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120,000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396,000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148,500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revenue uplift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(top line;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Planned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79,200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Forecast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avoided cost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0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 gap (non-cash; not in 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Investment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SAR 4,830,000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ROAMING</dc:title>
  <dc:creator>Mobily Transformation Hub</dc:creator>
  <dc:description>ROAMING — International Roaming Transformation; snapshot 01a166bd-9acb-740b-9b9f-1fbd8aa4b580</dc:description>
  <cp:lastModifiedBy>Un-named</cp:lastModifiedBy>
  <cp:revision>1</cp:revision>
  <dcterms:created xsi:type="dcterms:W3CDTF">2026-10-23T03:11:16.145Z</dcterms:created>
  <dcterms:modified xsi:type="dcterms:W3CDTF">2026-10-23T03:11:16.145Z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